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E6" w:rsidRPr="002D4EE6" w:rsidRDefault="002D4EE6" w:rsidP="002D4EE6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</w:pPr>
      <w:r w:rsidRPr="002D4EE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Supplementary figure legends</w:t>
      </w:r>
    </w:p>
    <w:p w:rsidR="002D4EE6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:rsidR="002D4EE6" w:rsidRPr="00520188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t>Supplementary figure 1. Quantitative analysis of p53 immunohistochemistry. (A) Raw image of p53 immunohistochemistry, and (B) Annotati</w:t>
      </w:r>
      <w:bookmarkStart w:id="0" w:name="_GoBack"/>
      <w:bookmarkEnd w:id="0"/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t>on of the staining intensity of p53 (blue: 0, yellow: 1+, orange: 2+, and red: 3+ according to the Nuclear v9 algorithm).</w:t>
      </w:r>
    </w:p>
    <w:p w:rsidR="002D4EE6" w:rsidRPr="00520188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:rsidR="002D4EE6" w:rsidRPr="00520188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t>Supplementary figure 2. Detailed Kaplan-Meier survival curves. (A) 5-year relapse-free survival (RFS) according to the four p53 expression subgroups, (B) 5-year RFS according to TP53 genotype, (C) 5-year cancer-specific survival (CSS) according to the four p53 expression subgroups, and (D) 5-year CSS according to TP53 genotype.</w:t>
      </w:r>
    </w:p>
    <w:p w:rsidR="002D4EE6" w:rsidRPr="00520188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:rsidR="002D4EE6" w:rsidRPr="00520188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t>Supplementary figure 3. Kaplan-Meier survival curves and the conventional classification of p53 expression. (A) 5-year relapse–free survival according to the p53 expression subgroups (no to moderate (&lt;50%) and strong (≥50%), (B) 5-year cancer-specific survival according to the p53 expression subgroups (no to moderate (&lt;50%) and strong (≥50%).</w:t>
      </w:r>
    </w:p>
    <w:p w:rsidR="002D4EE6" w:rsidRPr="00520188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:rsidR="002D4EE6" w:rsidRPr="00520188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Supplementary figure 4. Survival analysis in 41 microsatellite instability-high colorectal cancers. (A) 5-year relapse-free survival (RFS) according to p53 expression, (B) 5-year cancer-specific survival (CSS) according to p53 expression, (C) 5-year RFS according to the four p53 expression subgroups, (D) 5-year CSS according to the four p53 expression subgroups, (E) 5-year RFS according to </w:t>
      </w:r>
      <w:r w:rsidRPr="00520188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TP53</w:t>
      </w:r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gen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o</w:t>
      </w:r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type, and (F) 5-year CSS according to </w:t>
      </w:r>
      <w:r w:rsidRPr="00520188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TP53</w:t>
      </w:r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genotype. </w:t>
      </w:r>
    </w:p>
    <w:p w:rsidR="002D4EE6" w:rsidRPr="00520188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:rsidR="002D4EE6" w:rsidRPr="001D1ADA" w:rsidRDefault="002D4EE6" w:rsidP="002D4EE6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Supplementary figure 5. Nuclear p21 and cyclin D1 expression in four p53 expression subgroups of colorectal cancers. (A) Box-plot of nuclear p21 expression, (B) Box-plot of nuclear cyclin D1 expression, (C) Scatter plot according to p21 and cyclin D1 expression, and </w:t>
      </w:r>
      <w:r w:rsidRPr="00520188">
        <w:rPr>
          <w:rFonts w:ascii="Times New Roman" w:hAnsi="Times New Roman"/>
          <w:color w:val="000000" w:themeColor="text1"/>
          <w:sz w:val="24"/>
          <w:szCs w:val="24"/>
          <w:lang w:val="en-GB"/>
        </w:rPr>
        <w:lastRenderedPageBreak/>
        <w:t>(D) 5-year relapse-free survival according to p21 and cyclin D1 co-ex</w:t>
      </w:r>
      <w:r w:rsidRPr="001D1ADA">
        <w:rPr>
          <w:rFonts w:ascii="Times New Roman" w:hAnsi="Times New Roman"/>
          <w:color w:val="000000" w:themeColor="text1"/>
          <w:sz w:val="24"/>
          <w:szCs w:val="24"/>
        </w:rPr>
        <w:t xml:space="preserve">pression status. </w:t>
      </w:r>
    </w:p>
    <w:p w:rsidR="00997951" w:rsidRDefault="00997951"/>
    <w:sectPr w:rsidR="00997951" w:rsidSect="00F90BD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E6"/>
    <w:rsid w:val="002D4EE6"/>
    <w:rsid w:val="0099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DA3E5D-1812-4363-A0C0-0B9BA4F1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EE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Times New Roman"/>
      <w:kern w:val="2"/>
      <w:sz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Springernature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Botha, Chantal</dc:creator>
  <cp:keywords/>
  <dc:description/>
  <cp:lastModifiedBy>Botha, Chantal</cp:lastModifiedBy>
  <cp:revision>1</cp:revision>
  <dcterms:created xsi:type="dcterms:W3CDTF">2019-03-04T08:02:00Z</dcterms:created>
  <dcterms:modified xsi:type="dcterms:W3CDTF">2019-03-04T08:03:00Z</dcterms:modified>
</cp:coreProperties>
</file>