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F02" w:rsidRPr="001D3F02" w:rsidRDefault="001D3F02" w:rsidP="001D3F02">
      <w:pPr>
        <w:widowControl w:val="0"/>
        <w:spacing w:after="0" w:line="480" w:lineRule="auto"/>
        <w:rPr>
          <w:rFonts w:ascii="Calibri" w:eastAsia="MS Mincho" w:hAnsi="Calibri" w:cs="Times New Roman"/>
          <w:sz w:val="24"/>
          <w:szCs w:val="24"/>
          <w:lang w:val="en-GB" w:eastAsia="en-GB"/>
        </w:rPr>
      </w:pPr>
      <w:r w:rsidRPr="001D3F02">
        <w:rPr>
          <w:rFonts w:ascii="Calibri" w:eastAsia="MS Mincho" w:hAnsi="Calibri" w:cs="Calibri"/>
          <w:b/>
          <w:sz w:val="24"/>
          <w:szCs w:val="24"/>
          <w:lang w:val="en-GB" w:eastAsia="en-GB"/>
        </w:rPr>
        <w:t xml:space="preserve">Supplementary Table </w:t>
      </w:r>
      <w:r w:rsidR="00891546">
        <w:rPr>
          <w:rFonts w:ascii="Calibri" w:eastAsia="MS Mincho" w:hAnsi="Calibri" w:cs="Calibri"/>
          <w:b/>
          <w:sz w:val="24"/>
          <w:szCs w:val="24"/>
          <w:lang w:val="en-GB" w:eastAsia="en-GB"/>
        </w:rPr>
        <w:t>2</w:t>
      </w:r>
      <w:bookmarkStart w:id="0" w:name="_GoBack"/>
      <w:bookmarkEnd w:id="0"/>
      <w:r w:rsidRPr="001D3F02">
        <w:rPr>
          <w:rFonts w:ascii="Calibri" w:eastAsia="MS Mincho" w:hAnsi="Calibri" w:cs="Calibri"/>
          <w:b/>
          <w:sz w:val="24"/>
          <w:szCs w:val="24"/>
          <w:lang w:val="en-GB" w:eastAsia="en-GB"/>
        </w:rPr>
        <w:t>:</w:t>
      </w:r>
      <w:r w:rsidRPr="001D3F02">
        <w:rPr>
          <w:rFonts w:ascii="Calibri" w:eastAsia="MS Mincho" w:hAnsi="Calibri" w:cs="Calibri"/>
          <w:sz w:val="24"/>
          <w:szCs w:val="24"/>
          <w:lang w:val="en-GB" w:eastAsia="en-GB"/>
        </w:rPr>
        <w:t xml:space="preserve"> Summary of TEAEs</w:t>
      </w:r>
      <w:r w:rsidRPr="001D3F02">
        <w:rPr>
          <w:rFonts w:ascii="Calibri" w:eastAsia="MS Mincho" w:hAnsi="Calibri" w:cs="Times New Roman"/>
          <w:sz w:val="24"/>
          <w:szCs w:val="24"/>
          <w:lang w:val="en-GB" w:eastAsia="en-GB"/>
        </w:rPr>
        <w:t xml:space="preserve"> and grade ≥3 TEAEs occurring in ≥ 5% of patients in either arm </w:t>
      </w:r>
    </w:p>
    <w:tbl>
      <w:tblPr>
        <w:tblStyle w:val="TableGrid11"/>
        <w:tblW w:w="10075" w:type="dxa"/>
        <w:tblLook w:val="04A0" w:firstRow="1" w:lastRow="0" w:firstColumn="1" w:lastColumn="0" w:noHBand="0" w:noVBand="1"/>
      </w:tblPr>
      <w:tblGrid>
        <w:gridCol w:w="6115"/>
        <w:gridCol w:w="1890"/>
        <w:gridCol w:w="2070"/>
      </w:tblGrid>
      <w:tr w:rsidR="001D3F02" w:rsidRPr="001D3F02" w:rsidTr="008509B8">
        <w:trPr>
          <w:trHeight w:val="485"/>
        </w:trPr>
        <w:tc>
          <w:tcPr>
            <w:tcW w:w="6115" w:type="dxa"/>
            <w:tcBorders>
              <w:left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rPr>
                <w:rFonts w:ascii="Calibri" w:eastAsia="MS Mincho" w:hAnsi="Calibri" w:cs="Times New Roman"/>
                <w:b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b/>
                <w:noProof/>
                <w:sz w:val="20"/>
                <w:szCs w:val="20"/>
              </w:rPr>
              <w:t>Category, n (%)</w:t>
            </w:r>
          </w:p>
        </w:tc>
        <w:tc>
          <w:tcPr>
            <w:tcW w:w="1890" w:type="dxa"/>
            <w:tcBorders>
              <w:left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b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b/>
                <w:noProof/>
                <w:sz w:val="20"/>
                <w:szCs w:val="20"/>
              </w:rPr>
              <w:t>Eribulin (n = 156)</w:t>
            </w:r>
          </w:p>
        </w:tc>
        <w:tc>
          <w:tcPr>
            <w:tcW w:w="2070" w:type="dxa"/>
            <w:tcBorders>
              <w:left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b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b/>
                <w:noProof/>
                <w:sz w:val="20"/>
                <w:szCs w:val="20"/>
              </w:rPr>
              <w:t>Dacarbazine (n = 152)</w:t>
            </w:r>
          </w:p>
        </w:tc>
      </w:tr>
      <w:tr w:rsidR="001D3F02" w:rsidRPr="001D3F02" w:rsidTr="008509B8">
        <w:tc>
          <w:tcPr>
            <w:tcW w:w="6115" w:type="dxa"/>
            <w:tcBorders>
              <w:left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Any TEAEs</w:t>
            </w:r>
          </w:p>
        </w:tc>
        <w:tc>
          <w:tcPr>
            <w:tcW w:w="1890" w:type="dxa"/>
            <w:tcBorders>
              <w:left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154 (99)</w:t>
            </w:r>
          </w:p>
        </w:tc>
        <w:tc>
          <w:tcPr>
            <w:tcW w:w="2070" w:type="dxa"/>
            <w:tcBorders>
              <w:left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149 (98)</w:t>
            </w:r>
          </w:p>
        </w:tc>
      </w:tr>
      <w:tr w:rsidR="001D3F02" w:rsidRPr="001D3F02" w:rsidTr="008509B8">
        <w:tc>
          <w:tcPr>
            <w:tcW w:w="6115" w:type="dxa"/>
            <w:tcBorders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Treatment-related TEAEs</w:t>
            </w:r>
          </w:p>
        </w:tc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143 (92)</w:t>
            </w: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142 (93)</w:t>
            </w:r>
          </w:p>
        </w:tc>
      </w:tr>
      <w:tr w:rsidR="001D3F02" w:rsidRPr="001D3F02" w:rsidTr="008509B8">
        <w:tc>
          <w:tcPr>
            <w:tcW w:w="6115" w:type="dxa"/>
            <w:tcBorders>
              <w:top w:val="single" w:sz="4" w:space="0" w:color="auto"/>
              <w:left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Deaths</w:t>
            </w: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  <w:vertAlign w:val="superscript"/>
              </w:rPr>
              <w:t>a</w:t>
            </w:r>
            <w:r w:rsidRPr="001D3F02">
              <w:rPr>
                <w:rFonts w:ascii="Calibri" w:eastAsia="MS Mincho" w:hAnsi="Calibri" w:cs="Times New Roman"/>
                <w:noProof/>
                <w:color w:val="FF0000"/>
                <w:sz w:val="20"/>
                <w:szCs w:val="20"/>
                <w:vertAlign w:val="superscript"/>
              </w:rPr>
              <w:t xml:space="preserve">     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7 (5)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3 (2)</w:t>
            </w:r>
          </w:p>
        </w:tc>
      </w:tr>
      <w:tr w:rsidR="001D3F02" w:rsidRPr="001D3F02" w:rsidTr="008509B8">
        <w:tc>
          <w:tcPr>
            <w:tcW w:w="6115" w:type="dxa"/>
            <w:tcBorders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Other SAEs</w:t>
            </w:r>
          </w:p>
        </w:tc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52 (33)</w:t>
            </w: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49 (32)</w:t>
            </w:r>
          </w:p>
        </w:tc>
      </w:tr>
      <w:tr w:rsidR="001D3F02" w:rsidRPr="001D3F02" w:rsidTr="008509B8">
        <w:tc>
          <w:tcPr>
            <w:tcW w:w="6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TEAEs leading to study drug dose adjustment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</w:p>
        </w:tc>
      </w:tr>
      <w:tr w:rsidR="001D3F02" w:rsidRPr="001D3F02" w:rsidTr="008509B8"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ind w:left="313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TEAEs leading to study drug withdrawal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12 (8)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7 (5)</w:t>
            </w:r>
          </w:p>
        </w:tc>
      </w:tr>
      <w:tr w:rsidR="001D3F02" w:rsidRPr="001D3F02" w:rsidTr="008509B8"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ind w:left="313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TEAEs leading to dose reduction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43 (28)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25 (16)</w:t>
            </w:r>
          </w:p>
        </w:tc>
      </w:tr>
      <w:tr w:rsidR="001D3F02" w:rsidRPr="001D3F02" w:rsidTr="008509B8">
        <w:tc>
          <w:tcPr>
            <w:tcW w:w="6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ind w:left="313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TEAEs leading to study drug interruption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53 (34)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51 (34)</w:t>
            </w:r>
          </w:p>
        </w:tc>
      </w:tr>
      <w:tr w:rsidR="001D3F02" w:rsidRPr="001D3F02" w:rsidTr="008509B8">
        <w:tc>
          <w:tcPr>
            <w:tcW w:w="6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 xml:space="preserve">Grade </w:t>
            </w:r>
            <w:r w:rsidRPr="001D3F02">
              <w:rPr>
                <w:rFonts w:ascii="Calibri" w:eastAsia="MS Mincho" w:hAnsi="Calibri" w:cs="Calibri"/>
                <w:noProof/>
                <w:sz w:val="20"/>
                <w:szCs w:val="20"/>
              </w:rPr>
              <w:t xml:space="preserve">≥ </w:t>
            </w: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 xml:space="preserve">3 TEAEs, </w:t>
            </w:r>
            <w:r w:rsidRPr="001D3F02">
              <w:rPr>
                <w:rFonts w:ascii="Calibri" w:eastAsia="MS Mincho" w:hAnsi="Calibri" w:cs="Calibri"/>
                <w:noProof/>
                <w:sz w:val="20"/>
                <w:szCs w:val="20"/>
              </w:rPr>
              <w:t xml:space="preserve">≥ </w:t>
            </w: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5% in any group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</w:p>
        </w:tc>
      </w:tr>
      <w:tr w:rsidR="001D3F02" w:rsidRPr="001D3F02" w:rsidTr="008509B8"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ind w:left="313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Any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108 (69)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89 (59)</w:t>
            </w:r>
          </w:p>
        </w:tc>
      </w:tr>
      <w:tr w:rsidR="001D3F02" w:rsidRPr="001D3F02" w:rsidTr="008509B8"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ind w:left="313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Neutropenia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61 (39)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24 (16)</w:t>
            </w:r>
          </w:p>
        </w:tc>
      </w:tr>
      <w:tr w:rsidR="001D3F02" w:rsidRPr="001D3F02" w:rsidTr="008509B8"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ind w:left="313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Leukopenia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16 (10)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8 (5)</w:t>
            </w:r>
          </w:p>
        </w:tc>
      </w:tr>
      <w:tr w:rsidR="001D3F02" w:rsidRPr="001D3F02" w:rsidTr="008509B8"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ind w:left="313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Anemia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12 (8)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19 (13)</w:t>
            </w:r>
          </w:p>
        </w:tc>
      </w:tr>
      <w:tr w:rsidR="001D3F02" w:rsidRPr="001D3F02" w:rsidTr="008509B8"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ind w:left="313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Neutrophil count decreased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9 (6)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5 (3)</w:t>
            </w:r>
          </w:p>
        </w:tc>
      </w:tr>
      <w:tr w:rsidR="001D3F02" w:rsidRPr="001D3F02" w:rsidTr="008509B8">
        <w:tc>
          <w:tcPr>
            <w:tcW w:w="6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ind w:left="313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Thrombocytopenia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1 (1)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3F02" w:rsidRPr="001D3F02" w:rsidRDefault="001D3F02" w:rsidP="001D3F02">
            <w:pPr>
              <w:spacing w:after="240" w:line="276" w:lineRule="auto"/>
              <w:jc w:val="center"/>
              <w:rPr>
                <w:rFonts w:ascii="Calibri" w:eastAsia="MS Mincho" w:hAnsi="Calibri" w:cs="Times New Roman"/>
                <w:noProof/>
                <w:sz w:val="20"/>
                <w:szCs w:val="20"/>
              </w:rPr>
            </w:pPr>
            <w:r w:rsidRPr="001D3F02">
              <w:rPr>
                <w:rFonts w:ascii="Calibri" w:eastAsia="MS Mincho" w:hAnsi="Calibri" w:cs="Times New Roman"/>
                <w:noProof/>
                <w:sz w:val="20"/>
                <w:szCs w:val="20"/>
              </w:rPr>
              <w:t>26 (17)</w:t>
            </w:r>
          </w:p>
        </w:tc>
      </w:tr>
    </w:tbl>
    <w:p w:rsidR="001D3F02" w:rsidRPr="001D3F02" w:rsidRDefault="001D3F02" w:rsidP="001D3F02">
      <w:pPr>
        <w:spacing w:after="0" w:line="480" w:lineRule="auto"/>
        <w:rPr>
          <w:rFonts w:ascii="Calibri" w:eastAsia="MS Mincho" w:hAnsi="Calibri" w:cs="Calibri"/>
          <w:color w:val="000000"/>
          <w:sz w:val="20"/>
          <w:szCs w:val="20"/>
          <w:lang w:val="en-GB" w:eastAsia="en-GB"/>
        </w:rPr>
      </w:pPr>
      <w:proofErr w:type="spellStart"/>
      <w:r w:rsidRPr="001D3F02">
        <w:rPr>
          <w:rFonts w:ascii="Calibri" w:eastAsia="MS Mincho" w:hAnsi="Calibri" w:cs="Calibri"/>
          <w:sz w:val="20"/>
          <w:szCs w:val="20"/>
          <w:vertAlign w:val="superscript"/>
          <w:lang w:val="en-GB" w:eastAsia="en-GB"/>
        </w:rPr>
        <w:t>a</w:t>
      </w:r>
      <w:r w:rsidRPr="001D3F02">
        <w:rPr>
          <w:rFonts w:ascii="Calibri" w:eastAsia="MS Mincho" w:hAnsi="Calibri" w:cs="Calibri"/>
          <w:sz w:val="20"/>
          <w:szCs w:val="20"/>
          <w:lang w:val="en-GB" w:eastAsia="en-GB"/>
        </w:rPr>
        <w:t>Grade</w:t>
      </w:r>
      <w:proofErr w:type="spellEnd"/>
      <w:r w:rsidRPr="001D3F02">
        <w:rPr>
          <w:rFonts w:ascii="Calibri" w:eastAsia="MS Mincho" w:hAnsi="Calibri" w:cs="Calibri"/>
          <w:sz w:val="20"/>
          <w:szCs w:val="20"/>
          <w:lang w:val="en-GB" w:eastAsia="en-GB"/>
        </w:rPr>
        <w:t xml:space="preserve"> 5 events in the </w:t>
      </w:r>
      <w:proofErr w:type="spellStart"/>
      <w:r w:rsidRPr="001D3F02">
        <w:rPr>
          <w:rFonts w:ascii="Calibri" w:eastAsia="MS Mincho" w:hAnsi="Calibri" w:cs="Calibri"/>
          <w:sz w:val="20"/>
          <w:szCs w:val="20"/>
          <w:lang w:val="en-GB" w:eastAsia="en-GB"/>
        </w:rPr>
        <w:t>eribulin</w:t>
      </w:r>
      <w:proofErr w:type="spellEnd"/>
      <w:r w:rsidRPr="001D3F02">
        <w:rPr>
          <w:rFonts w:ascii="Calibri" w:eastAsia="MS Mincho" w:hAnsi="Calibri" w:cs="Calibri"/>
          <w:sz w:val="20"/>
          <w:szCs w:val="20"/>
          <w:lang w:val="en-GB" w:eastAsia="en-GB"/>
        </w:rPr>
        <w:t xml:space="preserve"> arm were</w:t>
      </w:r>
      <w:r w:rsidRPr="001D3F02">
        <w:rPr>
          <w:rFonts w:ascii="Calibri" w:eastAsia="MS Mincho" w:hAnsi="Calibri" w:cs="Calibri"/>
          <w:color w:val="000000"/>
          <w:sz w:val="20"/>
          <w:szCs w:val="20"/>
          <w:lang w:val="en-GB" w:eastAsia="en-GB"/>
        </w:rPr>
        <w:t xml:space="preserve"> large intestine perforation (n = 1), neutropenic sepsis (n = 1), metastases to lung (n = 1), acute respiratory failure (n = 1), pneumonia aspiration (n = 1), and respiratory failure (n = 2). Grade 5 events in the dacarbazine arm were cardiac arrest (n = 1), general physical health deterioration (n = 1), and respiratory failure (n = 1). </w:t>
      </w:r>
    </w:p>
    <w:p w:rsidR="001D3F02" w:rsidRPr="001D3F02" w:rsidRDefault="001D3F02" w:rsidP="001D3F02">
      <w:pPr>
        <w:spacing w:after="0" w:line="480" w:lineRule="auto"/>
        <w:rPr>
          <w:rFonts w:ascii="Calibri" w:eastAsia="MS Mincho" w:hAnsi="Calibri" w:cs="Calibri"/>
          <w:sz w:val="24"/>
          <w:szCs w:val="24"/>
          <w:lang w:val="en-GB" w:eastAsia="en-GB"/>
        </w:rPr>
      </w:pPr>
      <w:r w:rsidRPr="001D3F02">
        <w:rPr>
          <w:rFonts w:ascii="Calibri" w:eastAsia="MS Mincho" w:hAnsi="Calibri" w:cs="Calibri"/>
          <w:sz w:val="20"/>
          <w:szCs w:val="24"/>
          <w:lang w:val="en-GB" w:eastAsia="en-GB"/>
        </w:rPr>
        <w:t>SAE, serious adverse event;</w:t>
      </w:r>
      <w:r w:rsidRPr="001D3F02">
        <w:rPr>
          <w:rFonts w:ascii="Calibri" w:eastAsia="MS Mincho" w:hAnsi="Calibri" w:cs="Times New Roman"/>
          <w:sz w:val="20"/>
          <w:szCs w:val="24"/>
          <w:lang w:val="en-GB" w:eastAsia="en-GB"/>
        </w:rPr>
        <w:t xml:space="preserve"> </w:t>
      </w:r>
      <w:r w:rsidRPr="001D3F02">
        <w:rPr>
          <w:rFonts w:ascii="Calibri" w:eastAsia="MS Mincho" w:hAnsi="Calibri" w:cs="Calibri"/>
          <w:sz w:val="20"/>
          <w:szCs w:val="24"/>
          <w:lang w:val="en-GB" w:eastAsia="en-GB"/>
        </w:rPr>
        <w:t>TEAE, treatment-emergent adverse event</w:t>
      </w:r>
      <w:r w:rsidRPr="001D3F02">
        <w:rPr>
          <w:rFonts w:ascii="Calibri" w:eastAsia="MS Mincho" w:hAnsi="Calibri" w:cs="Calibri"/>
          <w:sz w:val="24"/>
          <w:szCs w:val="24"/>
          <w:lang w:val="en-GB" w:eastAsia="en-GB"/>
        </w:rPr>
        <w:t>.</w:t>
      </w:r>
    </w:p>
    <w:p w:rsidR="00E64473" w:rsidRDefault="00E64473"/>
    <w:sectPr w:rsidR="00E64473" w:rsidSect="00297DE0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91546">
      <w:pPr>
        <w:spacing w:after="0" w:line="240" w:lineRule="auto"/>
      </w:pPr>
      <w:r>
        <w:separator/>
      </w:r>
    </w:p>
  </w:endnote>
  <w:endnote w:type="continuationSeparator" w:id="0">
    <w:p w:rsidR="00000000" w:rsidRDefault="00891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826381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3D1B" w:rsidRDefault="001D3F02" w:rsidP="002E10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91546">
      <w:pPr>
        <w:spacing w:after="0" w:line="240" w:lineRule="auto"/>
      </w:pPr>
      <w:r>
        <w:separator/>
      </w:r>
    </w:p>
  </w:footnote>
  <w:footnote w:type="continuationSeparator" w:id="0">
    <w:p w:rsidR="00000000" w:rsidRDefault="00891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02"/>
    <w:rsid w:val="001D3F02"/>
    <w:rsid w:val="00891546"/>
    <w:rsid w:val="008D121E"/>
    <w:rsid w:val="00E6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C4A19"/>
  <w15:chartTrackingRefBased/>
  <w15:docId w15:val="{098D7EF1-70DA-475F-9A85-385E9A06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D3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3F02"/>
  </w:style>
  <w:style w:type="table" w:customStyle="1" w:styleId="TableGrid11">
    <w:name w:val="Table Grid11"/>
    <w:basedOn w:val="TableNormal"/>
    <w:next w:val="TableGrid"/>
    <w:uiPriority w:val="39"/>
    <w:rsid w:val="001D3F02"/>
    <w:pPr>
      <w:spacing w:after="0" w:line="240" w:lineRule="auto"/>
    </w:pPr>
    <w:rPr>
      <w:rFonts w:eastAsia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D3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D3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megan.weigel</dc:creator>
  <cp:keywords/>
  <dc:description/>
  <cp:lastModifiedBy>Kevin Ryder</cp:lastModifiedBy>
  <cp:revision>2</cp:revision>
  <dcterms:created xsi:type="dcterms:W3CDTF">2019-04-02T16:55:00Z</dcterms:created>
  <dcterms:modified xsi:type="dcterms:W3CDTF">2019-04-02T16:55:00Z</dcterms:modified>
</cp:coreProperties>
</file>