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47C" w:rsidRPr="009C3DAB" w:rsidRDefault="0003547C" w:rsidP="0003547C">
      <w:pPr>
        <w:spacing w:line="480" w:lineRule="auto"/>
        <w:rPr>
          <w:rFonts w:ascii="Calibri" w:hAnsi="Calibri"/>
          <w:u w:val="single"/>
          <w:lang w:val="en-GB"/>
        </w:rPr>
      </w:pPr>
      <w:r w:rsidRPr="009C3DAB">
        <w:rPr>
          <w:rFonts w:ascii="Calibri" w:hAnsi="Calibri"/>
          <w:u w:val="single"/>
          <w:lang w:val="en-GB"/>
        </w:rPr>
        <w:t xml:space="preserve">Supplementary </w:t>
      </w:r>
      <w:r w:rsidR="000E6939">
        <w:rPr>
          <w:rFonts w:ascii="Calibri" w:hAnsi="Calibri"/>
          <w:u w:val="single"/>
          <w:lang w:val="en-GB"/>
        </w:rPr>
        <w:t xml:space="preserve">Information </w:t>
      </w:r>
    </w:p>
    <w:p w:rsidR="0003547C" w:rsidRPr="007B5379" w:rsidRDefault="0003547C" w:rsidP="0003547C">
      <w:pPr>
        <w:spacing w:line="480" w:lineRule="auto"/>
        <w:rPr>
          <w:rFonts w:ascii="Calibri" w:hAnsi="Calibri" w:cs="Arial"/>
          <w:lang w:val="en-GB"/>
        </w:rPr>
      </w:pPr>
      <w:proofErr w:type="spellStart"/>
      <w:r w:rsidRPr="009C3DAB">
        <w:rPr>
          <w:rFonts w:ascii="Calibri" w:hAnsi="Calibri" w:cs="Arial"/>
          <w:b/>
          <w:lang w:val="en-GB"/>
        </w:rPr>
        <w:t>PREvent</w:t>
      </w:r>
      <w:proofErr w:type="spellEnd"/>
      <w:r w:rsidRPr="009C3DAB">
        <w:rPr>
          <w:rFonts w:ascii="Calibri" w:hAnsi="Calibri" w:cs="Arial"/>
          <w:b/>
          <w:lang w:val="en-GB"/>
        </w:rPr>
        <w:t xml:space="preserve"> ductal Carcinoma In Situ Invasive Overtreatment Now (PRECISION) initiative</w:t>
      </w:r>
      <w:r w:rsidRPr="00E44140">
        <w:rPr>
          <w:rFonts w:ascii="Calibri" w:hAnsi="Calibri"/>
          <w:b/>
          <w:lang w:val="en-GB"/>
        </w:rPr>
        <w:t xml:space="preserve"> </w:t>
      </w:r>
    </w:p>
    <w:p w:rsidR="0003547C" w:rsidRPr="00E363E4" w:rsidRDefault="0003547C" w:rsidP="0003547C">
      <w:pPr>
        <w:spacing w:line="480" w:lineRule="auto"/>
        <w:rPr>
          <w:rFonts w:ascii="Calibri" w:hAnsi="Calibri"/>
          <w:lang w:val="en-GB"/>
        </w:rPr>
      </w:pPr>
      <w:r w:rsidRPr="002829D8">
        <w:rPr>
          <w:rFonts w:ascii="Calibri" w:hAnsi="Calibri" w:cs="Arial"/>
          <w:lang w:val="en-GB"/>
        </w:rPr>
        <w:t>In 2015</w:t>
      </w:r>
      <w:r>
        <w:rPr>
          <w:rFonts w:ascii="Calibri" w:hAnsi="Calibri" w:cs="Arial"/>
          <w:lang w:val="en-GB"/>
        </w:rPr>
        <w:t>,</w:t>
      </w:r>
      <w:r w:rsidRPr="002829D8">
        <w:rPr>
          <w:rFonts w:ascii="Calibri" w:hAnsi="Calibri" w:cs="Arial"/>
          <w:lang w:val="en-GB"/>
        </w:rPr>
        <w:t xml:space="preserve"> we </w:t>
      </w:r>
      <w:r>
        <w:rPr>
          <w:rFonts w:ascii="Calibri" w:hAnsi="Calibri" w:cs="Arial"/>
          <w:lang w:val="en-GB"/>
        </w:rPr>
        <w:t>commenced</w:t>
      </w:r>
      <w:r w:rsidRPr="002829D8">
        <w:rPr>
          <w:rFonts w:ascii="Calibri" w:hAnsi="Calibri" w:cs="Arial"/>
          <w:lang w:val="en-GB"/>
        </w:rPr>
        <w:t xml:space="preserve"> the </w:t>
      </w:r>
      <w:proofErr w:type="spellStart"/>
      <w:r w:rsidRPr="0035147D">
        <w:rPr>
          <w:rFonts w:ascii="Calibri" w:hAnsi="Calibri" w:cs="Arial"/>
          <w:lang w:val="en-GB"/>
        </w:rPr>
        <w:t>PREvent</w:t>
      </w:r>
      <w:proofErr w:type="spellEnd"/>
      <w:r w:rsidRPr="0035147D">
        <w:rPr>
          <w:rFonts w:ascii="Calibri" w:hAnsi="Calibri" w:cs="Arial"/>
          <w:lang w:val="en-GB"/>
        </w:rPr>
        <w:t xml:space="preserve"> ductal Carcinoma In S</w:t>
      </w:r>
      <w:r>
        <w:rPr>
          <w:rFonts w:ascii="Calibri" w:hAnsi="Calibri" w:cs="Arial"/>
          <w:lang w:val="en-GB"/>
        </w:rPr>
        <w:t>itu Invasive Overtreatment Now</w:t>
      </w:r>
      <w:r w:rsidRPr="0035147D">
        <w:rPr>
          <w:rFonts w:ascii="Calibri" w:hAnsi="Calibri" w:cs="Arial"/>
          <w:lang w:val="en-GB"/>
        </w:rPr>
        <w:t xml:space="preserve"> </w:t>
      </w:r>
      <w:r>
        <w:rPr>
          <w:rFonts w:ascii="Calibri" w:hAnsi="Calibri" w:cs="Arial"/>
          <w:lang w:val="en-GB"/>
        </w:rPr>
        <w:t>(</w:t>
      </w:r>
      <w:r w:rsidRPr="002829D8">
        <w:rPr>
          <w:rFonts w:ascii="Calibri" w:hAnsi="Calibri" w:cs="Arial"/>
          <w:lang w:val="en-GB"/>
        </w:rPr>
        <w:t>PRECISION</w:t>
      </w:r>
      <w:r>
        <w:rPr>
          <w:rFonts w:ascii="Calibri" w:hAnsi="Calibri" w:cs="Arial"/>
          <w:lang w:val="en-GB"/>
        </w:rPr>
        <w:t>)</w:t>
      </w:r>
      <w:r w:rsidRPr="002829D8">
        <w:rPr>
          <w:rFonts w:ascii="Calibri" w:hAnsi="Calibri" w:cs="Arial"/>
          <w:lang w:val="en-GB"/>
        </w:rPr>
        <w:t xml:space="preserve"> initiative</w:t>
      </w:r>
      <w:r>
        <w:rPr>
          <w:rFonts w:ascii="Calibri" w:hAnsi="Calibri" w:cs="Arial"/>
          <w:lang w:val="en-GB"/>
        </w:rPr>
        <w:t xml:space="preserve"> by</w:t>
      </w:r>
      <w:r w:rsidRPr="002829D8">
        <w:rPr>
          <w:rFonts w:ascii="Calibri" w:hAnsi="Calibri" w:cs="Arial"/>
          <w:lang w:val="en-GB"/>
        </w:rPr>
        <w:t xml:space="preserve"> applying to the Cancer Research UK Grand Challenge theme ‘When is cancer not really cancer’. We brought together a </w:t>
      </w:r>
      <w:r>
        <w:rPr>
          <w:rFonts w:ascii="Calibri" w:hAnsi="Calibri" w:cs="Arial"/>
          <w:lang w:val="en-GB"/>
        </w:rPr>
        <w:t xml:space="preserve">complementary team </w:t>
      </w:r>
      <w:r w:rsidRPr="002829D8">
        <w:rPr>
          <w:rFonts w:ascii="Calibri" w:hAnsi="Calibri" w:cs="Arial"/>
          <w:lang w:val="en-GB"/>
        </w:rPr>
        <w:t xml:space="preserve">of scientific, clinical and patient expertise needed to change clinical practice regarding </w:t>
      </w:r>
      <w:r>
        <w:rPr>
          <w:rFonts w:ascii="Calibri" w:hAnsi="Calibri" w:cs="Arial"/>
          <w:lang w:val="en-GB"/>
        </w:rPr>
        <w:t>the</w:t>
      </w:r>
      <w:r w:rsidRPr="002829D8">
        <w:rPr>
          <w:rFonts w:ascii="Calibri" w:hAnsi="Calibri" w:cs="Arial"/>
          <w:lang w:val="en-GB"/>
        </w:rPr>
        <w:t xml:space="preserve"> diagnosis and managemen</w:t>
      </w:r>
      <w:r>
        <w:rPr>
          <w:rFonts w:ascii="Calibri" w:hAnsi="Calibri" w:cs="Arial"/>
          <w:lang w:val="en-GB"/>
        </w:rPr>
        <w:t>t of DCIS, to ignite</w:t>
      </w:r>
      <w:r w:rsidRPr="002829D8">
        <w:rPr>
          <w:rFonts w:ascii="Calibri" w:hAnsi="Calibri" w:cs="Arial"/>
          <w:lang w:val="en-GB"/>
        </w:rPr>
        <w:t xml:space="preserve"> new ideas and</w:t>
      </w:r>
      <w:r>
        <w:rPr>
          <w:rFonts w:ascii="Calibri" w:hAnsi="Calibri" w:cs="Arial"/>
          <w:lang w:val="en-GB"/>
        </w:rPr>
        <w:t xml:space="preserve"> to</w:t>
      </w:r>
      <w:r w:rsidRPr="002829D8">
        <w:rPr>
          <w:rFonts w:ascii="Calibri" w:hAnsi="Calibri" w:cs="Arial"/>
          <w:lang w:val="en-GB"/>
        </w:rPr>
        <w:t xml:space="preserve"> hasten the translation of science to the clinical setting. </w:t>
      </w:r>
      <w:r>
        <w:rPr>
          <w:rFonts w:ascii="Calibri" w:hAnsi="Calibri" w:cs="Arial"/>
          <w:lang w:val="en-GB"/>
        </w:rPr>
        <w:t>Through</w:t>
      </w:r>
      <w:r w:rsidRPr="002829D8">
        <w:rPr>
          <w:rFonts w:ascii="Calibri" w:hAnsi="Calibri" w:cs="Arial"/>
          <w:lang w:val="en-GB"/>
        </w:rPr>
        <w:t xml:space="preserve"> this multidisciplinary approach we </w:t>
      </w:r>
      <w:r>
        <w:rPr>
          <w:rFonts w:ascii="Calibri" w:hAnsi="Calibri" w:cs="Arial"/>
          <w:lang w:val="en-GB"/>
        </w:rPr>
        <w:t>are aiming to</w:t>
      </w:r>
      <w:r w:rsidRPr="002829D8">
        <w:rPr>
          <w:rFonts w:ascii="Calibri" w:hAnsi="Calibri" w:cs="Arial"/>
          <w:lang w:val="en-GB"/>
        </w:rPr>
        <w:t xml:space="preserve"> address 9 out of </w:t>
      </w:r>
      <w:r>
        <w:rPr>
          <w:rFonts w:ascii="Calibri" w:hAnsi="Calibri" w:cs="Arial"/>
          <w:lang w:val="en-GB"/>
        </w:rPr>
        <w:t xml:space="preserve">the top </w:t>
      </w:r>
      <w:r w:rsidRPr="002829D8">
        <w:rPr>
          <w:rFonts w:ascii="Calibri" w:hAnsi="Calibri" w:cs="Arial"/>
          <w:lang w:val="en-GB"/>
        </w:rPr>
        <w:t xml:space="preserve">10 priorities in DCIS research as outlined by </w:t>
      </w:r>
      <w:proofErr w:type="spellStart"/>
      <w:r w:rsidRPr="002829D8">
        <w:rPr>
          <w:rFonts w:ascii="Calibri" w:hAnsi="Calibri" w:cs="Arial"/>
          <w:lang w:val="en-GB"/>
        </w:rPr>
        <w:t>Gierisch</w:t>
      </w:r>
      <w:proofErr w:type="spellEnd"/>
      <w:r w:rsidRPr="002829D8">
        <w:rPr>
          <w:rFonts w:ascii="Calibri" w:hAnsi="Calibri" w:cs="Arial"/>
          <w:lang w:val="en-GB"/>
        </w:rPr>
        <w:t xml:space="preserve"> </w:t>
      </w:r>
      <w:r w:rsidRPr="0017450E">
        <w:rPr>
          <w:rFonts w:ascii="Calibri" w:hAnsi="Calibri" w:cs="Arial"/>
          <w:i/>
          <w:lang w:val="en-GB"/>
        </w:rPr>
        <w:t>et al.</w:t>
      </w:r>
      <w:r w:rsidRPr="002829D8">
        <w:rPr>
          <w:rFonts w:ascii="Calibri" w:hAnsi="Calibri" w:cs="Arial"/>
          <w:lang w:val="en-GB"/>
        </w:rPr>
        <w:fldChar w:fldCharType="begin" w:fldLock="1"/>
      </w:r>
      <w:r>
        <w:rPr>
          <w:rFonts w:ascii="Calibri" w:hAnsi="Calibri" w:cs="Arial"/>
          <w:lang w:val="en-GB"/>
        </w:rPr>
        <w:instrText>ADDIN CSL_CITATION {"citationItems":[{"id":"ITEM-1","itemData":{"DOI":"10.7326/M13-2548","ISSN":"1539-3704 (Electronic) 0003-4819 (Linking)","abstract":"Ductal carcinoma in situ is a common finding in women having mammography screening, and there is considerable uncertainty about the balance of harms and benefits of different management options. This article outlines the process for developing a prioritized research agenda for the Patient-Centered Outcomes Research Institute as informed by a diverse group of stakeholders on the management of ductal carcinoma in situ. Evidence gaps were identified by reviewing existing literature and engaging diverse stakeholders to refine these gaps. Stakeholders ranked evidence gaps by importance from their perspectives using a forced-ranking prioritization method. PubMed was searched for relevant recent studies, and ClinicalTrials.gov was searched for relevant ongoing trials for the 10 highest-ranked evidence gaps. Strengths and limitations of different study designs were assessed to address gaps. Stakeholders prioritized evidence gaps related to incorporation of patient-centered outcomes into future research, development of better methods to predict risk for invasive cancer, evaluation of a strategy of active surveillance, and testing of decision-making tools. The degree to which prioritized evidence gaps may have already been addressed is uncertain because a comprehensive systematic review has not been done.","author":[{"dropping-particle":"","family":"Gierisch","given":"J M","non-dropping-particle":"","parse-names":false,"suffix":""},{"dropping-particle":"","family":"Myers","given":"E R","non-dropping-particle":"","parse-names":false,"suffix":""},{"dropping-particle":"","family":"Schmit","given":"K M","non-dropping-particle":"","parse-names":false,"suffix":""},{"dropping-particle":"","family":"Crowley","given":"M J","non-dropping-particle":"","parse-names":false,"suffix":""},{"dropping-particle":"","family":"McCrory","given":"D C","non-dropping-particle":"","parse-names":false,"suffix":""},{"dropping-particle":"","family":"Chatterjee","given":"R","non-dropping-particle":"","parse-names":false,"suffix":""},{"dropping-particle":"","family":"Coeytaux","given":"R R","non-dropping-particle":"","parse-names":false,"suffix":""},{"dropping-particle":"","family":"Kendrick","given":"A","non-dropping-particle":"","parse-names":false,"suffix":""},{"dropping-particle":"","family":"Sanders","given":"G D","non-dropping-particle":"","parse-names":false,"suffix":""}],"container-title":"Ann Intern Med","id":"ITEM-1","issue":"7","issued":{"date-parts":[["2014"]]},"note":"Gierisch, Jennifer M\nMyers, Evan R\nSchmit, Kristine M\nCrowley, Matthew J\nMcCrory, Douglas C\nChatterjee, Ranee\nCoeytaux, Remy R\nKendrick, Amy\nSanders, Gillian D\neng\nResearch Support, Non-U.S. Gov't\n2014/02/26 06:00\nAnn Intern Med. 2014 Apr 1;160(7):484-91. doi: 10.7326/M13-2548.","page":"484-491","title":"Prioritization of research addressing management strategies for ductal carcinoma in situ","type":"article-journal","volume":"160"},"uris":["http://www.mendeley.com/documents/?uuid=057a0d89-22f9-4033-b9b8-c8ad040ced91"]}],"mendeley":{"formattedCitation":"&lt;sup&gt;90&lt;/sup&gt;","plainTextFormattedCitation":"90","previouslyFormattedCitation":"&lt;sup&gt;89&lt;/sup&gt;"},"properties":{"noteIndex":0},"schema":"https://github.com/citation-style-language/schema/raw/master/csl-citation.json"}</w:instrText>
      </w:r>
      <w:r w:rsidRPr="002829D8">
        <w:rPr>
          <w:rFonts w:ascii="Calibri" w:hAnsi="Calibri" w:cs="Arial"/>
          <w:lang w:val="en-GB"/>
        </w:rPr>
        <w:fldChar w:fldCharType="separate"/>
      </w:r>
      <w:r w:rsidRPr="00446501">
        <w:rPr>
          <w:rFonts w:ascii="Calibri" w:hAnsi="Calibri" w:cs="Arial"/>
          <w:noProof/>
          <w:vertAlign w:val="superscript"/>
          <w:lang w:val="en-GB"/>
        </w:rPr>
        <w:t>90</w:t>
      </w:r>
      <w:r w:rsidRPr="002829D8">
        <w:rPr>
          <w:rFonts w:ascii="Calibri" w:hAnsi="Calibri" w:cs="Arial"/>
          <w:lang w:val="en-GB"/>
        </w:rPr>
        <w:fldChar w:fldCharType="end"/>
      </w:r>
      <w:r w:rsidRPr="002829D8">
        <w:rPr>
          <w:rFonts w:ascii="Calibri" w:hAnsi="Calibri" w:cs="Arial"/>
          <w:lang w:val="en-GB"/>
        </w:rPr>
        <w:t xml:space="preserve"> (</w:t>
      </w:r>
      <w:r>
        <w:rPr>
          <w:rFonts w:ascii="Calibri" w:hAnsi="Calibri" w:cs="Arial"/>
          <w:lang w:val="en-GB"/>
        </w:rPr>
        <w:t>T</w:t>
      </w:r>
      <w:r w:rsidRPr="002829D8">
        <w:rPr>
          <w:rFonts w:ascii="Calibri" w:hAnsi="Calibri" w:cs="Arial"/>
          <w:lang w:val="en-GB"/>
        </w:rPr>
        <w:t>able 1). In 2017</w:t>
      </w:r>
      <w:r>
        <w:rPr>
          <w:rFonts w:ascii="Calibri" w:hAnsi="Calibri" w:cs="Arial"/>
          <w:lang w:val="en-GB"/>
        </w:rPr>
        <w:t>,</w:t>
      </w:r>
      <w:r w:rsidRPr="002829D8">
        <w:rPr>
          <w:rFonts w:ascii="Calibri" w:hAnsi="Calibri" w:cs="Arial"/>
          <w:lang w:val="en-GB"/>
        </w:rPr>
        <w:t xml:space="preserve"> the PRECISION initiative was awarded £</w:t>
      </w:r>
      <w:r>
        <w:rPr>
          <w:rFonts w:ascii="Calibri" w:hAnsi="Calibri" w:cs="Arial"/>
          <w:lang w:val="en-GB"/>
        </w:rPr>
        <w:t>15 million</w:t>
      </w:r>
      <w:r w:rsidRPr="002829D8">
        <w:rPr>
          <w:rFonts w:ascii="Calibri" w:hAnsi="Calibri" w:cs="Arial"/>
          <w:lang w:val="en-GB"/>
        </w:rPr>
        <w:t xml:space="preserve"> to distinguish harmless from hazardous DCIS</w:t>
      </w:r>
      <w:r>
        <w:rPr>
          <w:rFonts w:ascii="Calibri" w:hAnsi="Calibri" w:cs="Arial"/>
          <w:lang w:val="en-GB"/>
        </w:rPr>
        <w:t xml:space="preserve">. </w:t>
      </w:r>
      <w:r w:rsidRPr="002829D8">
        <w:rPr>
          <w:rFonts w:ascii="Calibri" w:hAnsi="Calibri" w:cs="Arial"/>
          <w:lang w:val="en-GB"/>
        </w:rPr>
        <w:t xml:space="preserve">The PRECISION </w:t>
      </w:r>
      <w:r>
        <w:rPr>
          <w:rFonts w:ascii="Calibri" w:hAnsi="Calibri" w:cs="Arial"/>
          <w:lang w:val="en-GB"/>
        </w:rPr>
        <w:t xml:space="preserve">initiative </w:t>
      </w:r>
      <w:r w:rsidRPr="002829D8">
        <w:rPr>
          <w:rFonts w:ascii="Calibri" w:hAnsi="Calibri" w:cs="Arial"/>
          <w:lang w:val="en-GB"/>
        </w:rPr>
        <w:t xml:space="preserve">consists of </w:t>
      </w:r>
      <w:r>
        <w:rPr>
          <w:rFonts w:ascii="Calibri" w:hAnsi="Calibri" w:cs="Arial"/>
          <w:lang w:val="en-GB"/>
        </w:rPr>
        <w:t>seven inter</w:t>
      </w:r>
      <w:r w:rsidRPr="002829D8">
        <w:rPr>
          <w:rFonts w:ascii="Calibri" w:hAnsi="Calibri" w:cs="Arial"/>
          <w:lang w:val="en-GB"/>
        </w:rPr>
        <w:t xml:space="preserve">linked work packages and </w:t>
      </w:r>
      <w:r>
        <w:rPr>
          <w:rFonts w:ascii="Calibri" w:hAnsi="Calibri" w:cs="Arial"/>
          <w:lang w:val="en-GB"/>
        </w:rPr>
        <w:t>four</w:t>
      </w:r>
      <w:r w:rsidRPr="002829D8">
        <w:rPr>
          <w:rFonts w:ascii="Calibri" w:hAnsi="Calibri" w:cs="Arial"/>
          <w:lang w:val="en-GB"/>
        </w:rPr>
        <w:t xml:space="preserve"> supporting working groups, as outlined in</w:t>
      </w:r>
      <w:r w:rsidR="00B52C7C">
        <w:rPr>
          <w:rFonts w:ascii="Calibri" w:hAnsi="Calibri" w:cs="Arial"/>
          <w:lang w:val="en-GB"/>
        </w:rPr>
        <w:t xml:space="preserve"> Supplementary</w:t>
      </w:r>
      <w:r>
        <w:rPr>
          <w:rFonts w:ascii="Calibri" w:hAnsi="Calibri" w:cs="Arial"/>
          <w:lang w:val="en-GB"/>
        </w:rPr>
        <w:t xml:space="preserve"> </w:t>
      </w:r>
      <w:r w:rsidR="00B43ECE">
        <w:rPr>
          <w:rFonts w:ascii="Calibri" w:hAnsi="Calibri" w:cs="Arial"/>
          <w:lang w:val="en-GB"/>
        </w:rPr>
        <w:t>F</w:t>
      </w:r>
      <w:r w:rsidRPr="002829D8">
        <w:rPr>
          <w:rFonts w:ascii="Calibri" w:hAnsi="Calibri" w:cs="Arial"/>
          <w:lang w:val="en-GB"/>
        </w:rPr>
        <w:t xml:space="preserve">igure </w:t>
      </w:r>
      <w:r w:rsidR="00B52C7C">
        <w:rPr>
          <w:rFonts w:ascii="Calibri" w:hAnsi="Calibri" w:cs="Arial"/>
          <w:lang w:val="en-GB"/>
        </w:rPr>
        <w:t>1</w:t>
      </w:r>
      <w:r w:rsidRPr="002829D8">
        <w:rPr>
          <w:rFonts w:ascii="Calibri" w:hAnsi="Calibri" w:cs="Arial"/>
          <w:lang w:val="en-GB"/>
        </w:rPr>
        <w:t>.</w:t>
      </w:r>
    </w:p>
    <w:p w:rsidR="0003547C" w:rsidRDefault="0003547C" w:rsidP="0003547C">
      <w:pPr>
        <w:spacing w:line="480" w:lineRule="auto"/>
        <w:rPr>
          <w:rFonts w:ascii="Calibri" w:hAnsi="Calibri" w:cs="Arial"/>
          <w:lang w:val="en-GB"/>
        </w:rPr>
      </w:pPr>
      <w:r w:rsidRPr="00E44140">
        <w:rPr>
          <w:rFonts w:ascii="Calibri" w:hAnsi="Calibri"/>
          <w:b/>
          <w:lang w:val="en-GB"/>
        </w:rPr>
        <w:t xml:space="preserve">Curation of DCIS cohorts (Work Package (WP1): </w:t>
      </w:r>
      <w:r>
        <w:rPr>
          <w:rFonts w:ascii="Calibri" w:hAnsi="Calibri" w:cs="Arial"/>
          <w:lang w:val="en-GB"/>
        </w:rPr>
        <w:t>T</w:t>
      </w:r>
      <w:r w:rsidRPr="002829D8">
        <w:rPr>
          <w:rFonts w:ascii="Calibri" w:hAnsi="Calibri" w:cs="Arial"/>
          <w:lang w:val="en-GB"/>
        </w:rPr>
        <w:t>he PRECIS</w:t>
      </w:r>
      <w:r>
        <w:rPr>
          <w:rFonts w:ascii="Calibri" w:hAnsi="Calibri" w:cs="Arial"/>
          <w:lang w:val="en-GB"/>
        </w:rPr>
        <w:t>I</w:t>
      </w:r>
      <w:r w:rsidRPr="002829D8">
        <w:rPr>
          <w:rFonts w:ascii="Calibri" w:hAnsi="Calibri" w:cs="Arial"/>
          <w:lang w:val="en-GB"/>
        </w:rPr>
        <w:t>ON project enables the collection of large tissue resources from both retrospective and prospective clinical trials</w:t>
      </w:r>
      <w:r>
        <w:rPr>
          <w:rFonts w:ascii="Calibri" w:hAnsi="Calibri" w:cs="Arial"/>
          <w:lang w:val="en-GB"/>
        </w:rPr>
        <w:t xml:space="preserve">. Supplementary </w:t>
      </w:r>
      <w:r w:rsidRPr="002829D8">
        <w:rPr>
          <w:rFonts w:ascii="Calibri" w:hAnsi="Calibri" w:cs="Arial"/>
          <w:lang w:val="en-GB"/>
        </w:rPr>
        <w:t xml:space="preserve">Table </w:t>
      </w:r>
      <w:r>
        <w:rPr>
          <w:rFonts w:ascii="Calibri" w:hAnsi="Calibri" w:cs="Arial"/>
          <w:lang w:val="en-GB"/>
        </w:rPr>
        <w:t>1</w:t>
      </w:r>
      <w:r w:rsidRPr="002829D8">
        <w:rPr>
          <w:rFonts w:ascii="Calibri" w:hAnsi="Calibri" w:cs="Arial"/>
          <w:lang w:val="en-GB"/>
        </w:rPr>
        <w:t xml:space="preserve"> gives an overview of the cohorts which will form the basis of the PRECISION effort. Clinical data, including long</w:t>
      </w:r>
      <w:r>
        <w:rPr>
          <w:rFonts w:ascii="Calibri" w:hAnsi="Calibri" w:cs="Arial"/>
          <w:lang w:val="en-GB"/>
        </w:rPr>
        <w:t>-</w:t>
      </w:r>
      <w:r w:rsidRPr="002829D8">
        <w:rPr>
          <w:rFonts w:ascii="Calibri" w:hAnsi="Calibri" w:cs="Arial"/>
          <w:lang w:val="en-GB"/>
        </w:rPr>
        <w:t>time follow up, tissue blocks and imaging data obtained through pooling multiple retrospective clinical studies based in the US</w:t>
      </w:r>
      <w:r>
        <w:rPr>
          <w:rFonts w:ascii="Calibri" w:hAnsi="Calibri" w:cs="Arial"/>
          <w:lang w:val="en-GB"/>
        </w:rPr>
        <w:t>A</w:t>
      </w:r>
      <w:r w:rsidRPr="002829D8">
        <w:rPr>
          <w:rFonts w:ascii="Calibri" w:hAnsi="Calibri" w:cs="Arial"/>
          <w:lang w:val="en-GB"/>
        </w:rPr>
        <w:t>, UK and the Netherlands</w:t>
      </w:r>
      <w:r>
        <w:rPr>
          <w:rFonts w:ascii="Calibri" w:hAnsi="Calibri" w:cs="Arial"/>
          <w:lang w:val="en-GB"/>
        </w:rPr>
        <w:t>,</w:t>
      </w:r>
      <w:r w:rsidRPr="002829D8">
        <w:rPr>
          <w:rFonts w:ascii="Calibri" w:hAnsi="Calibri" w:cs="Arial"/>
          <w:lang w:val="en-GB"/>
        </w:rPr>
        <w:t xml:space="preserve"> are available for a</w:t>
      </w:r>
      <w:r>
        <w:rPr>
          <w:rFonts w:ascii="Calibri" w:hAnsi="Calibri" w:cs="Arial"/>
          <w:lang w:val="en-GB"/>
        </w:rPr>
        <w:t>n in-d</w:t>
      </w:r>
      <w:r w:rsidRPr="002829D8">
        <w:rPr>
          <w:rFonts w:ascii="Calibri" w:hAnsi="Calibri" w:cs="Arial"/>
          <w:lang w:val="en-GB"/>
        </w:rPr>
        <w:t>ep</w:t>
      </w:r>
      <w:r>
        <w:rPr>
          <w:rFonts w:ascii="Calibri" w:hAnsi="Calibri" w:cs="Arial"/>
          <w:lang w:val="en-GB"/>
        </w:rPr>
        <w:t>th</w:t>
      </w:r>
      <w:r w:rsidRPr="002829D8">
        <w:rPr>
          <w:rFonts w:ascii="Calibri" w:hAnsi="Calibri" w:cs="Arial"/>
          <w:lang w:val="en-GB"/>
        </w:rPr>
        <w:t xml:space="preserve"> characteri</w:t>
      </w:r>
      <w:r>
        <w:rPr>
          <w:rFonts w:ascii="Calibri" w:hAnsi="Calibri" w:cs="Arial"/>
          <w:lang w:val="en-GB"/>
        </w:rPr>
        <w:t>s</w:t>
      </w:r>
      <w:r w:rsidRPr="002829D8">
        <w:rPr>
          <w:rFonts w:ascii="Calibri" w:hAnsi="Calibri" w:cs="Arial"/>
          <w:lang w:val="en-GB"/>
        </w:rPr>
        <w:t xml:space="preserve">ation of indolent and aggressive DCIS. These series will be used in WP2, 3 and 4 to </w:t>
      </w:r>
      <w:r>
        <w:rPr>
          <w:rFonts w:ascii="Calibri" w:hAnsi="Calibri" w:cs="Arial"/>
          <w:lang w:val="en-GB"/>
        </w:rPr>
        <w:t>gain</w:t>
      </w:r>
      <w:r w:rsidRPr="002829D8">
        <w:rPr>
          <w:rFonts w:ascii="Calibri" w:hAnsi="Calibri" w:cs="Arial"/>
          <w:lang w:val="en-GB"/>
        </w:rPr>
        <w:t xml:space="preserve"> a deep and thorough understanding of DCIS.  </w:t>
      </w:r>
      <w:r w:rsidR="00BF38B9" w:rsidRPr="003F44A4">
        <w:rPr>
          <w:rFonts w:ascii="Calibri" w:hAnsi="Calibri" w:cs="Arial"/>
          <w:lang w:val="en-GB"/>
        </w:rPr>
        <w:t>Most importantly</w:t>
      </w:r>
      <w:r w:rsidR="00D22C0F" w:rsidRPr="003F44A4">
        <w:rPr>
          <w:rFonts w:ascii="Calibri" w:hAnsi="Calibri" w:cs="Arial"/>
          <w:lang w:val="en-GB"/>
        </w:rPr>
        <w:t>, to address the heterogeneity issue in DCIS</w:t>
      </w:r>
      <w:r w:rsidR="00BF38B9" w:rsidRPr="003F44A4">
        <w:rPr>
          <w:rFonts w:ascii="Calibri" w:hAnsi="Calibri" w:cs="Arial"/>
          <w:lang w:val="en-GB"/>
        </w:rPr>
        <w:t xml:space="preserve">, the studies </w:t>
      </w:r>
      <w:r w:rsidR="00D22C0F" w:rsidRPr="003F44A4">
        <w:rPr>
          <w:rFonts w:ascii="Calibri" w:hAnsi="Calibri" w:cs="Arial"/>
          <w:lang w:val="en-GB"/>
        </w:rPr>
        <w:t>contain large datasets</w:t>
      </w:r>
      <w:r w:rsidR="00BF38B9" w:rsidRPr="003F44A4">
        <w:rPr>
          <w:rFonts w:ascii="Calibri" w:hAnsi="Calibri" w:cs="Arial"/>
          <w:lang w:val="en-GB"/>
        </w:rPr>
        <w:t>, collected in different settings (population/hospital based and screening setting) and capture different populations.</w:t>
      </w:r>
      <w:r w:rsidR="00BF38B9">
        <w:rPr>
          <w:rFonts w:ascii="Calibri" w:hAnsi="Calibri" w:cs="Arial"/>
          <w:lang w:val="en-GB"/>
        </w:rPr>
        <w:t xml:space="preserve"> </w:t>
      </w:r>
    </w:p>
    <w:p w:rsidR="00235548" w:rsidRDefault="00235548" w:rsidP="0003547C">
      <w:pPr>
        <w:autoSpaceDE w:val="0"/>
        <w:autoSpaceDN w:val="0"/>
        <w:adjustRightInd w:val="0"/>
        <w:spacing w:line="240" w:lineRule="auto"/>
        <w:rPr>
          <w:rFonts w:ascii="Calibri" w:hAnsi="Calibri" w:cs="Arial"/>
          <w:b/>
          <w:i/>
          <w:lang w:val="en-GB"/>
        </w:rPr>
      </w:pPr>
    </w:p>
    <w:p w:rsidR="00235548" w:rsidRDefault="00235548" w:rsidP="0003547C">
      <w:pPr>
        <w:autoSpaceDE w:val="0"/>
        <w:autoSpaceDN w:val="0"/>
        <w:adjustRightInd w:val="0"/>
        <w:spacing w:line="240" w:lineRule="auto"/>
        <w:rPr>
          <w:rFonts w:ascii="Calibri" w:hAnsi="Calibri" w:cs="Arial"/>
          <w:b/>
          <w:i/>
          <w:lang w:val="en-GB"/>
        </w:rPr>
      </w:pPr>
    </w:p>
    <w:p w:rsidR="00235548" w:rsidRDefault="00235548" w:rsidP="0003547C">
      <w:pPr>
        <w:autoSpaceDE w:val="0"/>
        <w:autoSpaceDN w:val="0"/>
        <w:adjustRightInd w:val="0"/>
        <w:spacing w:line="240" w:lineRule="auto"/>
        <w:rPr>
          <w:rFonts w:ascii="Calibri" w:hAnsi="Calibri" w:cs="Arial"/>
          <w:b/>
          <w:i/>
          <w:lang w:val="en-GB"/>
        </w:rPr>
      </w:pPr>
    </w:p>
    <w:p w:rsidR="00235548" w:rsidRDefault="00235548" w:rsidP="0003547C">
      <w:pPr>
        <w:autoSpaceDE w:val="0"/>
        <w:autoSpaceDN w:val="0"/>
        <w:adjustRightInd w:val="0"/>
        <w:spacing w:line="240" w:lineRule="auto"/>
        <w:rPr>
          <w:rFonts w:ascii="Calibri" w:hAnsi="Calibri" w:cs="Arial"/>
          <w:b/>
          <w:i/>
          <w:lang w:val="en-GB"/>
        </w:rPr>
      </w:pPr>
    </w:p>
    <w:p w:rsidR="00235548" w:rsidRDefault="00235548" w:rsidP="0003547C">
      <w:pPr>
        <w:autoSpaceDE w:val="0"/>
        <w:autoSpaceDN w:val="0"/>
        <w:adjustRightInd w:val="0"/>
        <w:spacing w:line="240" w:lineRule="auto"/>
        <w:rPr>
          <w:rFonts w:ascii="Calibri" w:hAnsi="Calibri" w:cs="Arial"/>
          <w:b/>
          <w:i/>
          <w:lang w:val="en-GB"/>
        </w:rPr>
      </w:pPr>
    </w:p>
    <w:p w:rsidR="00235548" w:rsidRDefault="00235548" w:rsidP="0003547C">
      <w:pPr>
        <w:autoSpaceDE w:val="0"/>
        <w:autoSpaceDN w:val="0"/>
        <w:adjustRightInd w:val="0"/>
        <w:spacing w:line="240" w:lineRule="auto"/>
        <w:rPr>
          <w:rFonts w:ascii="Calibri" w:hAnsi="Calibri" w:cs="Arial"/>
          <w:b/>
          <w:i/>
          <w:lang w:val="en-GB"/>
        </w:rPr>
      </w:pPr>
    </w:p>
    <w:p w:rsidR="00235548" w:rsidRDefault="00235548" w:rsidP="0003547C">
      <w:pPr>
        <w:autoSpaceDE w:val="0"/>
        <w:autoSpaceDN w:val="0"/>
        <w:adjustRightInd w:val="0"/>
        <w:spacing w:line="240" w:lineRule="auto"/>
        <w:rPr>
          <w:rFonts w:ascii="Calibri" w:hAnsi="Calibri" w:cs="Arial"/>
          <w:b/>
          <w:i/>
          <w:lang w:val="en-GB"/>
        </w:rPr>
      </w:pPr>
    </w:p>
    <w:p w:rsidR="00235548" w:rsidRDefault="00235548" w:rsidP="0003547C">
      <w:pPr>
        <w:autoSpaceDE w:val="0"/>
        <w:autoSpaceDN w:val="0"/>
        <w:adjustRightInd w:val="0"/>
        <w:spacing w:line="240" w:lineRule="auto"/>
        <w:rPr>
          <w:rFonts w:ascii="Calibri" w:hAnsi="Calibri" w:cs="Arial"/>
          <w:b/>
          <w:i/>
          <w:lang w:val="en-GB"/>
        </w:rPr>
      </w:pPr>
    </w:p>
    <w:p w:rsidR="00235548" w:rsidRDefault="00235548" w:rsidP="0003547C">
      <w:pPr>
        <w:autoSpaceDE w:val="0"/>
        <w:autoSpaceDN w:val="0"/>
        <w:adjustRightInd w:val="0"/>
        <w:spacing w:line="240" w:lineRule="auto"/>
        <w:rPr>
          <w:rFonts w:ascii="Calibri" w:hAnsi="Calibri" w:cs="Arial"/>
          <w:b/>
          <w:i/>
          <w:lang w:val="en-GB"/>
        </w:rPr>
      </w:pPr>
    </w:p>
    <w:p w:rsidR="00235548" w:rsidRDefault="00235548" w:rsidP="0003547C">
      <w:pPr>
        <w:autoSpaceDE w:val="0"/>
        <w:autoSpaceDN w:val="0"/>
        <w:adjustRightInd w:val="0"/>
        <w:spacing w:line="240" w:lineRule="auto"/>
        <w:rPr>
          <w:rFonts w:ascii="Calibri" w:hAnsi="Calibri" w:cs="Arial"/>
          <w:b/>
          <w:i/>
          <w:lang w:val="en-GB"/>
        </w:rPr>
      </w:pPr>
    </w:p>
    <w:p w:rsidR="00235548" w:rsidRDefault="00235548" w:rsidP="0003547C">
      <w:pPr>
        <w:autoSpaceDE w:val="0"/>
        <w:autoSpaceDN w:val="0"/>
        <w:adjustRightInd w:val="0"/>
        <w:spacing w:line="240" w:lineRule="auto"/>
        <w:rPr>
          <w:rFonts w:ascii="Calibri" w:hAnsi="Calibri" w:cs="Arial"/>
          <w:b/>
          <w:i/>
          <w:lang w:val="en-GB"/>
        </w:rPr>
      </w:pPr>
    </w:p>
    <w:p w:rsidR="0003547C" w:rsidRPr="0003547C" w:rsidRDefault="00B43ECE" w:rsidP="0003547C">
      <w:pPr>
        <w:autoSpaceDE w:val="0"/>
        <w:autoSpaceDN w:val="0"/>
        <w:adjustRightInd w:val="0"/>
        <w:spacing w:line="240" w:lineRule="auto"/>
        <w:rPr>
          <w:rFonts w:ascii="Calibri" w:hAnsi="Calibri" w:cs="Arial"/>
          <w:i/>
          <w:lang w:val="en-GB"/>
        </w:rPr>
      </w:pPr>
      <w:r>
        <w:rPr>
          <w:rFonts w:ascii="Calibri" w:hAnsi="Calibri" w:cs="Arial"/>
          <w:b/>
          <w:i/>
          <w:lang w:val="en-GB"/>
        </w:rPr>
        <w:lastRenderedPageBreak/>
        <w:t>Supplementary T</w:t>
      </w:r>
      <w:r w:rsidR="0003547C" w:rsidRPr="0003547C">
        <w:rPr>
          <w:rFonts w:ascii="Calibri" w:hAnsi="Calibri" w:cs="Arial"/>
          <w:b/>
          <w:i/>
          <w:lang w:val="en-GB"/>
        </w:rPr>
        <w:t>able 1.</w:t>
      </w:r>
      <w:r w:rsidR="0003547C" w:rsidRPr="0003547C">
        <w:rPr>
          <w:rFonts w:ascii="Calibri" w:hAnsi="Calibri" w:cs="Arial"/>
          <w:i/>
          <w:lang w:val="en-GB"/>
        </w:rPr>
        <w:t xml:space="preserve"> Sources for DCIS cohort for tissue collection and prospective DCIS trial for watchful waiting. </w:t>
      </w:r>
    </w:p>
    <w:tbl>
      <w:tblPr>
        <w:tblW w:w="8804" w:type="dxa"/>
        <w:tblInd w:w="55" w:type="dxa"/>
        <w:tblCellMar>
          <w:left w:w="70" w:type="dxa"/>
          <w:right w:w="70" w:type="dxa"/>
        </w:tblCellMar>
        <w:tblLook w:val="04A0" w:firstRow="1" w:lastRow="0" w:firstColumn="1" w:lastColumn="0" w:noHBand="0" w:noVBand="1"/>
      </w:tblPr>
      <w:tblGrid>
        <w:gridCol w:w="1720"/>
        <w:gridCol w:w="2123"/>
        <w:gridCol w:w="1701"/>
        <w:gridCol w:w="1701"/>
        <w:gridCol w:w="1559"/>
      </w:tblGrid>
      <w:tr w:rsidR="0003547C" w:rsidRPr="002829D8" w:rsidTr="00715FD8">
        <w:trPr>
          <w:trHeight w:val="600"/>
        </w:trPr>
        <w:tc>
          <w:tcPr>
            <w:tcW w:w="1720" w:type="dxa"/>
            <w:tcBorders>
              <w:top w:val="single" w:sz="4" w:space="0" w:color="auto"/>
              <w:left w:val="single" w:sz="4" w:space="0" w:color="auto"/>
              <w:bottom w:val="single" w:sz="4" w:space="0" w:color="auto"/>
            </w:tcBorders>
            <w:shd w:val="clear" w:color="auto" w:fill="auto"/>
            <w:vAlign w:val="center"/>
          </w:tcPr>
          <w:p w:rsidR="0003547C" w:rsidRPr="002829D8" w:rsidRDefault="0003547C" w:rsidP="00715FD8">
            <w:pPr>
              <w:spacing w:line="240" w:lineRule="auto"/>
              <w:rPr>
                <w:rFonts w:ascii="Calibri" w:eastAsia="Times New Roman" w:hAnsi="Calibri" w:cs="Times New Roman"/>
                <w:b/>
                <w:bCs/>
                <w:sz w:val="18"/>
                <w:szCs w:val="18"/>
                <w:lang w:val="en-GB" w:eastAsia="nl-NL"/>
              </w:rPr>
            </w:pPr>
            <w:r w:rsidRPr="002829D8">
              <w:rPr>
                <w:rFonts w:ascii="Calibri" w:eastAsia="Times New Roman" w:hAnsi="Calibri" w:cs="Times New Roman"/>
                <w:b/>
                <w:bCs/>
                <w:sz w:val="18"/>
                <w:szCs w:val="18"/>
                <w:lang w:val="en-GB" w:eastAsia="nl-NL"/>
              </w:rPr>
              <w:t>Retrospective series</w:t>
            </w:r>
          </w:p>
        </w:tc>
        <w:tc>
          <w:tcPr>
            <w:tcW w:w="2123" w:type="dxa"/>
            <w:tcBorders>
              <w:top w:val="single" w:sz="4" w:space="0" w:color="auto"/>
              <w:bottom w:val="single" w:sz="4" w:space="0" w:color="auto"/>
            </w:tcBorders>
            <w:shd w:val="clear" w:color="auto" w:fill="auto"/>
            <w:vAlign w:val="center"/>
          </w:tcPr>
          <w:p w:rsidR="0003547C" w:rsidRPr="002829D8" w:rsidRDefault="0003547C" w:rsidP="00715FD8">
            <w:pPr>
              <w:spacing w:line="240" w:lineRule="auto"/>
              <w:rPr>
                <w:rFonts w:ascii="Calibri" w:eastAsia="Times New Roman" w:hAnsi="Calibri" w:cs="Times New Roman"/>
                <w:sz w:val="18"/>
                <w:szCs w:val="18"/>
                <w:lang w:val="en-GB" w:eastAsia="nl-NL"/>
              </w:rPr>
            </w:pPr>
          </w:p>
        </w:tc>
        <w:tc>
          <w:tcPr>
            <w:tcW w:w="1701" w:type="dxa"/>
            <w:tcBorders>
              <w:top w:val="single" w:sz="4" w:space="0" w:color="auto"/>
              <w:bottom w:val="single" w:sz="4" w:space="0" w:color="auto"/>
            </w:tcBorders>
            <w:shd w:val="clear" w:color="auto" w:fill="auto"/>
            <w:vAlign w:val="center"/>
          </w:tcPr>
          <w:p w:rsidR="0003547C" w:rsidRPr="002829D8" w:rsidRDefault="0003547C" w:rsidP="00715FD8">
            <w:pPr>
              <w:spacing w:line="240" w:lineRule="auto"/>
              <w:jc w:val="center"/>
              <w:rPr>
                <w:rFonts w:ascii="Calibri" w:eastAsia="Times New Roman" w:hAnsi="Calibri" w:cs="Times New Roman"/>
                <w:sz w:val="18"/>
                <w:szCs w:val="18"/>
                <w:lang w:val="en-GB" w:eastAsia="nl-NL"/>
              </w:rPr>
            </w:pPr>
          </w:p>
        </w:tc>
        <w:tc>
          <w:tcPr>
            <w:tcW w:w="1701" w:type="dxa"/>
            <w:tcBorders>
              <w:top w:val="single" w:sz="4" w:space="0" w:color="auto"/>
              <w:bottom w:val="single" w:sz="4" w:space="0" w:color="auto"/>
            </w:tcBorders>
            <w:shd w:val="clear" w:color="auto" w:fill="auto"/>
            <w:noWrap/>
            <w:vAlign w:val="center"/>
          </w:tcPr>
          <w:p w:rsidR="0003547C" w:rsidRPr="002829D8" w:rsidRDefault="0003547C" w:rsidP="00715FD8">
            <w:pPr>
              <w:spacing w:line="240" w:lineRule="auto"/>
              <w:jc w:val="center"/>
              <w:rPr>
                <w:rFonts w:ascii="Calibri" w:eastAsia="Times New Roman" w:hAnsi="Calibri" w:cs="Times New Roman"/>
                <w:sz w:val="18"/>
                <w:szCs w:val="18"/>
                <w:lang w:val="en-GB" w:eastAsia="nl-NL"/>
              </w:rPr>
            </w:pPr>
          </w:p>
        </w:tc>
        <w:tc>
          <w:tcPr>
            <w:tcW w:w="1559" w:type="dxa"/>
            <w:tcBorders>
              <w:top w:val="single" w:sz="4" w:space="0" w:color="auto"/>
              <w:bottom w:val="single" w:sz="4" w:space="0" w:color="auto"/>
              <w:right w:val="single" w:sz="4" w:space="0" w:color="auto"/>
            </w:tcBorders>
            <w:shd w:val="clear" w:color="auto" w:fill="auto"/>
            <w:noWrap/>
            <w:vAlign w:val="center"/>
          </w:tcPr>
          <w:p w:rsidR="0003547C" w:rsidRPr="002829D8" w:rsidRDefault="0003547C" w:rsidP="00715FD8">
            <w:pPr>
              <w:spacing w:line="240" w:lineRule="auto"/>
              <w:jc w:val="center"/>
              <w:rPr>
                <w:rFonts w:ascii="Calibri" w:eastAsia="Times New Roman" w:hAnsi="Calibri" w:cs="Times New Roman"/>
                <w:sz w:val="18"/>
                <w:szCs w:val="18"/>
                <w:lang w:val="en-GB" w:eastAsia="nl-NL"/>
              </w:rPr>
            </w:pPr>
          </w:p>
        </w:tc>
      </w:tr>
      <w:tr w:rsidR="0003547C" w:rsidRPr="002829D8" w:rsidTr="00715FD8">
        <w:trPr>
          <w:trHeight w:val="600"/>
        </w:trPr>
        <w:tc>
          <w:tcPr>
            <w:tcW w:w="1720" w:type="dxa"/>
            <w:tcBorders>
              <w:top w:val="single" w:sz="4" w:space="0" w:color="auto"/>
              <w:left w:val="single" w:sz="8" w:space="0" w:color="auto"/>
              <w:bottom w:val="single" w:sz="4" w:space="0" w:color="auto"/>
              <w:right w:val="nil"/>
            </w:tcBorders>
            <w:shd w:val="clear" w:color="auto" w:fill="auto"/>
            <w:vAlign w:val="center"/>
          </w:tcPr>
          <w:p w:rsidR="0003547C" w:rsidRPr="002829D8" w:rsidRDefault="0003547C" w:rsidP="00715FD8">
            <w:pPr>
              <w:spacing w:line="240" w:lineRule="auto"/>
              <w:rPr>
                <w:rFonts w:ascii="Calibri" w:eastAsia="Times New Roman" w:hAnsi="Calibri" w:cs="Times New Roman"/>
                <w:b/>
                <w:bCs/>
                <w:sz w:val="18"/>
                <w:szCs w:val="18"/>
                <w:lang w:val="en-GB" w:eastAsia="nl-NL"/>
              </w:rPr>
            </w:pPr>
            <w:r w:rsidRPr="002829D8">
              <w:rPr>
                <w:rFonts w:ascii="Calibri" w:eastAsia="Times New Roman" w:hAnsi="Calibri" w:cs="Times New Roman"/>
                <w:b/>
                <w:bCs/>
                <w:sz w:val="18"/>
                <w:szCs w:val="18"/>
                <w:lang w:val="en-GB" w:eastAsia="nl-NL"/>
              </w:rPr>
              <w:t>Series</w:t>
            </w:r>
          </w:p>
        </w:tc>
        <w:tc>
          <w:tcPr>
            <w:tcW w:w="2123" w:type="dxa"/>
            <w:tcBorders>
              <w:top w:val="single" w:sz="4" w:space="0" w:color="auto"/>
              <w:left w:val="single" w:sz="8" w:space="0" w:color="auto"/>
              <w:bottom w:val="single" w:sz="4" w:space="0" w:color="auto"/>
              <w:right w:val="single" w:sz="8" w:space="0" w:color="auto"/>
            </w:tcBorders>
            <w:shd w:val="clear" w:color="auto" w:fill="auto"/>
            <w:vAlign w:val="center"/>
          </w:tcPr>
          <w:p w:rsidR="0003547C" w:rsidRPr="002829D8" w:rsidRDefault="0003547C" w:rsidP="00715FD8">
            <w:pPr>
              <w:spacing w:line="240" w:lineRule="auto"/>
              <w:rPr>
                <w:rFonts w:ascii="Calibri" w:eastAsia="Times New Roman" w:hAnsi="Calibri" w:cs="Times New Roman"/>
                <w:sz w:val="18"/>
                <w:szCs w:val="18"/>
                <w:lang w:val="en-GB" w:eastAsia="nl-NL"/>
              </w:rPr>
            </w:pPr>
            <w:r w:rsidRPr="002829D8">
              <w:rPr>
                <w:rFonts w:ascii="Calibri" w:eastAsia="Times New Roman" w:hAnsi="Calibri" w:cs="Times New Roman"/>
                <w:sz w:val="18"/>
                <w:szCs w:val="18"/>
                <w:lang w:val="en-GB" w:eastAsia="nl-NL"/>
              </w:rPr>
              <w:t>Description</w:t>
            </w:r>
          </w:p>
        </w:tc>
        <w:tc>
          <w:tcPr>
            <w:tcW w:w="1701" w:type="dxa"/>
            <w:tcBorders>
              <w:top w:val="single" w:sz="4" w:space="0" w:color="auto"/>
              <w:left w:val="nil"/>
              <w:bottom w:val="single" w:sz="4" w:space="0" w:color="auto"/>
              <w:right w:val="single" w:sz="8" w:space="0" w:color="auto"/>
            </w:tcBorders>
            <w:shd w:val="clear" w:color="auto" w:fill="auto"/>
            <w:vAlign w:val="center"/>
          </w:tcPr>
          <w:p w:rsidR="0003547C" w:rsidRPr="002829D8" w:rsidRDefault="0003547C" w:rsidP="00715FD8">
            <w:pPr>
              <w:spacing w:line="240" w:lineRule="auto"/>
              <w:jc w:val="center"/>
              <w:rPr>
                <w:rFonts w:ascii="Calibri" w:eastAsia="Times New Roman" w:hAnsi="Calibri" w:cs="Times New Roman"/>
                <w:sz w:val="18"/>
                <w:szCs w:val="18"/>
                <w:lang w:val="en-GB" w:eastAsia="nl-NL"/>
              </w:rPr>
            </w:pPr>
            <w:r w:rsidRPr="002829D8">
              <w:rPr>
                <w:rFonts w:ascii="Calibri" w:eastAsia="Times New Roman" w:hAnsi="Calibri" w:cs="Times New Roman"/>
                <w:sz w:val="18"/>
                <w:szCs w:val="18"/>
                <w:lang w:val="en-GB" w:eastAsia="nl-NL"/>
              </w:rPr>
              <w:t>Size (total n/ recurrences)</w:t>
            </w:r>
          </w:p>
        </w:tc>
        <w:tc>
          <w:tcPr>
            <w:tcW w:w="1701" w:type="dxa"/>
            <w:tcBorders>
              <w:top w:val="single" w:sz="4" w:space="0" w:color="auto"/>
              <w:left w:val="nil"/>
              <w:bottom w:val="single" w:sz="4" w:space="0" w:color="auto"/>
              <w:right w:val="single" w:sz="8" w:space="0" w:color="auto"/>
            </w:tcBorders>
            <w:shd w:val="clear" w:color="auto" w:fill="auto"/>
            <w:noWrap/>
            <w:vAlign w:val="center"/>
          </w:tcPr>
          <w:p w:rsidR="0003547C" w:rsidRPr="002829D8" w:rsidRDefault="0003547C" w:rsidP="00715FD8">
            <w:pPr>
              <w:spacing w:line="240" w:lineRule="auto"/>
              <w:jc w:val="center"/>
              <w:rPr>
                <w:rFonts w:ascii="Calibri" w:eastAsia="Times New Roman" w:hAnsi="Calibri" w:cs="Times New Roman"/>
                <w:sz w:val="18"/>
                <w:szCs w:val="18"/>
                <w:lang w:val="en-GB" w:eastAsia="nl-NL"/>
              </w:rPr>
            </w:pPr>
            <w:r w:rsidRPr="002829D8">
              <w:rPr>
                <w:rFonts w:ascii="Calibri" w:eastAsia="Times New Roman" w:hAnsi="Calibri" w:cs="Times New Roman"/>
                <w:sz w:val="18"/>
                <w:szCs w:val="18"/>
                <w:lang w:val="en-GB" w:eastAsia="nl-NL"/>
              </w:rPr>
              <w:t>Median follow up</w:t>
            </w:r>
            <w:r>
              <w:rPr>
                <w:rFonts w:ascii="Calibri" w:eastAsia="Times New Roman" w:hAnsi="Calibri" w:cs="Times New Roman"/>
                <w:sz w:val="18"/>
                <w:szCs w:val="18"/>
                <w:lang w:val="en-GB" w:eastAsia="nl-NL"/>
              </w:rPr>
              <w:t xml:space="preserve"> (year)</w:t>
            </w:r>
          </w:p>
        </w:tc>
        <w:tc>
          <w:tcPr>
            <w:tcW w:w="1559" w:type="dxa"/>
            <w:tcBorders>
              <w:top w:val="single" w:sz="4" w:space="0" w:color="auto"/>
              <w:left w:val="nil"/>
              <w:bottom w:val="single" w:sz="4" w:space="0" w:color="auto"/>
              <w:right w:val="single" w:sz="8" w:space="0" w:color="auto"/>
            </w:tcBorders>
            <w:shd w:val="clear" w:color="auto" w:fill="auto"/>
            <w:noWrap/>
            <w:vAlign w:val="center"/>
          </w:tcPr>
          <w:p w:rsidR="0003547C" w:rsidRPr="002829D8" w:rsidRDefault="0003547C" w:rsidP="00715FD8">
            <w:pPr>
              <w:spacing w:line="240" w:lineRule="auto"/>
              <w:jc w:val="center"/>
              <w:rPr>
                <w:rFonts w:ascii="Calibri" w:eastAsia="Times New Roman" w:hAnsi="Calibri" w:cs="Times New Roman"/>
                <w:sz w:val="18"/>
                <w:szCs w:val="18"/>
                <w:lang w:val="en-GB" w:eastAsia="nl-NL"/>
              </w:rPr>
            </w:pPr>
            <w:r w:rsidRPr="002829D8">
              <w:rPr>
                <w:rFonts w:ascii="Calibri" w:eastAsia="Times New Roman" w:hAnsi="Calibri" w:cs="Times New Roman"/>
                <w:sz w:val="18"/>
                <w:szCs w:val="18"/>
                <w:lang w:val="en-GB" w:eastAsia="nl-NL"/>
              </w:rPr>
              <w:t>Ref.</w:t>
            </w:r>
          </w:p>
        </w:tc>
      </w:tr>
      <w:tr w:rsidR="0003547C" w:rsidRPr="002829D8" w:rsidTr="00715FD8">
        <w:trPr>
          <w:trHeight w:val="600"/>
        </w:trPr>
        <w:tc>
          <w:tcPr>
            <w:tcW w:w="1720" w:type="dxa"/>
            <w:tcBorders>
              <w:top w:val="single" w:sz="4" w:space="0" w:color="auto"/>
              <w:left w:val="single" w:sz="8" w:space="0" w:color="auto"/>
              <w:bottom w:val="single" w:sz="4" w:space="0" w:color="auto"/>
              <w:right w:val="nil"/>
            </w:tcBorders>
            <w:shd w:val="clear" w:color="auto" w:fill="auto"/>
            <w:vAlign w:val="center"/>
            <w:hideMark/>
          </w:tcPr>
          <w:p w:rsidR="0003547C" w:rsidRPr="002829D8" w:rsidRDefault="0003547C" w:rsidP="00715FD8">
            <w:pPr>
              <w:spacing w:line="240" w:lineRule="auto"/>
              <w:rPr>
                <w:rFonts w:ascii="Calibri" w:eastAsia="Times New Roman" w:hAnsi="Calibri" w:cs="Times New Roman"/>
                <w:b/>
                <w:bCs/>
                <w:sz w:val="18"/>
                <w:szCs w:val="18"/>
                <w:lang w:val="en-GB" w:eastAsia="nl-NL"/>
              </w:rPr>
            </w:pPr>
            <w:r w:rsidRPr="002829D8">
              <w:rPr>
                <w:rFonts w:ascii="Calibri" w:eastAsia="Times New Roman" w:hAnsi="Calibri" w:cs="Times New Roman"/>
                <w:b/>
                <w:bCs/>
                <w:sz w:val="18"/>
                <w:szCs w:val="18"/>
                <w:lang w:val="en-GB" w:eastAsia="nl-NL"/>
              </w:rPr>
              <w:t xml:space="preserve">Dutch DCIS cohort </w:t>
            </w:r>
          </w:p>
        </w:tc>
        <w:tc>
          <w:tcPr>
            <w:tcW w:w="2123"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03547C" w:rsidRPr="002829D8" w:rsidRDefault="0003547C" w:rsidP="00715FD8">
            <w:pPr>
              <w:spacing w:line="240" w:lineRule="auto"/>
              <w:rPr>
                <w:rFonts w:ascii="Calibri" w:eastAsia="Times New Roman" w:hAnsi="Calibri" w:cs="Times New Roman"/>
                <w:sz w:val="18"/>
                <w:szCs w:val="18"/>
                <w:lang w:val="en-GB" w:eastAsia="nl-NL"/>
              </w:rPr>
            </w:pPr>
            <w:r w:rsidRPr="002829D8">
              <w:rPr>
                <w:rFonts w:ascii="Calibri" w:eastAsia="Times New Roman" w:hAnsi="Calibri" w:cs="Times New Roman"/>
                <w:sz w:val="18"/>
                <w:szCs w:val="18"/>
                <w:lang w:val="en-GB" w:eastAsia="nl-NL"/>
              </w:rPr>
              <w:t xml:space="preserve">population based cohort 1989-2004 </w:t>
            </w:r>
          </w:p>
        </w:tc>
        <w:tc>
          <w:tcPr>
            <w:tcW w:w="1701" w:type="dxa"/>
            <w:tcBorders>
              <w:top w:val="single" w:sz="4" w:space="0" w:color="auto"/>
              <w:left w:val="nil"/>
              <w:bottom w:val="single" w:sz="4" w:space="0" w:color="auto"/>
              <w:right w:val="single" w:sz="8" w:space="0" w:color="auto"/>
            </w:tcBorders>
            <w:shd w:val="clear" w:color="auto" w:fill="auto"/>
            <w:vAlign w:val="center"/>
            <w:hideMark/>
          </w:tcPr>
          <w:p w:rsidR="0003547C" w:rsidRPr="002829D8" w:rsidRDefault="0003547C" w:rsidP="00715FD8">
            <w:pPr>
              <w:spacing w:line="240" w:lineRule="auto"/>
              <w:jc w:val="center"/>
              <w:rPr>
                <w:rFonts w:ascii="Calibri" w:eastAsia="Times New Roman" w:hAnsi="Calibri" w:cs="Times New Roman"/>
                <w:sz w:val="18"/>
                <w:szCs w:val="18"/>
                <w:lang w:val="en-GB" w:eastAsia="nl-NL"/>
              </w:rPr>
            </w:pPr>
            <w:r w:rsidRPr="002829D8">
              <w:rPr>
                <w:rFonts w:ascii="Calibri" w:eastAsia="Times New Roman" w:hAnsi="Calibri" w:cs="Times New Roman"/>
                <w:sz w:val="18"/>
                <w:szCs w:val="18"/>
                <w:lang w:val="en-GB" w:eastAsia="nl-NL"/>
              </w:rPr>
              <w:t>10,096/ 1,200</w:t>
            </w:r>
          </w:p>
        </w:tc>
        <w:tc>
          <w:tcPr>
            <w:tcW w:w="1701" w:type="dxa"/>
            <w:tcBorders>
              <w:top w:val="single" w:sz="4" w:space="0" w:color="auto"/>
              <w:left w:val="nil"/>
              <w:bottom w:val="single" w:sz="4" w:space="0" w:color="auto"/>
              <w:right w:val="single" w:sz="8" w:space="0" w:color="auto"/>
            </w:tcBorders>
            <w:shd w:val="clear" w:color="auto" w:fill="auto"/>
            <w:noWrap/>
            <w:vAlign w:val="center"/>
            <w:hideMark/>
          </w:tcPr>
          <w:p w:rsidR="0003547C" w:rsidRPr="002829D8" w:rsidRDefault="0003547C" w:rsidP="00715FD8">
            <w:pPr>
              <w:spacing w:line="240" w:lineRule="auto"/>
              <w:jc w:val="center"/>
              <w:rPr>
                <w:rFonts w:ascii="Calibri" w:eastAsia="Times New Roman" w:hAnsi="Calibri" w:cs="Times New Roman"/>
                <w:sz w:val="18"/>
                <w:szCs w:val="18"/>
                <w:lang w:val="en-GB" w:eastAsia="nl-NL"/>
              </w:rPr>
            </w:pPr>
            <w:r w:rsidRPr="002829D8">
              <w:rPr>
                <w:rFonts w:ascii="Calibri" w:eastAsia="Times New Roman" w:hAnsi="Calibri" w:cs="Times New Roman"/>
                <w:sz w:val="18"/>
                <w:szCs w:val="18"/>
                <w:lang w:val="en-GB" w:eastAsia="nl-NL"/>
              </w:rPr>
              <w:t>11.6</w:t>
            </w:r>
          </w:p>
        </w:tc>
        <w:tc>
          <w:tcPr>
            <w:tcW w:w="1559" w:type="dxa"/>
            <w:tcBorders>
              <w:top w:val="single" w:sz="4" w:space="0" w:color="auto"/>
              <w:left w:val="nil"/>
              <w:bottom w:val="single" w:sz="4" w:space="0" w:color="auto"/>
              <w:right w:val="single" w:sz="8" w:space="0" w:color="auto"/>
            </w:tcBorders>
            <w:shd w:val="clear" w:color="auto" w:fill="auto"/>
            <w:noWrap/>
            <w:vAlign w:val="center"/>
            <w:hideMark/>
          </w:tcPr>
          <w:p w:rsidR="0003547C" w:rsidRPr="002829D8" w:rsidRDefault="0003547C" w:rsidP="00715FD8">
            <w:pPr>
              <w:spacing w:line="240" w:lineRule="auto"/>
              <w:jc w:val="center"/>
              <w:rPr>
                <w:rFonts w:ascii="Calibri" w:eastAsia="Times New Roman" w:hAnsi="Calibri" w:cs="Times New Roman"/>
                <w:sz w:val="18"/>
                <w:szCs w:val="18"/>
                <w:lang w:val="en-GB" w:eastAsia="nl-NL"/>
              </w:rPr>
            </w:pPr>
            <w:r w:rsidRPr="002829D8">
              <w:rPr>
                <w:rFonts w:ascii="Calibri" w:eastAsia="Times New Roman" w:hAnsi="Calibri" w:cs="Times New Roman"/>
                <w:sz w:val="18"/>
                <w:szCs w:val="18"/>
                <w:lang w:val="en-GB" w:eastAsia="nl-NL"/>
              </w:rPr>
              <w:t>Elshof et al, 2016</w:t>
            </w:r>
            <w:r w:rsidRPr="002829D8">
              <w:rPr>
                <w:rFonts w:ascii="Calibri" w:eastAsia="Times New Roman" w:hAnsi="Calibri" w:cs="Times New Roman"/>
                <w:sz w:val="18"/>
                <w:szCs w:val="18"/>
                <w:lang w:val="en-GB" w:eastAsia="nl-NL"/>
              </w:rPr>
              <w:fldChar w:fldCharType="begin" w:fldLock="1"/>
            </w:r>
            <w:r>
              <w:rPr>
                <w:rFonts w:ascii="Calibri" w:eastAsia="Times New Roman" w:hAnsi="Calibri" w:cs="Times New Roman"/>
                <w:sz w:val="18"/>
                <w:szCs w:val="18"/>
                <w:lang w:val="en-GB" w:eastAsia="nl-NL"/>
              </w:rPr>
              <w:instrText>ADDIN CSL_CITATION {"citationItems":[{"id":"ITEM-1","itemData":{"DOI":"10.1007/s10549-016-3973-y","ISSN":"15737217","PMID":"27624164","abstract":"PURPOSE To assess the effect of different treatment strategies on the risk of subsequent invasive breast cancer (IBC) in women diagnosed with ductal carcinoma in situ (DCIS). METHODS Up to 15-year cumulative incidences of ipsilateral IBC (iIBC) and contralateral IBC (cIBC) were assessed among a population-based cohort of 10,090 women treated for DCIS in the Netherlands between 1989 and 2004. Multivariable Cox regression analyses were used to evaluate associations of treatment with iIBC risk. RESULTS Fifteen years after DCIS diagnosis, cumulative incidence of iIBC was 1.9 % after mastectomy, 8.8 % after BCS+RT, and 15.4 % after BCS alone. Patients treated with BCS alone had a higher iIBC risk than those treated with BCS+RT during the first 5 years after treatment. This difference was less pronounced for patients &lt;50 years [hazard ratio (HR) 2.11, 95 % confidence interval (CI) 1.35-3.29 for women &lt;50, and HR 4.44, 95 % CI 3.11-6.36 for women ≥50, P interaction  &lt; 0.0001]. Beyond 5 years of follow-up, iIBC risk did not differ between patients treated with BCS+RT or BCS alone for women &lt;50. Cumulative incidence of cIBC at 15 years was 6.4 %, compared to 3.4 % in the general population. CONCLUSIONS We report an interaction of treatment with age and follow-up period on iIBC risk, indicating that the benefit of RT seems to be smaller among younger women, and stressing the importance of clinical studies with long follow-up. Finally, the low cIBC risk does not justify contralateral prophylactic mastectomies for many women with unilateral DCIS.","author":[{"dropping-particle":"","family":"Elshof","given":"Lotte E.","non-dropping-particle":"","parse-names":false,"suffix":""},{"dropping-particle":"","family":"Schaapveld","given":"Michael","non-dropping-particle":"","parse-names":false,"suffix":""},{"dropping-particle":"","family":"Schmidt","given":"Marjanka K.","non-dropping-particle":"","parse-names":false,"suffix":""},{"dropping-particle":"","family":"Rutgers","given":"Emiel J.","non-dropping-particle":"","parse-names":false,"suffix":""},{"dropping-particle":"","family":"Leeuwen","given":"Flora E.","non-dropping-particle":"van","parse-names":false,"suffix":""},{"dropping-particle":"","family":"Wesseling","given":"Jelle","non-dropping-particle":"","parse-names":false,"suffix":""}],"container-title":"Breast Cancer Research and Treatment","id":"ITEM-1","issue":"3","issued":{"date-parts":[["2016"]]},"page":"553-563","publisher":"Springer US","title":"Subsequent risk of ipsilateral and contralateral invasive breast cancer after treatment for ductal carcinoma in situ: incidence and the effect of radiotherapy in a population-based cohort of 10,090 women","type":"article-journal","volume":"159"},"uris":["http://www.mendeley.com/documents/?uuid=1b4c1120-fa41-4260-ae37-ffe39ff046ef"]}],"mendeley":{"formattedCitation":"&lt;sup&gt;22&lt;/sup&gt;","plainTextFormattedCitation":"22","previouslyFormattedCitation":"&lt;sup&gt;22&lt;/sup&gt;"},"properties":{"noteIndex":0},"schema":"https://github.com/citation-style-language/schema/raw/master/csl-citation.json"}</w:instrText>
            </w:r>
            <w:r w:rsidRPr="002829D8">
              <w:rPr>
                <w:rFonts w:ascii="Calibri" w:eastAsia="Times New Roman" w:hAnsi="Calibri" w:cs="Times New Roman"/>
                <w:sz w:val="18"/>
                <w:szCs w:val="18"/>
                <w:lang w:val="en-GB" w:eastAsia="nl-NL"/>
              </w:rPr>
              <w:fldChar w:fldCharType="separate"/>
            </w:r>
            <w:r w:rsidRPr="00DE6D56">
              <w:rPr>
                <w:rFonts w:ascii="Calibri" w:eastAsia="Times New Roman" w:hAnsi="Calibri" w:cs="Times New Roman"/>
                <w:noProof/>
                <w:sz w:val="18"/>
                <w:szCs w:val="18"/>
                <w:vertAlign w:val="superscript"/>
                <w:lang w:val="en-GB" w:eastAsia="nl-NL"/>
              </w:rPr>
              <w:t>22</w:t>
            </w:r>
            <w:r w:rsidRPr="002829D8">
              <w:rPr>
                <w:rFonts w:ascii="Calibri" w:eastAsia="Times New Roman" w:hAnsi="Calibri" w:cs="Times New Roman"/>
                <w:sz w:val="18"/>
                <w:szCs w:val="18"/>
                <w:lang w:val="en-GB" w:eastAsia="nl-NL"/>
              </w:rPr>
              <w:fldChar w:fldCharType="end"/>
            </w:r>
          </w:p>
        </w:tc>
      </w:tr>
      <w:tr w:rsidR="0003547C" w:rsidRPr="000C6C3F" w:rsidTr="00715FD8">
        <w:trPr>
          <w:trHeight w:val="600"/>
        </w:trPr>
        <w:tc>
          <w:tcPr>
            <w:tcW w:w="1720" w:type="dxa"/>
            <w:tcBorders>
              <w:top w:val="nil"/>
              <w:left w:val="single" w:sz="8" w:space="0" w:color="auto"/>
              <w:bottom w:val="single" w:sz="4" w:space="0" w:color="auto"/>
              <w:right w:val="nil"/>
            </w:tcBorders>
            <w:shd w:val="clear" w:color="auto" w:fill="auto"/>
            <w:noWrap/>
            <w:vAlign w:val="center"/>
            <w:hideMark/>
          </w:tcPr>
          <w:p w:rsidR="0003547C" w:rsidRPr="002829D8" w:rsidRDefault="0003547C" w:rsidP="00715FD8">
            <w:pPr>
              <w:spacing w:line="240" w:lineRule="auto"/>
              <w:rPr>
                <w:rFonts w:ascii="Calibri" w:eastAsia="Times New Roman" w:hAnsi="Calibri" w:cs="Times New Roman"/>
                <w:b/>
                <w:bCs/>
                <w:color w:val="000000"/>
                <w:sz w:val="18"/>
                <w:szCs w:val="18"/>
                <w:lang w:val="en-GB" w:eastAsia="nl-NL"/>
              </w:rPr>
            </w:pPr>
            <w:r w:rsidRPr="002829D8">
              <w:rPr>
                <w:rFonts w:ascii="Calibri" w:eastAsia="Times New Roman" w:hAnsi="Calibri" w:cs="Times New Roman"/>
                <w:b/>
                <w:bCs/>
                <w:color w:val="000000"/>
                <w:sz w:val="18"/>
                <w:szCs w:val="18"/>
                <w:lang w:val="en-GB" w:eastAsia="nl-NL"/>
              </w:rPr>
              <w:t xml:space="preserve">Sloane project </w:t>
            </w:r>
          </w:p>
        </w:tc>
        <w:tc>
          <w:tcPr>
            <w:tcW w:w="2123" w:type="dxa"/>
            <w:tcBorders>
              <w:top w:val="nil"/>
              <w:left w:val="single" w:sz="8" w:space="0" w:color="auto"/>
              <w:bottom w:val="single" w:sz="4" w:space="0" w:color="auto"/>
              <w:right w:val="single" w:sz="8" w:space="0" w:color="auto"/>
            </w:tcBorders>
            <w:shd w:val="clear" w:color="auto" w:fill="auto"/>
            <w:vAlign w:val="center"/>
            <w:hideMark/>
          </w:tcPr>
          <w:p w:rsidR="0003547C" w:rsidRPr="002829D8" w:rsidRDefault="0003547C" w:rsidP="00715FD8">
            <w:pPr>
              <w:spacing w:line="240" w:lineRule="auto"/>
              <w:rPr>
                <w:rFonts w:ascii="Calibri" w:eastAsia="Times New Roman" w:hAnsi="Calibri" w:cs="Times New Roman"/>
                <w:color w:val="000000"/>
                <w:sz w:val="18"/>
                <w:szCs w:val="18"/>
                <w:lang w:val="en-GB" w:eastAsia="nl-NL"/>
              </w:rPr>
            </w:pPr>
            <w:r w:rsidRPr="002829D8">
              <w:rPr>
                <w:rFonts w:ascii="Calibri" w:eastAsia="Times New Roman" w:hAnsi="Calibri" w:cs="Times New Roman"/>
                <w:color w:val="000000"/>
                <w:sz w:val="18"/>
                <w:szCs w:val="18"/>
                <w:lang w:val="en-GB" w:eastAsia="nl-NL"/>
              </w:rPr>
              <w:t xml:space="preserve">UK NHS Breast Screening </w:t>
            </w:r>
            <w:r>
              <w:rPr>
                <w:rFonts w:ascii="Calibri" w:eastAsia="Times New Roman" w:hAnsi="Calibri" w:cs="Times New Roman"/>
                <w:color w:val="000000"/>
                <w:sz w:val="18"/>
                <w:szCs w:val="18"/>
                <w:lang w:val="en-GB" w:eastAsia="nl-NL"/>
              </w:rPr>
              <w:t xml:space="preserve">Prospective cohort </w:t>
            </w:r>
          </w:p>
        </w:tc>
        <w:tc>
          <w:tcPr>
            <w:tcW w:w="1701" w:type="dxa"/>
            <w:tcBorders>
              <w:top w:val="nil"/>
              <w:left w:val="nil"/>
              <w:bottom w:val="single" w:sz="4" w:space="0" w:color="auto"/>
              <w:right w:val="single" w:sz="8" w:space="0" w:color="auto"/>
            </w:tcBorders>
            <w:shd w:val="clear" w:color="auto" w:fill="auto"/>
            <w:vAlign w:val="center"/>
            <w:hideMark/>
          </w:tcPr>
          <w:p w:rsidR="0003547C" w:rsidRPr="002829D8" w:rsidRDefault="0003547C" w:rsidP="00715FD8">
            <w:pPr>
              <w:spacing w:line="240" w:lineRule="auto"/>
              <w:jc w:val="center"/>
              <w:rPr>
                <w:rFonts w:ascii="Calibri" w:eastAsia="Times New Roman" w:hAnsi="Calibri" w:cs="Times New Roman"/>
                <w:color w:val="000000"/>
                <w:sz w:val="18"/>
                <w:szCs w:val="18"/>
                <w:lang w:val="en-GB" w:eastAsia="nl-NL"/>
              </w:rPr>
            </w:pPr>
            <w:r w:rsidRPr="002829D8">
              <w:rPr>
                <w:rFonts w:ascii="Calibri" w:eastAsia="Times New Roman" w:hAnsi="Calibri" w:cs="Times New Roman"/>
                <w:color w:val="000000"/>
                <w:sz w:val="18"/>
                <w:szCs w:val="18"/>
                <w:lang w:val="en-GB" w:eastAsia="nl-NL"/>
              </w:rPr>
              <w:t>13,000/800</w:t>
            </w:r>
          </w:p>
        </w:tc>
        <w:tc>
          <w:tcPr>
            <w:tcW w:w="1701" w:type="dxa"/>
            <w:tcBorders>
              <w:top w:val="nil"/>
              <w:left w:val="nil"/>
              <w:bottom w:val="single" w:sz="4" w:space="0" w:color="auto"/>
              <w:right w:val="single" w:sz="8" w:space="0" w:color="auto"/>
            </w:tcBorders>
            <w:shd w:val="clear" w:color="auto" w:fill="auto"/>
            <w:noWrap/>
            <w:vAlign w:val="center"/>
            <w:hideMark/>
          </w:tcPr>
          <w:p w:rsidR="0003547C" w:rsidRPr="002829D8" w:rsidRDefault="0003547C" w:rsidP="00715FD8">
            <w:pPr>
              <w:spacing w:line="240" w:lineRule="auto"/>
              <w:jc w:val="center"/>
              <w:rPr>
                <w:rFonts w:ascii="Calibri" w:eastAsia="Times New Roman" w:hAnsi="Calibri" w:cs="Times New Roman"/>
                <w:color w:val="000000"/>
                <w:sz w:val="18"/>
                <w:szCs w:val="18"/>
                <w:lang w:val="en-GB" w:eastAsia="nl-NL"/>
              </w:rPr>
            </w:pPr>
            <w:r>
              <w:rPr>
                <w:rFonts w:ascii="Calibri" w:eastAsia="Times New Roman" w:hAnsi="Calibri" w:cs="Times New Roman"/>
                <w:color w:val="000000"/>
                <w:sz w:val="18"/>
                <w:szCs w:val="18"/>
                <w:lang w:val="en-GB" w:eastAsia="nl-NL"/>
              </w:rPr>
              <w:t>9.2</w:t>
            </w:r>
          </w:p>
        </w:tc>
        <w:tc>
          <w:tcPr>
            <w:tcW w:w="1559" w:type="dxa"/>
            <w:tcBorders>
              <w:top w:val="nil"/>
              <w:left w:val="nil"/>
              <w:bottom w:val="single" w:sz="4" w:space="0" w:color="auto"/>
              <w:right w:val="single" w:sz="8" w:space="0" w:color="auto"/>
            </w:tcBorders>
            <w:shd w:val="clear" w:color="auto" w:fill="auto"/>
            <w:noWrap/>
            <w:vAlign w:val="center"/>
            <w:hideMark/>
          </w:tcPr>
          <w:p w:rsidR="0003547C" w:rsidRPr="002829D8" w:rsidRDefault="0003547C" w:rsidP="00715FD8">
            <w:pPr>
              <w:spacing w:line="240" w:lineRule="auto"/>
              <w:jc w:val="center"/>
              <w:rPr>
                <w:rFonts w:ascii="Calibri" w:eastAsia="Times New Roman" w:hAnsi="Calibri" w:cs="Times New Roman"/>
                <w:color w:val="000000"/>
                <w:sz w:val="18"/>
                <w:szCs w:val="18"/>
                <w:lang w:val="en-GB" w:eastAsia="nl-NL"/>
              </w:rPr>
            </w:pPr>
            <w:r>
              <w:rPr>
                <w:rFonts w:ascii="Calibri" w:eastAsia="Times New Roman" w:hAnsi="Calibri" w:cs="Times New Roman"/>
                <w:color w:val="000000"/>
                <w:sz w:val="18"/>
                <w:szCs w:val="18"/>
                <w:lang w:val="en-GB" w:eastAsia="nl-NL"/>
              </w:rPr>
              <w:t>Thompson et al, 2018</w:t>
            </w:r>
            <w:r>
              <w:rPr>
                <w:rFonts w:ascii="Calibri" w:eastAsia="Times New Roman" w:hAnsi="Calibri" w:cs="Times New Roman"/>
                <w:color w:val="000000"/>
                <w:sz w:val="18"/>
                <w:szCs w:val="18"/>
                <w:lang w:val="en-GB" w:eastAsia="nl-NL"/>
              </w:rPr>
              <w:fldChar w:fldCharType="begin" w:fldLock="1"/>
            </w:r>
            <w:r>
              <w:rPr>
                <w:rFonts w:ascii="Calibri" w:eastAsia="Times New Roman" w:hAnsi="Calibri" w:cs="Times New Roman"/>
                <w:color w:val="000000"/>
                <w:sz w:val="18"/>
                <w:szCs w:val="18"/>
                <w:lang w:val="en-GB" w:eastAsia="nl-NL"/>
              </w:rPr>
              <w:instrText>ADDIN CSL_CITATION {"citationItems":[{"id":"ITEM-1","itemData":{"DOI":"10.1016/j.ejca.2018.06.027","ISSN":"18790852","author":[{"dropping-particle":"","family":"Thompson","given":"Alastair M","non-dropping-particle":"","parse-names":false,"suffix":""},{"dropping-particle":"","family":"Clements","given":"Karen","non-dropping-particle":"","parse-names":false,"suffix":""},{"dropping-particle":"","family":"Cheung","given":"Shan","non-dropping-particle":"","parse-names":false,"suffix":""},{"dropping-particle":"","family":"Pinder","given":"Sarah E","non-dropping-particle":"","parse-names":false,"suffix":""},{"dropping-particle":"","family":"Lawrence","given":"Gill","non-dropping-particle":"","parse-names":false,"suffix":""},{"dropping-particle":"","family":"Sawyer","given":"Elinor","non-dropping-particle":"","parse-names":false,"suffix":""},{"dropping-particle":"","family":"Kearins","given":"Olive","non-dropping-particle":"","parse-names":false,"suffix":""},{"dropping-particle":"","family":"Ball","given":"Graham R","non-dropping-particle":"","parse-names":false,"suffix":""},{"dropping-particle":"","family":"Tomlinson","given":"Ian","non-dropping-particle":"","parse-names":false,"suffix":""},{"dropping-particle":"","family":"Hanby","given":"Andrew","non-dropping-particle":"","parse-names":false,"suffix":""},{"dropping-particle":"","family":"St","given":"Jeremy","non-dropping-particle":"","parse-names":false,"suffix":""},{"dropping-particle":"","family":"Thomas","given":"J","non-dropping-particle":"","parse-names":false,"suffix":""},{"dropping-particle":"","family":"Maxwell","given":"Anthony J","non-dropping-particle":"","parse-names":false,"suffix":""},{"dropping-particle":"","family":"Wallis","given":"Matthew G","non-dropping-particle":"","parse-names":false,"suffix":""},{"dropping-particle":"","family":"Dodwell","given":"David J","non-dropping-particle":"","parse-names":false,"suffix":""}],"container-title":"European Journal of Cancer","id":"ITEM-1","issued":{"date-parts":[["2018"]]},"page":"210-219","title":"Management and 5-year outcomes in 9938 women with screen-detected ductal carcinoma in situ: the UK Sloane Project On behalf of the Sloane Project Steering Group (NHS Prospective Study of Screen-Detected Non-invasive Neoplasias) 1","type":"article-journal","volume":"101"},"uris":["http://www.mendeley.com/documents/?uuid=bfe1690a-cdc2-4c3e-b8eb-06f1960c5ffc"]}],"mendeley":{"formattedCitation":"&lt;sup&gt;21&lt;/sup&gt;","plainTextFormattedCitation":"21","previouslyFormattedCitation":"&lt;sup&gt;21&lt;/sup&gt;"},"properties":{"noteIndex":0},"schema":"https://github.com/citation-style-language/schema/raw/master/csl-citation.json"}</w:instrText>
            </w:r>
            <w:r>
              <w:rPr>
                <w:rFonts w:ascii="Calibri" w:eastAsia="Times New Roman" w:hAnsi="Calibri" w:cs="Times New Roman"/>
                <w:color w:val="000000"/>
                <w:sz w:val="18"/>
                <w:szCs w:val="18"/>
                <w:lang w:val="en-GB" w:eastAsia="nl-NL"/>
              </w:rPr>
              <w:fldChar w:fldCharType="separate"/>
            </w:r>
            <w:r w:rsidRPr="00DE6D56">
              <w:rPr>
                <w:rFonts w:ascii="Calibri" w:eastAsia="Times New Roman" w:hAnsi="Calibri" w:cs="Times New Roman"/>
                <w:noProof/>
                <w:color w:val="000000"/>
                <w:sz w:val="18"/>
                <w:szCs w:val="18"/>
                <w:vertAlign w:val="superscript"/>
                <w:lang w:val="en-GB" w:eastAsia="nl-NL"/>
              </w:rPr>
              <w:t>21</w:t>
            </w:r>
            <w:r>
              <w:rPr>
                <w:rFonts w:ascii="Calibri" w:eastAsia="Times New Roman" w:hAnsi="Calibri" w:cs="Times New Roman"/>
                <w:color w:val="000000"/>
                <w:sz w:val="18"/>
                <w:szCs w:val="18"/>
                <w:lang w:val="en-GB" w:eastAsia="nl-NL"/>
              </w:rPr>
              <w:fldChar w:fldCharType="end"/>
            </w:r>
            <w:r w:rsidRPr="002829D8">
              <w:rPr>
                <w:rFonts w:ascii="Calibri" w:eastAsia="Times New Roman" w:hAnsi="Calibri" w:cs="Times New Roman"/>
                <w:color w:val="000000"/>
                <w:sz w:val="18"/>
                <w:szCs w:val="18"/>
                <w:lang w:val="en-GB" w:eastAsia="nl-NL"/>
              </w:rPr>
              <w:t xml:space="preserve"> </w:t>
            </w:r>
          </w:p>
        </w:tc>
      </w:tr>
      <w:tr w:rsidR="0003547C" w:rsidRPr="000C6C3F" w:rsidTr="00715FD8">
        <w:trPr>
          <w:trHeight w:val="600"/>
        </w:trPr>
        <w:tc>
          <w:tcPr>
            <w:tcW w:w="1720" w:type="dxa"/>
            <w:tcBorders>
              <w:top w:val="nil"/>
              <w:left w:val="single" w:sz="8" w:space="0" w:color="auto"/>
              <w:bottom w:val="single" w:sz="4" w:space="0" w:color="auto"/>
              <w:right w:val="nil"/>
            </w:tcBorders>
            <w:shd w:val="clear" w:color="auto" w:fill="auto"/>
            <w:noWrap/>
            <w:vAlign w:val="center"/>
            <w:hideMark/>
          </w:tcPr>
          <w:p w:rsidR="0003547C" w:rsidRPr="002829D8" w:rsidRDefault="0003547C" w:rsidP="00715FD8">
            <w:pPr>
              <w:spacing w:line="240" w:lineRule="auto"/>
              <w:rPr>
                <w:rFonts w:ascii="Calibri" w:eastAsia="Times New Roman" w:hAnsi="Calibri" w:cs="Times New Roman"/>
                <w:b/>
                <w:bCs/>
                <w:color w:val="000000"/>
                <w:sz w:val="18"/>
                <w:szCs w:val="18"/>
                <w:lang w:val="en-GB" w:eastAsia="nl-NL"/>
              </w:rPr>
            </w:pPr>
            <w:proofErr w:type="spellStart"/>
            <w:r w:rsidRPr="002829D8">
              <w:rPr>
                <w:rFonts w:ascii="Calibri" w:eastAsia="Times New Roman" w:hAnsi="Calibri" w:cs="Times New Roman"/>
                <w:b/>
                <w:bCs/>
                <w:color w:val="000000"/>
                <w:sz w:val="18"/>
                <w:szCs w:val="18"/>
                <w:lang w:val="en-GB" w:eastAsia="nl-NL"/>
              </w:rPr>
              <w:t>MDAnderson</w:t>
            </w:r>
            <w:proofErr w:type="spellEnd"/>
            <w:r w:rsidRPr="002829D8">
              <w:rPr>
                <w:rFonts w:ascii="Calibri" w:eastAsia="Times New Roman" w:hAnsi="Calibri" w:cs="Times New Roman"/>
                <w:b/>
                <w:bCs/>
                <w:color w:val="000000"/>
                <w:sz w:val="18"/>
                <w:szCs w:val="18"/>
                <w:lang w:val="en-GB" w:eastAsia="nl-NL"/>
              </w:rPr>
              <w:t xml:space="preserve"> series</w:t>
            </w:r>
          </w:p>
        </w:tc>
        <w:tc>
          <w:tcPr>
            <w:tcW w:w="2123" w:type="dxa"/>
            <w:tcBorders>
              <w:top w:val="nil"/>
              <w:left w:val="single" w:sz="8" w:space="0" w:color="auto"/>
              <w:bottom w:val="single" w:sz="4" w:space="0" w:color="auto"/>
              <w:right w:val="single" w:sz="8" w:space="0" w:color="auto"/>
            </w:tcBorders>
            <w:shd w:val="clear" w:color="auto" w:fill="auto"/>
            <w:vAlign w:val="center"/>
            <w:hideMark/>
          </w:tcPr>
          <w:p w:rsidR="0003547C" w:rsidRPr="002829D8" w:rsidRDefault="0003547C" w:rsidP="00715FD8">
            <w:pPr>
              <w:spacing w:line="240" w:lineRule="auto"/>
              <w:rPr>
                <w:rFonts w:ascii="Calibri" w:eastAsia="Times New Roman" w:hAnsi="Calibri" w:cs="Times New Roman"/>
                <w:color w:val="000000"/>
                <w:sz w:val="18"/>
                <w:szCs w:val="18"/>
                <w:lang w:val="en-GB" w:eastAsia="nl-NL"/>
              </w:rPr>
            </w:pPr>
            <w:r w:rsidRPr="002829D8">
              <w:rPr>
                <w:rFonts w:ascii="Calibri" w:eastAsia="Times New Roman" w:hAnsi="Calibri" w:cs="Times New Roman"/>
                <w:color w:val="000000"/>
                <w:sz w:val="18"/>
                <w:szCs w:val="18"/>
                <w:lang w:val="en-GB" w:eastAsia="nl-NL"/>
              </w:rPr>
              <w:t>US MD Anderson retrospective cohort 2003-2015</w:t>
            </w:r>
          </w:p>
        </w:tc>
        <w:tc>
          <w:tcPr>
            <w:tcW w:w="1701" w:type="dxa"/>
            <w:tcBorders>
              <w:top w:val="nil"/>
              <w:left w:val="nil"/>
              <w:bottom w:val="single" w:sz="4" w:space="0" w:color="auto"/>
              <w:right w:val="single" w:sz="8" w:space="0" w:color="auto"/>
            </w:tcBorders>
            <w:shd w:val="clear" w:color="auto" w:fill="auto"/>
            <w:vAlign w:val="center"/>
            <w:hideMark/>
          </w:tcPr>
          <w:p w:rsidR="0003547C" w:rsidRPr="002829D8" w:rsidRDefault="0003547C" w:rsidP="00715FD8">
            <w:pPr>
              <w:spacing w:line="240" w:lineRule="auto"/>
              <w:jc w:val="center"/>
              <w:rPr>
                <w:rFonts w:ascii="Calibri" w:eastAsia="Times New Roman" w:hAnsi="Calibri" w:cs="Times New Roman"/>
                <w:color w:val="000000"/>
                <w:sz w:val="18"/>
                <w:szCs w:val="18"/>
                <w:lang w:val="en-GB" w:eastAsia="nl-NL"/>
              </w:rPr>
            </w:pPr>
            <w:r>
              <w:rPr>
                <w:rFonts w:ascii="Calibri" w:eastAsia="Times New Roman" w:hAnsi="Calibri" w:cs="Times New Roman"/>
                <w:color w:val="000000"/>
                <w:sz w:val="18"/>
                <w:szCs w:val="18"/>
                <w:lang w:val="en-GB" w:eastAsia="nl-NL"/>
              </w:rPr>
              <w:t>2.500</w:t>
            </w:r>
            <w:r w:rsidRPr="002829D8">
              <w:rPr>
                <w:rFonts w:ascii="Calibri" w:eastAsia="Times New Roman" w:hAnsi="Calibri" w:cs="Times New Roman"/>
                <w:color w:val="000000"/>
                <w:sz w:val="18"/>
                <w:szCs w:val="18"/>
                <w:lang w:val="en-GB" w:eastAsia="nl-NL"/>
              </w:rPr>
              <w:t>/200</w:t>
            </w:r>
          </w:p>
        </w:tc>
        <w:tc>
          <w:tcPr>
            <w:tcW w:w="1701" w:type="dxa"/>
            <w:tcBorders>
              <w:top w:val="nil"/>
              <w:left w:val="nil"/>
              <w:bottom w:val="single" w:sz="4" w:space="0" w:color="auto"/>
              <w:right w:val="single" w:sz="8" w:space="0" w:color="auto"/>
            </w:tcBorders>
            <w:shd w:val="clear" w:color="auto" w:fill="auto"/>
            <w:noWrap/>
            <w:vAlign w:val="center"/>
            <w:hideMark/>
          </w:tcPr>
          <w:p w:rsidR="0003547C" w:rsidRPr="002829D8" w:rsidRDefault="0003547C" w:rsidP="00715FD8">
            <w:pPr>
              <w:spacing w:line="240" w:lineRule="auto"/>
              <w:jc w:val="center"/>
              <w:rPr>
                <w:rFonts w:ascii="Calibri" w:eastAsia="Times New Roman" w:hAnsi="Calibri" w:cs="Times New Roman"/>
                <w:color w:val="000000"/>
                <w:sz w:val="18"/>
                <w:szCs w:val="18"/>
                <w:lang w:val="en-GB" w:eastAsia="nl-NL"/>
              </w:rPr>
            </w:pPr>
            <w:r>
              <w:rPr>
                <w:rFonts w:ascii="Calibri" w:eastAsia="Times New Roman" w:hAnsi="Calibri" w:cs="Times New Roman"/>
                <w:color w:val="000000"/>
                <w:sz w:val="18"/>
                <w:szCs w:val="18"/>
                <w:lang w:val="en-GB" w:eastAsia="nl-NL"/>
              </w:rPr>
              <w:t>5</w:t>
            </w:r>
          </w:p>
        </w:tc>
        <w:tc>
          <w:tcPr>
            <w:tcW w:w="1559" w:type="dxa"/>
            <w:tcBorders>
              <w:top w:val="nil"/>
              <w:left w:val="nil"/>
              <w:bottom w:val="single" w:sz="4" w:space="0" w:color="auto"/>
              <w:right w:val="single" w:sz="8" w:space="0" w:color="auto"/>
            </w:tcBorders>
            <w:shd w:val="clear" w:color="auto" w:fill="auto"/>
            <w:noWrap/>
            <w:vAlign w:val="center"/>
            <w:hideMark/>
          </w:tcPr>
          <w:p w:rsidR="0003547C" w:rsidRPr="002829D8" w:rsidRDefault="0003547C" w:rsidP="00715FD8">
            <w:pPr>
              <w:spacing w:line="240" w:lineRule="auto"/>
              <w:jc w:val="center"/>
              <w:rPr>
                <w:rFonts w:ascii="Calibri" w:eastAsia="Times New Roman" w:hAnsi="Calibri" w:cs="Times New Roman"/>
                <w:color w:val="000000"/>
                <w:sz w:val="18"/>
                <w:szCs w:val="18"/>
                <w:lang w:val="en-GB" w:eastAsia="nl-NL"/>
              </w:rPr>
            </w:pPr>
            <w:r w:rsidRPr="002829D8">
              <w:rPr>
                <w:rFonts w:ascii="Calibri" w:eastAsia="Times New Roman" w:hAnsi="Calibri" w:cs="Times New Roman"/>
                <w:color w:val="000000"/>
                <w:sz w:val="18"/>
                <w:szCs w:val="18"/>
                <w:lang w:val="en-GB" w:eastAsia="nl-NL"/>
              </w:rPr>
              <w:t>NA</w:t>
            </w:r>
          </w:p>
        </w:tc>
      </w:tr>
      <w:tr w:rsidR="0003547C" w:rsidRPr="000C6C3F" w:rsidTr="00715FD8">
        <w:trPr>
          <w:trHeight w:val="600"/>
        </w:trPr>
        <w:tc>
          <w:tcPr>
            <w:tcW w:w="1720" w:type="dxa"/>
            <w:tcBorders>
              <w:top w:val="nil"/>
              <w:left w:val="single" w:sz="8" w:space="0" w:color="auto"/>
              <w:bottom w:val="single" w:sz="4" w:space="0" w:color="auto"/>
              <w:right w:val="nil"/>
            </w:tcBorders>
            <w:shd w:val="clear" w:color="auto" w:fill="auto"/>
            <w:noWrap/>
            <w:vAlign w:val="center"/>
            <w:hideMark/>
          </w:tcPr>
          <w:p w:rsidR="0003547C" w:rsidRPr="002829D8" w:rsidRDefault="0003547C" w:rsidP="00715FD8">
            <w:pPr>
              <w:spacing w:line="240" w:lineRule="auto"/>
              <w:rPr>
                <w:rFonts w:ascii="Calibri" w:eastAsia="Times New Roman" w:hAnsi="Calibri" w:cs="Times New Roman"/>
                <w:b/>
                <w:bCs/>
                <w:sz w:val="18"/>
                <w:szCs w:val="18"/>
                <w:lang w:val="en-GB" w:eastAsia="nl-NL"/>
              </w:rPr>
            </w:pPr>
            <w:r w:rsidRPr="002829D8">
              <w:rPr>
                <w:rFonts w:ascii="Calibri" w:eastAsia="Times New Roman" w:hAnsi="Calibri" w:cs="Times New Roman"/>
                <w:b/>
                <w:bCs/>
                <w:sz w:val="18"/>
                <w:szCs w:val="18"/>
                <w:lang w:val="en-GB" w:eastAsia="nl-NL"/>
              </w:rPr>
              <w:t>Duke series</w:t>
            </w:r>
          </w:p>
        </w:tc>
        <w:tc>
          <w:tcPr>
            <w:tcW w:w="2123" w:type="dxa"/>
            <w:tcBorders>
              <w:top w:val="nil"/>
              <w:left w:val="single" w:sz="8" w:space="0" w:color="auto"/>
              <w:bottom w:val="single" w:sz="4" w:space="0" w:color="auto"/>
              <w:right w:val="single" w:sz="8" w:space="0" w:color="auto"/>
            </w:tcBorders>
            <w:shd w:val="clear" w:color="auto" w:fill="auto"/>
            <w:vAlign w:val="center"/>
            <w:hideMark/>
          </w:tcPr>
          <w:p w:rsidR="0003547C" w:rsidRPr="002829D8" w:rsidRDefault="0003547C" w:rsidP="00715FD8">
            <w:pPr>
              <w:spacing w:line="240" w:lineRule="auto"/>
              <w:rPr>
                <w:rFonts w:ascii="Calibri" w:eastAsia="Times New Roman" w:hAnsi="Calibri" w:cs="Times New Roman"/>
                <w:sz w:val="18"/>
                <w:szCs w:val="18"/>
                <w:lang w:val="en-GB" w:eastAsia="nl-NL"/>
              </w:rPr>
            </w:pPr>
            <w:r w:rsidRPr="002829D8">
              <w:rPr>
                <w:rFonts w:ascii="Calibri" w:eastAsia="Times New Roman" w:hAnsi="Calibri" w:cs="Times New Roman"/>
                <w:sz w:val="18"/>
                <w:szCs w:val="18"/>
                <w:lang w:val="en-GB" w:eastAsia="nl-NL"/>
              </w:rPr>
              <w:t>US Duke retrospective cohort</w:t>
            </w:r>
          </w:p>
        </w:tc>
        <w:tc>
          <w:tcPr>
            <w:tcW w:w="1701" w:type="dxa"/>
            <w:tcBorders>
              <w:top w:val="nil"/>
              <w:left w:val="nil"/>
              <w:bottom w:val="single" w:sz="4" w:space="0" w:color="auto"/>
              <w:right w:val="single" w:sz="8" w:space="0" w:color="auto"/>
            </w:tcBorders>
            <w:shd w:val="clear" w:color="auto" w:fill="auto"/>
            <w:noWrap/>
            <w:vAlign w:val="center"/>
            <w:hideMark/>
          </w:tcPr>
          <w:p w:rsidR="0003547C" w:rsidRPr="002829D8" w:rsidRDefault="0003547C" w:rsidP="00715FD8">
            <w:pPr>
              <w:spacing w:line="240" w:lineRule="auto"/>
              <w:jc w:val="center"/>
              <w:rPr>
                <w:rFonts w:ascii="Calibri" w:eastAsia="Times New Roman" w:hAnsi="Calibri" w:cs="Times New Roman"/>
                <w:sz w:val="18"/>
                <w:szCs w:val="18"/>
                <w:lang w:val="en-GB" w:eastAsia="nl-NL"/>
              </w:rPr>
            </w:pPr>
            <w:r w:rsidRPr="002829D8">
              <w:rPr>
                <w:rFonts w:ascii="Calibri" w:eastAsia="Times New Roman" w:hAnsi="Calibri" w:cs="Times New Roman"/>
                <w:sz w:val="18"/>
                <w:szCs w:val="18"/>
                <w:lang w:val="en-GB" w:eastAsia="nl-NL"/>
              </w:rPr>
              <w:t>658/NA</w:t>
            </w:r>
          </w:p>
        </w:tc>
        <w:tc>
          <w:tcPr>
            <w:tcW w:w="1701" w:type="dxa"/>
            <w:tcBorders>
              <w:top w:val="nil"/>
              <w:left w:val="nil"/>
              <w:bottom w:val="single" w:sz="4" w:space="0" w:color="auto"/>
              <w:right w:val="single" w:sz="8" w:space="0" w:color="auto"/>
            </w:tcBorders>
            <w:shd w:val="clear" w:color="auto" w:fill="auto"/>
            <w:noWrap/>
            <w:vAlign w:val="center"/>
            <w:hideMark/>
          </w:tcPr>
          <w:p w:rsidR="0003547C" w:rsidRPr="002829D8" w:rsidRDefault="0003547C" w:rsidP="00715FD8">
            <w:pPr>
              <w:spacing w:line="240" w:lineRule="auto"/>
              <w:jc w:val="center"/>
              <w:rPr>
                <w:rFonts w:ascii="Calibri" w:eastAsia="Times New Roman" w:hAnsi="Calibri" w:cs="Times New Roman"/>
                <w:sz w:val="18"/>
                <w:szCs w:val="18"/>
                <w:lang w:val="en-GB" w:eastAsia="nl-NL"/>
              </w:rPr>
            </w:pPr>
            <w:r>
              <w:rPr>
                <w:rFonts w:ascii="Calibri" w:eastAsia="Times New Roman" w:hAnsi="Calibri" w:cs="Times New Roman"/>
                <w:sz w:val="18"/>
                <w:szCs w:val="18"/>
                <w:lang w:val="en-GB" w:eastAsia="nl-NL"/>
              </w:rPr>
              <w:t>5</w:t>
            </w:r>
          </w:p>
        </w:tc>
        <w:tc>
          <w:tcPr>
            <w:tcW w:w="1559" w:type="dxa"/>
            <w:tcBorders>
              <w:top w:val="nil"/>
              <w:left w:val="nil"/>
              <w:bottom w:val="single" w:sz="4" w:space="0" w:color="auto"/>
              <w:right w:val="single" w:sz="8" w:space="0" w:color="auto"/>
            </w:tcBorders>
            <w:shd w:val="clear" w:color="auto" w:fill="auto"/>
            <w:noWrap/>
            <w:vAlign w:val="center"/>
            <w:hideMark/>
          </w:tcPr>
          <w:p w:rsidR="0003547C" w:rsidRPr="002829D8" w:rsidRDefault="0003547C" w:rsidP="00715FD8">
            <w:pPr>
              <w:spacing w:line="240" w:lineRule="auto"/>
              <w:jc w:val="center"/>
              <w:rPr>
                <w:rFonts w:ascii="Calibri" w:eastAsia="Times New Roman" w:hAnsi="Calibri" w:cs="Times New Roman"/>
                <w:sz w:val="18"/>
                <w:szCs w:val="18"/>
                <w:lang w:val="en-GB" w:eastAsia="nl-NL"/>
              </w:rPr>
            </w:pPr>
            <w:r w:rsidRPr="002829D8">
              <w:rPr>
                <w:rFonts w:ascii="Calibri" w:eastAsia="Times New Roman" w:hAnsi="Calibri" w:cs="Times New Roman"/>
                <w:sz w:val="18"/>
                <w:szCs w:val="18"/>
                <w:lang w:val="en-GB" w:eastAsia="nl-NL"/>
              </w:rPr>
              <w:t>NA</w:t>
            </w:r>
          </w:p>
        </w:tc>
      </w:tr>
      <w:tr w:rsidR="0003547C" w:rsidRPr="000C6C3F" w:rsidTr="00715FD8">
        <w:trPr>
          <w:trHeight w:val="600"/>
        </w:trPr>
        <w:tc>
          <w:tcPr>
            <w:tcW w:w="1720" w:type="dxa"/>
            <w:tcBorders>
              <w:top w:val="single" w:sz="4" w:space="0" w:color="auto"/>
              <w:left w:val="single" w:sz="4" w:space="0" w:color="auto"/>
              <w:bottom w:val="single" w:sz="4" w:space="0" w:color="auto"/>
            </w:tcBorders>
            <w:shd w:val="clear" w:color="auto" w:fill="auto"/>
            <w:noWrap/>
            <w:vAlign w:val="center"/>
          </w:tcPr>
          <w:p w:rsidR="0003547C" w:rsidRPr="002829D8" w:rsidRDefault="0003547C" w:rsidP="00715FD8">
            <w:pPr>
              <w:spacing w:line="240" w:lineRule="auto"/>
              <w:rPr>
                <w:rFonts w:ascii="Calibri" w:eastAsia="Times New Roman" w:hAnsi="Calibri" w:cs="Times New Roman"/>
                <w:b/>
                <w:bCs/>
                <w:sz w:val="18"/>
                <w:szCs w:val="18"/>
                <w:lang w:val="en-GB" w:eastAsia="nl-NL"/>
              </w:rPr>
            </w:pPr>
            <w:r w:rsidRPr="002829D8">
              <w:rPr>
                <w:rFonts w:ascii="Calibri" w:eastAsia="Times New Roman" w:hAnsi="Calibri" w:cs="Times New Roman"/>
                <w:b/>
                <w:bCs/>
                <w:sz w:val="18"/>
                <w:szCs w:val="18"/>
                <w:lang w:val="en-GB" w:eastAsia="nl-NL"/>
              </w:rPr>
              <w:t>Prospective clinical trials</w:t>
            </w:r>
          </w:p>
        </w:tc>
        <w:tc>
          <w:tcPr>
            <w:tcW w:w="2123" w:type="dxa"/>
            <w:tcBorders>
              <w:top w:val="single" w:sz="4" w:space="0" w:color="auto"/>
              <w:bottom w:val="single" w:sz="4" w:space="0" w:color="auto"/>
            </w:tcBorders>
            <w:shd w:val="clear" w:color="auto" w:fill="auto"/>
            <w:vAlign w:val="center"/>
          </w:tcPr>
          <w:p w:rsidR="0003547C" w:rsidRPr="002829D8" w:rsidRDefault="0003547C" w:rsidP="00715FD8">
            <w:pPr>
              <w:spacing w:line="240" w:lineRule="auto"/>
              <w:rPr>
                <w:rFonts w:ascii="Calibri" w:eastAsia="Times New Roman" w:hAnsi="Calibri" w:cs="Times New Roman"/>
                <w:sz w:val="18"/>
                <w:szCs w:val="18"/>
                <w:lang w:val="en-GB" w:eastAsia="nl-NL"/>
              </w:rPr>
            </w:pPr>
          </w:p>
        </w:tc>
        <w:tc>
          <w:tcPr>
            <w:tcW w:w="1701" w:type="dxa"/>
            <w:tcBorders>
              <w:top w:val="single" w:sz="4" w:space="0" w:color="auto"/>
              <w:bottom w:val="single" w:sz="4" w:space="0" w:color="auto"/>
            </w:tcBorders>
            <w:shd w:val="clear" w:color="auto" w:fill="auto"/>
            <w:noWrap/>
            <w:vAlign w:val="center"/>
          </w:tcPr>
          <w:p w:rsidR="0003547C" w:rsidRPr="002829D8" w:rsidRDefault="0003547C" w:rsidP="00715FD8">
            <w:pPr>
              <w:spacing w:line="240" w:lineRule="auto"/>
              <w:jc w:val="center"/>
              <w:rPr>
                <w:rFonts w:ascii="Calibri" w:eastAsia="Times New Roman" w:hAnsi="Calibri" w:cs="Times New Roman"/>
                <w:sz w:val="18"/>
                <w:szCs w:val="18"/>
                <w:lang w:val="en-GB" w:eastAsia="nl-NL"/>
              </w:rPr>
            </w:pPr>
          </w:p>
        </w:tc>
        <w:tc>
          <w:tcPr>
            <w:tcW w:w="1701" w:type="dxa"/>
            <w:tcBorders>
              <w:top w:val="single" w:sz="4" w:space="0" w:color="auto"/>
              <w:bottom w:val="single" w:sz="4" w:space="0" w:color="auto"/>
            </w:tcBorders>
            <w:shd w:val="clear" w:color="auto" w:fill="auto"/>
            <w:noWrap/>
            <w:vAlign w:val="center"/>
          </w:tcPr>
          <w:p w:rsidR="0003547C" w:rsidRPr="002829D8" w:rsidRDefault="0003547C" w:rsidP="00715FD8">
            <w:pPr>
              <w:spacing w:line="240" w:lineRule="auto"/>
              <w:jc w:val="center"/>
              <w:rPr>
                <w:rFonts w:ascii="Calibri" w:eastAsia="Times New Roman" w:hAnsi="Calibri" w:cs="Times New Roman"/>
                <w:sz w:val="18"/>
                <w:szCs w:val="18"/>
                <w:lang w:val="en-GB" w:eastAsia="nl-NL"/>
              </w:rPr>
            </w:pPr>
          </w:p>
        </w:tc>
        <w:tc>
          <w:tcPr>
            <w:tcW w:w="1559" w:type="dxa"/>
            <w:tcBorders>
              <w:top w:val="single" w:sz="4" w:space="0" w:color="auto"/>
              <w:bottom w:val="single" w:sz="4" w:space="0" w:color="auto"/>
              <w:right w:val="single" w:sz="4" w:space="0" w:color="auto"/>
            </w:tcBorders>
            <w:shd w:val="clear" w:color="auto" w:fill="auto"/>
            <w:noWrap/>
            <w:vAlign w:val="center"/>
          </w:tcPr>
          <w:p w:rsidR="0003547C" w:rsidRPr="002829D8" w:rsidRDefault="0003547C" w:rsidP="00715FD8">
            <w:pPr>
              <w:spacing w:line="240" w:lineRule="auto"/>
              <w:jc w:val="center"/>
              <w:rPr>
                <w:rFonts w:ascii="Calibri" w:eastAsia="Times New Roman" w:hAnsi="Calibri" w:cs="Times New Roman"/>
                <w:sz w:val="18"/>
                <w:szCs w:val="18"/>
                <w:lang w:val="en-GB" w:eastAsia="nl-NL"/>
              </w:rPr>
            </w:pPr>
          </w:p>
        </w:tc>
      </w:tr>
      <w:tr w:rsidR="0003547C" w:rsidRPr="000C6C3F" w:rsidTr="00715FD8">
        <w:trPr>
          <w:trHeight w:val="600"/>
        </w:trPr>
        <w:tc>
          <w:tcPr>
            <w:tcW w:w="1720" w:type="dxa"/>
            <w:tcBorders>
              <w:top w:val="single" w:sz="4" w:space="0" w:color="auto"/>
              <w:left w:val="single" w:sz="8" w:space="0" w:color="auto"/>
              <w:bottom w:val="single" w:sz="4" w:space="0" w:color="auto"/>
              <w:right w:val="nil"/>
            </w:tcBorders>
            <w:shd w:val="clear" w:color="auto" w:fill="auto"/>
            <w:noWrap/>
            <w:vAlign w:val="center"/>
          </w:tcPr>
          <w:p w:rsidR="0003547C" w:rsidRPr="002829D8" w:rsidRDefault="0003547C" w:rsidP="00715FD8">
            <w:pPr>
              <w:spacing w:line="240" w:lineRule="auto"/>
              <w:rPr>
                <w:rFonts w:ascii="Calibri" w:eastAsia="Times New Roman" w:hAnsi="Calibri" w:cs="Times New Roman"/>
                <w:b/>
                <w:bCs/>
                <w:sz w:val="18"/>
                <w:szCs w:val="18"/>
                <w:lang w:val="en-GB" w:eastAsia="nl-NL"/>
              </w:rPr>
            </w:pPr>
            <w:r w:rsidRPr="002829D8">
              <w:rPr>
                <w:rFonts w:ascii="Calibri" w:eastAsia="Times New Roman" w:hAnsi="Calibri" w:cs="Times New Roman"/>
                <w:b/>
                <w:bCs/>
                <w:sz w:val="18"/>
                <w:szCs w:val="18"/>
                <w:lang w:val="en-GB" w:eastAsia="nl-NL"/>
              </w:rPr>
              <w:t>Trial acronym</w:t>
            </w:r>
          </w:p>
        </w:tc>
        <w:tc>
          <w:tcPr>
            <w:tcW w:w="2123" w:type="dxa"/>
            <w:tcBorders>
              <w:top w:val="single" w:sz="4" w:space="0" w:color="auto"/>
              <w:left w:val="single" w:sz="8" w:space="0" w:color="auto"/>
              <w:bottom w:val="single" w:sz="4" w:space="0" w:color="auto"/>
              <w:right w:val="single" w:sz="8" w:space="0" w:color="auto"/>
            </w:tcBorders>
            <w:shd w:val="clear" w:color="auto" w:fill="auto"/>
            <w:vAlign w:val="center"/>
          </w:tcPr>
          <w:p w:rsidR="0003547C" w:rsidRPr="002829D8" w:rsidRDefault="0003547C" w:rsidP="00715FD8">
            <w:pPr>
              <w:spacing w:line="240" w:lineRule="auto"/>
              <w:rPr>
                <w:rFonts w:ascii="Calibri" w:eastAsia="Times New Roman" w:hAnsi="Calibri" w:cs="Times New Roman"/>
                <w:sz w:val="18"/>
                <w:szCs w:val="18"/>
                <w:lang w:val="en-GB" w:eastAsia="nl-NL"/>
              </w:rPr>
            </w:pPr>
            <w:r w:rsidRPr="002829D8">
              <w:rPr>
                <w:rFonts w:ascii="Calibri" w:eastAsia="Times New Roman" w:hAnsi="Calibri" w:cs="Times New Roman"/>
                <w:sz w:val="18"/>
                <w:szCs w:val="18"/>
                <w:lang w:val="en-GB" w:eastAsia="nl-NL"/>
              </w:rPr>
              <w:t>Description</w:t>
            </w:r>
          </w:p>
        </w:tc>
        <w:tc>
          <w:tcPr>
            <w:tcW w:w="1701" w:type="dxa"/>
            <w:tcBorders>
              <w:top w:val="single" w:sz="4" w:space="0" w:color="auto"/>
              <w:left w:val="nil"/>
              <w:bottom w:val="single" w:sz="4" w:space="0" w:color="auto"/>
              <w:right w:val="single" w:sz="8" w:space="0" w:color="auto"/>
            </w:tcBorders>
            <w:shd w:val="clear" w:color="auto" w:fill="auto"/>
            <w:noWrap/>
            <w:vAlign w:val="center"/>
          </w:tcPr>
          <w:p w:rsidR="0003547C" w:rsidRPr="002829D8" w:rsidRDefault="0003547C" w:rsidP="00715FD8">
            <w:pPr>
              <w:spacing w:line="240" w:lineRule="auto"/>
              <w:jc w:val="center"/>
              <w:rPr>
                <w:rFonts w:ascii="Calibri" w:eastAsia="Times New Roman" w:hAnsi="Calibri" w:cs="Times New Roman"/>
                <w:sz w:val="18"/>
                <w:szCs w:val="18"/>
                <w:lang w:val="en-GB" w:eastAsia="nl-NL"/>
              </w:rPr>
            </w:pPr>
            <w:r>
              <w:rPr>
                <w:rFonts w:ascii="Calibri" w:eastAsia="Times New Roman" w:hAnsi="Calibri" w:cs="Times New Roman"/>
                <w:sz w:val="18"/>
                <w:szCs w:val="18"/>
                <w:lang w:val="en-GB" w:eastAsia="nl-NL"/>
              </w:rPr>
              <w:t xml:space="preserve">Size (target number of participants) </w:t>
            </w:r>
          </w:p>
        </w:tc>
        <w:tc>
          <w:tcPr>
            <w:tcW w:w="1701" w:type="dxa"/>
            <w:tcBorders>
              <w:top w:val="single" w:sz="4" w:space="0" w:color="auto"/>
              <w:left w:val="nil"/>
              <w:bottom w:val="single" w:sz="4" w:space="0" w:color="auto"/>
              <w:right w:val="single" w:sz="8" w:space="0" w:color="auto"/>
            </w:tcBorders>
            <w:shd w:val="clear" w:color="auto" w:fill="auto"/>
            <w:noWrap/>
            <w:vAlign w:val="center"/>
          </w:tcPr>
          <w:p w:rsidR="0003547C" w:rsidRPr="002829D8" w:rsidRDefault="0003547C" w:rsidP="00715FD8">
            <w:pPr>
              <w:spacing w:line="240" w:lineRule="auto"/>
              <w:jc w:val="center"/>
              <w:rPr>
                <w:rFonts w:ascii="Calibri" w:eastAsia="Times New Roman" w:hAnsi="Calibri" w:cs="Times New Roman"/>
                <w:sz w:val="18"/>
                <w:szCs w:val="18"/>
                <w:lang w:val="en-GB" w:eastAsia="nl-NL"/>
              </w:rPr>
            </w:pPr>
            <w:r w:rsidRPr="002829D8">
              <w:rPr>
                <w:rFonts w:ascii="Calibri" w:eastAsia="Times New Roman" w:hAnsi="Calibri" w:cs="Times New Roman"/>
                <w:sz w:val="18"/>
                <w:szCs w:val="18"/>
                <w:lang w:val="en-GB" w:eastAsia="nl-NL"/>
              </w:rPr>
              <w:t>Main outcome</w:t>
            </w:r>
          </w:p>
        </w:tc>
        <w:tc>
          <w:tcPr>
            <w:tcW w:w="1559" w:type="dxa"/>
            <w:tcBorders>
              <w:top w:val="single" w:sz="4" w:space="0" w:color="auto"/>
              <w:left w:val="nil"/>
              <w:bottom w:val="single" w:sz="4" w:space="0" w:color="auto"/>
              <w:right w:val="single" w:sz="8" w:space="0" w:color="auto"/>
            </w:tcBorders>
            <w:shd w:val="clear" w:color="auto" w:fill="auto"/>
            <w:noWrap/>
            <w:vAlign w:val="center"/>
          </w:tcPr>
          <w:p w:rsidR="0003547C" w:rsidRPr="002829D8" w:rsidRDefault="0003547C" w:rsidP="00715FD8">
            <w:pPr>
              <w:spacing w:line="240" w:lineRule="auto"/>
              <w:jc w:val="center"/>
              <w:rPr>
                <w:rFonts w:ascii="Calibri" w:eastAsia="Times New Roman" w:hAnsi="Calibri" w:cs="Times New Roman"/>
                <w:sz w:val="18"/>
                <w:szCs w:val="18"/>
                <w:lang w:val="en-GB" w:eastAsia="nl-NL"/>
              </w:rPr>
            </w:pPr>
            <w:r w:rsidRPr="002829D8">
              <w:rPr>
                <w:rFonts w:ascii="Calibri" w:eastAsia="Times New Roman" w:hAnsi="Calibri" w:cs="Times New Roman"/>
                <w:sz w:val="18"/>
                <w:szCs w:val="18"/>
                <w:lang w:val="en-GB" w:eastAsia="nl-NL"/>
              </w:rPr>
              <w:t>Ref.</w:t>
            </w:r>
          </w:p>
        </w:tc>
      </w:tr>
      <w:tr w:rsidR="0003547C" w:rsidRPr="00B43ECE" w:rsidTr="00715FD8">
        <w:trPr>
          <w:trHeight w:val="600"/>
        </w:trPr>
        <w:tc>
          <w:tcPr>
            <w:tcW w:w="1720" w:type="dxa"/>
            <w:tcBorders>
              <w:top w:val="single" w:sz="4" w:space="0" w:color="auto"/>
              <w:left w:val="single" w:sz="8" w:space="0" w:color="auto"/>
              <w:bottom w:val="single" w:sz="4" w:space="0" w:color="auto"/>
              <w:right w:val="nil"/>
            </w:tcBorders>
            <w:shd w:val="clear" w:color="auto" w:fill="auto"/>
            <w:noWrap/>
            <w:vAlign w:val="center"/>
            <w:hideMark/>
          </w:tcPr>
          <w:p w:rsidR="0003547C" w:rsidRPr="002829D8" w:rsidRDefault="0003547C" w:rsidP="00715FD8">
            <w:pPr>
              <w:spacing w:line="240" w:lineRule="auto"/>
              <w:rPr>
                <w:rFonts w:ascii="Calibri" w:eastAsia="Times New Roman" w:hAnsi="Calibri" w:cs="Times New Roman"/>
                <w:b/>
                <w:bCs/>
                <w:sz w:val="18"/>
                <w:szCs w:val="18"/>
                <w:lang w:val="en-GB" w:eastAsia="nl-NL"/>
              </w:rPr>
            </w:pPr>
            <w:r w:rsidRPr="002829D8">
              <w:rPr>
                <w:rFonts w:ascii="Calibri" w:eastAsia="Times New Roman" w:hAnsi="Calibri" w:cs="Times New Roman"/>
                <w:b/>
                <w:bCs/>
                <w:sz w:val="18"/>
                <w:szCs w:val="18"/>
                <w:lang w:val="en-GB" w:eastAsia="nl-NL"/>
              </w:rPr>
              <w:t>LORIS</w:t>
            </w:r>
          </w:p>
        </w:tc>
        <w:tc>
          <w:tcPr>
            <w:tcW w:w="2123"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03547C" w:rsidRPr="002829D8" w:rsidRDefault="0003547C" w:rsidP="00715FD8">
            <w:pPr>
              <w:spacing w:line="240" w:lineRule="auto"/>
              <w:rPr>
                <w:rFonts w:ascii="Calibri" w:eastAsia="Times New Roman" w:hAnsi="Calibri" w:cs="Times New Roman"/>
                <w:sz w:val="18"/>
                <w:szCs w:val="18"/>
                <w:lang w:val="en-GB" w:eastAsia="nl-NL"/>
              </w:rPr>
            </w:pPr>
            <w:r w:rsidRPr="002829D8">
              <w:rPr>
                <w:rFonts w:ascii="Calibri" w:hAnsi="Calibri" w:cs="Arial"/>
                <w:sz w:val="18"/>
                <w:szCs w:val="18"/>
                <w:lang w:val="en-GB"/>
              </w:rPr>
              <w:t>A trial comparing surgery with active monitoring for low risk DCIS (LORIS)</w:t>
            </w:r>
          </w:p>
        </w:tc>
        <w:tc>
          <w:tcPr>
            <w:tcW w:w="1701" w:type="dxa"/>
            <w:tcBorders>
              <w:top w:val="single" w:sz="4" w:space="0" w:color="auto"/>
              <w:left w:val="nil"/>
              <w:bottom w:val="single" w:sz="4" w:space="0" w:color="auto"/>
              <w:right w:val="single" w:sz="8" w:space="0" w:color="auto"/>
            </w:tcBorders>
            <w:shd w:val="clear" w:color="auto" w:fill="auto"/>
            <w:noWrap/>
            <w:vAlign w:val="center"/>
            <w:hideMark/>
          </w:tcPr>
          <w:p w:rsidR="0003547C" w:rsidRPr="002829D8" w:rsidRDefault="0003547C" w:rsidP="00715FD8">
            <w:pPr>
              <w:spacing w:line="240" w:lineRule="auto"/>
              <w:jc w:val="center"/>
              <w:rPr>
                <w:rFonts w:ascii="Calibri" w:eastAsia="Times New Roman" w:hAnsi="Calibri" w:cs="Times New Roman"/>
                <w:sz w:val="18"/>
                <w:szCs w:val="18"/>
                <w:lang w:val="en-GB" w:eastAsia="nl-NL"/>
              </w:rPr>
            </w:pPr>
            <w:r w:rsidRPr="002829D8">
              <w:rPr>
                <w:rFonts w:ascii="Calibri" w:eastAsia="Times New Roman" w:hAnsi="Calibri" w:cs="Times New Roman"/>
                <w:sz w:val="18"/>
                <w:szCs w:val="18"/>
                <w:lang w:val="en-GB" w:eastAsia="nl-NL"/>
              </w:rPr>
              <w:t>900</w:t>
            </w:r>
          </w:p>
        </w:tc>
        <w:tc>
          <w:tcPr>
            <w:tcW w:w="1701" w:type="dxa"/>
            <w:tcBorders>
              <w:top w:val="single" w:sz="4" w:space="0" w:color="auto"/>
              <w:left w:val="nil"/>
              <w:bottom w:val="single" w:sz="4" w:space="0" w:color="auto"/>
              <w:right w:val="single" w:sz="8" w:space="0" w:color="auto"/>
            </w:tcBorders>
            <w:shd w:val="clear" w:color="auto" w:fill="auto"/>
            <w:noWrap/>
            <w:vAlign w:val="center"/>
            <w:hideMark/>
          </w:tcPr>
          <w:p w:rsidR="0003547C" w:rsidRPr="002829D8" w:rsidRDefault="0003547C" w:rsidP="00715FD8">
            <w:pPr>
              <w:spacing w:line="240" w:lineRule="auto"/>
              <w:jc w:val="center"/>
              <w:rPr>
                <w:rFonts w:ascii="Calibri" w:eastAsia="Times New Roman" w:hAnsi="Calibri" w:cs="Times New Roman"/>
                <w:sz w:val="18"/>
                <w:szCs w:val="18"/>
                <w:lang w:val="en-GB" w:eastAsia="nl-NL"/>
              </w:rPr>
            </w:pPr>
            <w:r w:rsidRPr="002829D8">
              <w:rPr>
                <w:rFonts w:ascii="Calibri" w:hAnsi="Calibri" w:cs="Arial"/>
                <w:sz w:val="18"/>
                <w:szCs w:val="18"/>
                <w:lang w:val="en-GB"/>
              </w:rPr>
              <w:t>Ipsilateral invasive BC-free rate at 10 years</w:t>
            </w:r>
          </w:p>
        </w:tc>
        <w:tc>
          <w:tcPr>
            <w:tcW w:w="1559" w:type="dxa"/>
            <w:tcBorders>
              <w:top w:val="single" w:sz="4" w:space="0" w:color="auto"/>
              <w:left w:val="nil"/>
              <w:bottom w:val="single" w:sz="4" w:space="0" w:color="auto"/>
              <w:right w:val="single" w:sz="8" w:space="0" w:color="auto"/>
            </w:tcBorders>
            <w:shd w:val="clear" w:color="auto" w:fill="auto"/>
            <w:noWrap/>
            <w:vAlign w:val="center"/>
            <w:hideMark/>
          </w:tcPr>
          <w:p w:rsidR="0003547C" w:rsidRDefault="0003547C" w:rsidP="00715FD8">
            <w:pPr>
              <w:spacing w:line="240" w:lineRule="auto"/>
              <w:jc w:val="center"/>
              <w:rPr>
                <w:rFonts w:ascii="Calibri" w:eastAsia="Times New Roman" w:hAnsi="Calibri" w:cs="Times New Roman"/>
                <w:sz w:val="18"/>
                <w:szCs w:val="18"/>
                <w:lang w:val="en-GB" w:eastAsia="nl-NL"/>
              </w:rPr>
            </w:pPr>
            <w:r w:rsidRPr="002829D8">
              <w:rPr>
                <w:rFonts w:ascii="Calibri" w:eastAsia="Times New Roman" w:hAnsi="Calibri" w:cs="Times New Roman"/>
                <w:sz w:val="18"/>
                <w:szCs w:val="18"/>
                <w:lang w:val="en-GB" w:eastAsia="nl-NL"/>
              </w:rPr>
              <w:t>Francis et al, 2015</w:t>
            </w:r>
            <w:r w:rsidRPr="002829D8">
              <w:rPr>
                <w:rFonts w:ascii="Calibri" w:eastAsia="Times New Roman" w:hAnsi="Calibri" w:cs="Times New Roman"/>
                <w:sz w:val="18"/>
                <w:szCs w:val="18"/>
                <w:lang w:val="en-GB" w:eastAsia="nl-NL"/>
              </w:rPr>
              <w:fldChar w:fldCharType="begin" w:fldLock="1"/>
            </w:r>
            <w:r>
              <w:rPr>
                <w:rFonts w:ascii="Calibri" w:eastAsia="Times New Roman" w:hAnsi="Calibri" w:cs="Times New Roman"/>
                <w:sz w:val="18"/>
                <w:szCs w:val="18"/>
                <w:lang w:val="en-GB" w:eastAsia="nl-NL"/>
              </w:rPr>
              <w:instrText>ADDIN CSL_CITATION {"citationItems":[{"id":"ITEM-1","itemData":{"DOI":"10.1016/j.ejca.2015.07.017","ISSN":"0959-8049","abstract":"Overdiagnosis, and thus overtreatment, are inevitable consequences of most screening programmes; identification of ways of minimising the impact of overdiagnosis demands new prospective research, in particular the need to separate clinically relevant lesions that require active treatment from those that can be safely left alone or monitored and only need treated if they change characteristics. Breast cancer screening has led to a large increase in ductal carcinoma in situ (DCIS) diagnoses. This is a widely heterogeneous disease and most DCIS detected through screening is of high cytonuclear grade and therefore likely to be important clinically. However, the historic practice of surgical treatment for all DCIS is unlikely to be optimal for lower risk patients. A clearer understanding of how to manage DCIS is required. This article describes the background and development of 'The low risk' DCIS trial (LORIS), a phase III trial of surgery versus active monitoring. LORIS will determine if it is appropriate to manage women with screen detected or asymptomatic, low grade and intermediate grade DCIS with low grade features, by active monitoring rather than by surgical treatment.","author":[{"dropping-particle":"","family":"Francis","given":"A","non-dropping-particle":"","parse-names":false,"suffix":""},{"dropping-particle":"","family":"Thomas","given":"J","non-dropping-particle":"","parse-names":false,"suffix":""},{"dropping-particle":"","family":"Fallowfield","given":"L","non-dropping-particle":"","parse-names":false,"suffix":""},{"dropping-particle":"","family":"Wallis","given":"M","non-dropping-particle":"","parse-names":false,"suffix":""},{"dropping-particle":"","family":"Bartlett","given":"J M","non-dropping-particle":"","parse-names":false,"suffix":""},{"dropping-particle":"","family":"Brookes","given":"C","non-dropping-particle":"","parse-names":false,"suffix":""},{"dropping-particle":"","family":"Roberts","given":"T","non-dropping-particle":"","parse-names":false,"suffix":""},{"dropping-particle":"","family":"Pirrie","given":"S","non-dropping-particle":"","parse-names":false,"suffix":""},{"dropping-particle":"","family":"Gaunt","given":"C","non-dropping-particle":"","parse-names":false,"suffix":""},{"dropping-particle":"","family":"Young","given":"J","non-dropping-particle":"","parse-names":false,"suffix":""},{"dropping-particle":"","family":"Billingham","given":"L","non-dropping-particle":"","parse-names":false,"suffix":""},{"dropping-particle":"","family":"Dodwell","given":"D","non-dropping-particle":"","parse-names":false,"suffix":""},{"dropping-particle":"","family":"Hanby","given":"A","non-dropping-particle":"","parse-names":false,"suffix":""},{"dropping-particle":"","family":"Pinder","given":"S E","non-dropping-particle":"","parse-names":false,"suffix":""},{"dropping-particle":"","family":"Evans","given":"A","non-dropping-particle":"","parse-names":false,"suffix":""},{"dropping-particle":"","family":"Reed","given":"M","non-dropping-particle":"","parse-names":false,"suffix":""},{"dropping-particle":"","family":"Jenkins","given":"V","non-dropping-particle":"","parse-names":false,"suffix":""},{"dropping-particle":"","family":"Matthews","given":"L","non-dropping-particle":"","parse-names":false,"suffix":""},{"dropping-particle":"","family":"Wilcox","given":"M","non-dropping-particle":"","parse-names":false,"suffix":""},{"dropping-particle":"","family":"Fairbrother","given":"P","non-dropping-particle":"","parse-names":false,"suffix":""},{"dropping-particle":"","family":"Bowden","given":"S","non-dropping-particle":"","parse-names":false,"suffix":""},{"dropping-particle":"","family":"Rea","given":"D","non-dropping-particle":"","parse-names":false,"suffix":""}],"container-title":"Eur J Cancer","edition":"2015/08/25","id":"ITEM-1","issue":"16","issued":{"date-parts":[["2015"]]},"language":"eng","note":"1879-0852\nFrancis, Adele\nThomas, Jeremy\nFallowfield, Lesley\nWallis, Matthew\nBartlett, John M S\nBrookes, Cassandra\nRoberts, Tracy\nPirrie, Sarah\nGaunt, Claire\nYoung, Jennie\nBillingham, Lucinda\nDodwell, David\nHanby, Andrew\nPinder, Sarah E\nEvans, Andrew\nReed, Malcolm\nJenkins, Valerie\nMatthews, Lucy\nWilcox, Maggie\nFairbrother, Patricia\nBowden, Sarah\nRea, Daniel\nClinical Trial, Phase III\nComparative Study\nJournal Article\nMulticenter Study\nResearch Support, Non-U.S. Gov't\nEngland\nEur J Cancer. 2015 Nov;51(16):2296-303. doi: 10.1016/j.ejca.2015.07.017. Epub 2015 Aug 18.","page":"2296-2303","publisher-place":"Department of Breast Surgery, Nuffield House University Hospital Birmingham, Edgbaston, Birmingham, B15 2TH, UK. Western General Hospital, Edinburgh, UK. Sussex Health Outcomes, Research &amp; Education in Cancer (SHORE-C), Brighton and Sussex Medical School,","title":"Addressing overtreatment of screen detected DCIS; the LORIS trial","type":"article-journal","volume":"51"},"uris":["http://www.mendeley.com/documents/?uuid=3d6355ae-10c3-4556-a88b-5fcec3d67d49"]}],"mendeley":{"formattedCitation":"&lt;sup&gt;56&lt;/sup&gt;","plainTextFormattedCitation":"56","previouslyFormattedCitation":"&lt;sup&gt;56&lt;/sup&gt;"},"properties":{"noteIndex":0},"schema":"https://github.com/citation-style-language/schema/raw/master/csl-citation.json"}</w:instrText>
            </w:r>
            <w:r w:rsidRPr="002829D8">
              <w:rPr>
                <w:rFonts w:ascii="Calibri" w:eastAsia="Times New Roman" w:hAnsi="Calibri" w:cs="Times New Roman"/>
                <w:sz w:val="18"/>
                <w:szCs w:val="18"/>
                <w:lang w:val="en-GB" w:eastAsia="nl-NL"/>
              </w:rPr>
              <w:fldChar w:fldCharType="separate"/>
            </w:r>
            <w:r w:rsidRPr="00756372">
              <w:rPr>
                <w:rFonts w:ascii="Calibri" w:eastAsia="Times New Roman" w:hAnsi="Calibri" w:cs="Times New Roman"/>
                <w:noProof/>
                <w:sz w:val="18"/>
                <w:szCs w:val="18"/>
                <w:vertAlign w:val="superscript"/>
                <w:lang w:val="en-GB" w:eastAsia="nl-NL"/>
              </w:rPr>
              <w:t>56</w:t>
            </w:r>
            <w:r w:rsidRPr="002829D8">
              <w:rPr>
                <w:rFonts w:ascii="Calibri" w:eastAsia="Times New Roman" w:hAnsi="Calibri" w:cs="Times New Roman"/>
                <w:sz w:val="18"/>
                <w:szCs w:val="18"/>
                <w:lang w:val="en-GB" w:eastAsia="nl-NL"/>
              </w:rPr>
              <w:fldChar w:fldCharType="end"/>
            </w:r>
            <w:r w:rsidRPr="002829D8">
              <w:rPr>
                <w:rFonts w:ascii="Calibri" w:eastAsia="Times New Roman" w:hAnsi="Calibri" w:cs="Times New Roman"/>
                <w:sz w:val="18"/>
                <w:szCs w:val="18"/>
                <w:lang w:val="en-GB" w:eastAsia="nl-NL"/>
              </w:rPr>
              <w:t xml:space="preserve"> </w:t>
            </w:r>
            <w:r>
              <w:rPr>
                <w:rFonts w:ascii="Calibri" w:eastAsia="Times New Roman" w:hAnsi="Calibri" w:cs="Times New Roman"/>
                <w:sz w:val="18"/>
                <w:szCs w:val="18"/>
                <w:lang w:val="en-GB" w:eastAsia="nl-NL"/>
              </w:rPr>
              <w:t xml:space="preserve"> </w:t>
            </w:r>
          </w:p>
          <w:p w:rsidR="0003547C" w:rsidRPr="002829D8" w:rsidRDefault="0003547C" w:rsidP="00715FD8">
            <w:pPr>
              <w:spacing w:line="240" w:lineRule="auto"/>
              <w:jc w:val="center"/>
              <w:rPr>
                <w:rFonts w:ascii="Calibri" w:eastAsia="Times New Roman" w:hAnsi="Calibri" w:cs="Times New Roman"/>
                <w:sz w:val="18"/>
                <w:szCs w:val="18"/>
                <w:lang w:val="en-GB" w:eastAsia="nl-NL"/>
              </w:rPr>
            </w:pPr>
            <w:r w:rsidRPr="00A129F1">
              <w:rPr>
                <w:rFonts w:ascii="Calibri" w:eastAsia="Times New Roman" w:hAnsi="Calibri" w:cs="Times New Roman"/>
                <w:sz w:val="18"/>
                <w:szCs w:val="18"/>
                <w:lang w:val="en-GB" w:eastAsia="nl-NL"/>
              </w:rPr>
              <w:t>NCT02766881</w:t>
            </w:r>
          </w:p>
        </w:tc>
      </w:tr>
      <w:tr w:rsidR="0003547C" w:rsidRPr="009C4986" w:rsidTr="00715FD8">
        <w:trPr>
          <w:trHeight w:val="600"/>
        </w:trPr>
        <w:tc>
          <w:tcPr>
            <w:tcW w:w="1720" w:type="dxa"/>
            <w:tcBorders>
              <w:top w:val="single" w:sz="4" w:space="0" w:color="auto"/>
              <w:left w:val="single" w:sz="8" w:space="0" w:color="auto"/>
              <w:bottom w:val="single" w:sz="4" w:space="0" w:color="auto"/>
              <w:right w:val="nil"/>
            </w:tcBorders>
            <w:shd w:val="clear" w:color="auto" w:fill="auto"/>
            <w:noWrap/>
            <w:vAlign w:val="center"/>
          </w:tcPr>
          <w:p w:rsidR="0003547C" w:rsidRPr="002829D8" w:rsidRDefault="0003547C" w:rsidP="00715FD8">
            <w:pPr>
              <w:spacing w:line="240" w:lineRule="auto"/>
              <w:rPr>
                <w:rFonts w:ascii="Calibri" w:eastAsia="Times New Roman" w:hAnsi="Calibri" w:cs="Times New Roman"/>
                <w:b/>
                <w:bCs/>
                <w:sz w:val="18"/>
                <w:szCs w:val="18"/>
                <w:lang w:val="en-GB" w:eastAsia="nl-NL"/>
              </w:rPr>
            </w:pPr>
            <w:r w:rsidRPr="002829D8">
              <w:rPr>
                <w:rFonts w:ascii="Calibri" w:eastAsia="Times New Roman" w:hAnsi="Calibri" w:cs="Times New Roman"/>
                <w:b/>
                <w:bCs/>
                <w:sz w:val="18"/>
                <w:szCs w:val="18"/>
                <w:lang w:val="en-GB" w:eastAsia="nl-NL"/>
              </w:rPr>
              <w:t>COMET</w:t>
            </w:r>
          </w:p>
        </w:tc>
        <w:tc>
          <w:tcPr>
            <w:tcW w:w="2123" w:type="dxa"/>
            <w:tcBorders>
              <w:top w:val="single" w:sz="4" w:space="0" w:color="auto"/>
              <w:left w:val="single" w:sz="8" w:space="0" w:color="auto"/>
              <w:bottom w:val="single" w:sz="4" w:space="0" w:color="auto"/>
              <w:right w:val="single" w:sz="8" w:space="0" w:color="auto"/>
            </w:tcBorders>
            <w:shd w:val="clear" w:color="auto" w:fill="auto"/>
            <w:vAlign w:val="center"/>
          </w:tcPr>
          <w:p w:rsidR="0003547C" w:rsidRPr="002829D8" w:rsidRDefault="0003547C" w:rsidP="00715FD8">
            <w:pPr>
              <w:spacing w:line="240" w:lineRule="auto"/>
              <w:rPr>
                <w:rFonts w:ascii="Calibri" w:eastAsia="Times New Roman" w:hAnsi="Calibri" w:cs="Times New Roman"/>
                <w:sz w:val="18"/>
                <w:szCs w:val="18"/>
                <w:lang w:val="en-GB" w:eastAsia="nl-NL"/>
              </w:rPr>
            </w:pPr>
            <w:r w:rsidRPr="002829D8">
              <w:rPr>
                <w:rFonts w:ascii="Calibri" w:hAnsi="Calibri"/>
                <w:sz w:val="18"/>
                <w:szCs w:val="18"/>
                <w:lang w:val="en-GB"/>
              </w:rPr>
              <w:t>Comparison of Operative to Monitoring and Endocrine Therapy (COMET) Trial For Low Risk DCIS (COMET)</w:t>
            </w:r>
          </w:p>
        </w:tc>
        <w:tc>
          <w:tcPr>
            <w:tcW w:w="1701" w:type="dxa"/>
            <w:tcBorders>
              <w:top w:val="single" w:sz="4" w:space="0" w:color="auto"/>
              <w:left w:val="nil"/>
              <w:bottom w:val="single" w:sz="4" w:space="0" w:color="auto"/>
              <w:right w:val="single" w:sz="8" w:space="0" w:color="auto"/>
            </w:tcBorders>
            <w:shd w:val="clear" w:color="auto" w:fill="auto"/>
            <w:noWrap/>
            <w:vAlign w:val="center"/>
          </w:tcPr>
          <w:p w:rsidR="0003547C" w:rsidRPr="002829D8" w:rsidRDefault="0003547C" w:rsidP="00715FD8">
            <w:pPr>
              <w:spacing w:line="240" w:lineRule="auto"/>
              <w:jc w:val="center"/>
              <w:rPr>
                <w:rFonts w:ascii="Calibri" w:eastAsia="Times New Roman" w:hAnsi="Calibri" w:cs="Times New Roman"/>
                <w:sz w:val="18"/>
                <w:szCs w:val="18"/>
                <w:lang w:val="en-GB" w:eastAsia="nl-NL"/>
              </w:rPr>
            </w:pPr>
            <w:r w:rsidRPr="002829D8">
              <w:rPr>
                <w:rFonts w:ascii="Calibri" w:eastAsia="Times New Roman" w:hAnsi="Calibri" w:cs="Times New Roman"/>
                <w:sz w:val="18"/>
                <w:szCs w:val="18"/>
                <w:lang w:val="en-GB" w:eastAsia="nl-NL"/>
              </w:rPr>
              <w:t>1200</w:t>
            </w:r>
          </w:p>
        </w:tc>
        <w:tc>
          <w:tcPr>
            <w:tcW w:w="1701" w:type="dxa"/>
            <w:tcBorders>
              <w:top w:val="single" w:sz="4" w:space="0" w:color="auto"/>
              <w:left w:val="nil"/>
              <w:bottom w:val="single" w:sz="4" w:space="0" w:color="auto"/>
              <w:right w:val="single" w:sz="8" w:space="0" w:color="auto"/>
            </w:tcBorders>
            <w:shd w:val="clear" w:color="auto" w:fill="auto"/>
            <w:noWrap/>
            <w:vAlign w:val="center"/>
          </w:tcPr>
          <w:p w:rsidR="0003547C" w:rsidRPr="002829D8" w:rsidRDefault="0003547C" w:rsidP="00715FD8">
            <w:pPr>
              <w:spacing w:line="240" w:lineRule="auto"/>
              <w:jc w:val="center"/>
              <w:rPr>
                <w:rFonts w:ascii="Calibri" w:eastAsia="Times New Roman" w:hAnsi="Calibri" w:cs="Times New Roman"/>
                <w:sz w:val="18"/>
                <w:szCs w:val="18"/>
                <w:lang w:val="en-GB" w:eastAsia="nl-NL"/>
              </w:rPr>
            </w:pPr>
            <w:r w:rsidRPr="002829D8">
              <w:rPr>
                <w:rFonts w:ascii="Calibri" w:hAnsi="Calibri" w:cs="Arial"/>
                <w:sz w:val="18"/>
                <w:szCs w:val="18"/>
                <w:lang w:val="en-GB"/>
              </w:rPr>
              <w:t>Proportion of new diagnoses of ipsilateral invasive cancer in GCC and AS arms at 2 years of follow up</w:t>
            </w:r>
          </w:p>
        </w:tc>
        <w:tc>
          <w:tcPr>
            <w:tcW w:w="1559" w:type="dxa"/>
            <w:tcBorders>
              <w:top w:val="single" w:sz="4" w:space="0" w:color="auto"/>
              <w:left w:val="nil"/>
              <w:bottom w:val="single" w:sz="4" w:space="0" w:color="auto"/>
              <w:right w:val="single" w:sz="8" w:space="0" w:color="auto"/>
            </w:tcBorders>
            <w:shd w:val="clear" w:color="auto" w:fill="auto"/>
            <w:noWrap/>
            <w:vAlign w:val="center"/>
          </w:tcPr>
          <w:p w:rsidR="0003547C" w:rsidRPr="002829D8" w:rsidRDefault="0003547C" w:rsidP="00715FD8">
            <w:pPr>
              <w:spacing w:line="240" w:lineRule="auto"/>
              <w:jc w:val="center"/>
              <w:rPr>
                <w:rFonts w:ascii="Calibri" w:eastAsia="Times New Roman" w:hAnsi="Calibri" w:cs="Times New Roman"/>
                <w:sz w:val="18"/>
                <w:szCs w:val="18"/>
                <w:lang w:val="en-GB" w:eastAsia="nl-NL"/>
              </w:rPr>
            </w:pPr>
            <w:r w:rsidRPr="002829D8">
              <w:rPr>
                <w:rFonts w:ascii="Calibri" w:hAnsi="Calibri"/>
                <w:sz w:val="18"/>
                <w:szCs w:val="18"/>
                <w:lang w:val="en-GB"/>
              </w:rPr>
              <w:t>NCT02926911</w:t>
            </w:r>
            <w:r>
              <w:rPr>
                <w:rFonts w:ascii="Calibri" w:hAnsi="Calibri"/>
                <w:sz w:val="18"/>
                <w:szCs w:val="18"/>
                <w:lang w:val="en-GB"/>
              </w:rPr>
              <w:fldChar w:fldCharType="begin" w:fldLock="1"/>
            </w:r>
            <w:r>
              <w:rPr>
                <w:rFonts w:ascii="Calibri" w:hAnsi="Calibri"/>
                <w:sz w:val="18"/>
                <w:szCs w:val="18"/>
                <w:lang w:val="en-GB"/>
              </w:rPr>
              <w:instrText>ADDIN CSL_CITATION {"citationItems":[{"id":"ITEM-1","itemData":{"URL":"http://www.pcori.org/research-results/2016/comparison-operative-versus-medical-endocrine-therapy-low-risk-dcis-comet.","id":"ITEM-1","issued":{"date-parts":[["0"]]},"title":"Comparison of operative versus medical endocrine therapy for low risk DCIS: the COMET Trial.","type":"webpage"},"uris":["http://www.mendeley.com/documents/?uuid=51e10349-bd02-427f-bd1a-1ffbab7ca787"]},{"id":"ITEM-2","itemData":{"author":[{"dropping-particle":"","family":"Hwang","given":"E. Shelley","non-dropping-particle":"","parse-names":false,"suffix":""},{"dropping-particle":"","family":"Hyslop","given":"Terry","non-dropping-particle":"","parse-names":false,"suffix":""},{"dropping-particle":"","family":"Lynch","given":"Thomas","non-dropping-particle":"","parse-names":false,"suffix":""},{"dropping-particle":"","family":"Frank","given":"Elizabeth","non-dropping-particle":"","parse-names":false,"suffix":""},{"dropping-particle":"","family":"Pinto","given":"Donna","non-dropping-particle":"","parse-names":false,"suffix":""},{"dropping-particle":"","family":"Basila","given":"Desiree","non-dropping-particle":"","parse-names":false,"suffix":""},{"dropping-particle":"","family":"Collyar","given":"Deborah","non-dropping-particle":"","parse-names":false,"suffix":""},{"dropping-particle":"","family":"Bennett","given":"Antonia","non-dropping-particle":"","parse-names":false,"suffix":""},{"dropping-particle":"","family":"Kaplan","given":"Celia","non-dropping-particle":"","parse-names":false,"suffix":""},{"dropping-particle":"","family":"Rosenberg","given":"Shoshana","non-dropping-particle":"","parse-names":false,"suffix":""},{"dropping-particle":"","family":"Thompson","given":"Alastair","non-dropping-particle":"","parse-names":false,"suffix":""},{"dropping-particle":"","family":"Weiss","given":"Anna","non-dropping-particle":"","parse-names":false,"suffix":""},{"dropping-particle":"","family":"Partridge","given":"Ann","non-dropping-particle":"","parse-names":false,"suffix":""}],"container-title":"in press","id":"ITEM-2","issued":{"date-parts":[["2019"]]},"title":"The COMET (Comparison of Operative to Monitoring and Endocrine Therapy) Trial: A phase III randomized trial for low-risk ductal carcinoma in situ (DCIS)","type":"article-journal"},"uris":["http://www.mendeley.com/documents/?uuid=fb53e303-3ffa-4376-967a-f70ea0f3c604"]}],"mendeley":{"formattedCitation":"&lt;sup&gt;57,58&lt;/sup&gt;","plainTextFormattedCitation":"57,58","previouslyFormattedCitation":"&lt;sup&gt;57,93&lt;/sup&gt;"},"properties":{"noteIndex":0},"schema":"https://github.com/citation-style-language/schema/raw/master/csl-citation.json"}</w:instrText>
            </w:r>
            <w:r>
              <w:rPr>
                <w:rFonts w:ascii="Calibri" w:hAnsi="Calibri"/>
                <w:sz w:val="18"/>
                <w:szCs w:val="18"/>
                <w:lang w:val="en-GB"/>
              </w:rPr>
              <w:fldChar w:fldCharType="separate"/>
            </w:r>
            <w:r w:rsidRPr="00446501">
              <w:rPr>
                <w:rFonts w:ascii="Calibri" w:hAnsi="Calibri"/>
                <w:noProof/>
                <w:sz w:val="18"/>
                <w:szCs w:val="18"/>
                <w:vertAlign w:val="superscript"/>
                <w:lang w:val="en-GB"/>
              </w:rPr>
              <w:t>57,58</w:t>
            </w:r>
            <w:r>
              <w:rPr>
                <w:rFonts w:ascii="Calibri" w:hAnsi="Calibri"/>
                <w:sz w:val="18"/>
                <w:szCs w:val="18"/>
                <w:lang w:val="en-GB"/>
              </w:rPr>
              <w:fldChar w:fldCharType="end"/>
            </w:r>
          </w:p>
        </w:tc>
      </w:tr>
      <w:tr w:rsidR="0003547C" w:rsidRPr="00B43ECE" w:rsidTr="00715FD8">
        <w:trPr>
          <w:trHeight w:val="600"/>
        </w:trPr>
        <w:tc>
          <w:tcPr>
            <w:tcW w:w="1720" w:type="dxa"/>
            <w:tcBorders>
              <w:top w:val="single" w:sz="4" w:space="0" w:color="auto"/>
              <w:left w:val="single" w:sz="8" w:space="0" w:color="auto"/>
              <w:bottom w:val="single" w:sz="8" w:space="0" w:color="auto"/>
              <w:right w:val="nil"/>
            </w:tcBorders>
            <w:shd w:val="clear" w:color="auto" w:fill="auto"/>
            <w:noWrap/>
            <w:vAlign w:val="center"/>
          </w:tcPr>
          <w:p w:rsidR="0003547C" w:rsidRPr="002829D8" w:rsidRDefault="0003547C" w:rsidP="00715FD8">
            <w:pPr>
              <w:spacing w:line="240" w:lineRule="auto"/>
              <w:rPr>
                <w:rFonts w:ascii="Calibri" w:eastAsia="Times New Roman" w:hAnsi="Calibri" w:cs="Times New Roman"/>
                <w:b/>
                <w:bCs/>
                <w:sz w:val="18"/>
                <w:szCs w:val="18"/>
                <w:lang w:val="en-GB" w:eastAsia="nl-NL"/>
              </w:rPr>
            </w:pPr>
            <w:r w:rsidRPr="002829D8">
              <w:rPr>
                <w:rFonts w:ascii="Calibri" w:eastAsia="Times New Roman" w:hAnsi="Calibri" w:cs="Times New Roman"/>
                <w:b/>
                <w:bCs/>
                <w:sz w:val="18"/>
                <w:szCs w:val="18"/>
                <w:lang w:val="en-GB" w:eastAsia="nl-NL"/>
              </w:rPr>
              <w:t>LORD</w:t>
            </w:r>
          </w:p>
        </w:tc>
        <w:tc>
          <w:tcPr>
            <w:tcW w:w="2123" w:type="dxa"/>
            <w:tcBorders>
              <w:top w:val="single" w:sz="4" w:space="0" w:color="auto"/>
              <w:left w:val="single" w:sz="8" w:space="0" w:color="auto"/>
              <w:bottom w:val="single" w:sz="8" w:space="0" w:color="auto"/>
              <w:right w:val="single" w:sz="8" w:space="0" w:color="auto"/>
            </w:tcBorders>
            <w:shd w:val="clear" w:color="auto" w:fill="auto"/>
            <w:vAlign w:val="center"/>
          </w:tcPr>
          <w:p w:rsidR="0003547C" w:rsidRPr="002829D8" w:rsidRDefault="0003547C" w:rsidP="00715FD8">
            <w:pPr>
              <w:spacing w:line="240" w:lineRule="auto"/>
              <w:rPr>
                <w:rFonts w:ascii="Calibri" w:eastAsia="Times New Roman" w:hAnsi="Calibri" w:cs="Times New Roman"/>
                <w:sz w:val="18"/>
                <w:szCs w:val="18"/>
                <w:lang w:val="en-GB" w:eastAsia="nl-NL"/>
              </w:rPr>
            </w:pPr>
            <w:r w:rsidRPr="002829D8">
              <w:rPr>
                <w:rFonts w:ascii="Calibri" w:eastAsia="Times New Roman" w:hAnsi="Calibri" w:cs="Times New Roman"/>
                <w:sz w:val="18"/>
                <w:szCs w:val="18"/>
                <w:lang w:val="en-GB" w:eastAsia="nl-NL"/>
              </w:rPr>
              <w:t>Low risk DCIS study</w:t>
            </w:r>
          </w:p>
        </w:tc>
        <w:tc>
          <w:tcPr>
            <w:tcW w:w="1701" w:type="dxa"/>
            <w:tcBorders>
              <w:top w:val="single" w:sz="4" w:space="0" w:color="auto"/>
              <w:left w:val="nil"/>
              <w:bottom w:val="single" w:sz="8" w:space="0" w:color="auto"/>
              <w:right w:val="single" w:sz="8" w:space="0" w:color="auto"/>
            </w:tcBorders>
            <w:shd w:val="clear" w:color="auto" w:fill="auto"/>
            <w:noWrap/>
            <w:vAlign w:val="center"/>
          </w:tcPr>
          <w:p w:rsidR="0003547C" w:rsidRPr="002829D8" w:rsidRDefault="0003547C" w:rsidP="00715FD8">
            <w:pPr>
              <w:spacing w:line="240" w:lineRule="auto"/>
              <w:jc w:val="center"/>
              <w:rPr>
                <w:rFonts w:ascii="Calibri" w:eastAsia="Times New Roman" w:hAnsi="Calibri" w:cs="Times New Roman"/>
                <w:sz w:val="18"/>
                <w:szCs w:val="18"/>
                <w:lang w:val="en-GB" w:eastAsia="nl-NL"/>
              </w:rPr>
            </w:pPr>
            <w:r w:rsidRPr="002829D8">
              <w:rPr>
                <w:rFonts w:ascii="Calibri" w:eastAsia="Times New Roman" w:hAnsi="Calibri" w:cs="Times New Roman"/>
                <w:sz w:val="18"/>
                <w:szCs w:val="18"/>
                <w:lang w:val="en-GB" w:eastAsia="nl-NL"/>
              </w:rPr>
              <w:t>1240</w:t>
            </w:r>
          </w:p>
        </w:tc>
        <w:tc>
          <w:tcPr>
            <w:tcW w:w="1701" w:type="dxa"/>
            <w:tcBorders>
              <w:top w:val="single" w:sz="4" w:space="0" w:color="auto"/>
              <w:left w:val="nil"/>
              <w:bottom w:val="single" w:sz="8" w:space="0" w:color="auto"/>
              <w:right w:val="single" w:sz="8" w:space="0" w:color="auto"/>
            </w:tcBorders>
            <w:shd w:val="clear" w:color="auto" w:fill="auto"/>
            <w:noWrap/>
            <w:vAlign w:val="center"/>
          </w:tcPr>
          <w:p w:rsidR="0003547C" w:rsidRPr="002829D8" w:rsidRDefault="0003547C" w:rsidP="00715FD8">
            <w:pPr>
              <w:spacing w:line="240" w:lineRule="auto"/>
              <w:jc w:val="center"/>
              <w:rPr>
                <w:rFonts w:ascii="Calibri" w:eastAsia="Times New Roman" w:hAnsi="Calibri" w:cs="Times New Roman"/>
                <w:sz w:val="18"/>
                <w:szCs w:val="18"/>
                <w:lang w:val="en-GB" w:eastAsia="nl-NL"/>
              </w:rPr>
            </w:pPr>
            <w:r w:rsidRPr="002829D8">
              <w:rPr>
                <w:rFonts w:ascii="Calibri" w:hAnsi="Calibri" w:cs="Arial"/>
                <w:sz w:val="18"/>
                <w:szCs w:val="18"/>
                <w:lang w:val="en-GB"/>
              </w:rPr>
              <w:t>Ipsilateral invasive BC-free rate at 10 years</w:t>
            </w:r>
          </w:p>
        </w:tc>
        <w:tc>
          <w:tcPr>
            <w:tcW w:w="1559" w:type="dxa"/>
            <w:tcBorders>
              <w:top w:val="single" w:sz="4" w:space="0" w:color="auto"/>
              <w:left w:val="nil"/>
              <w:bottom w:val="single" w:sz="8" w:space="0" w:color="auto"/>
              <w:right w:val="single" w:sz="8" w:space="0" w:color="auto"/>
            </w:tcBorders>
            <w:shd w:val="clear" w:color="auto" w:fill="auto"/>
            <w:noWrap/>
            <w:vAlign w:val="center"/>
          </w:tcPr>
          <w:p w:rsidR="0003547C" w:rsidRPr="002829D8" w:rsidRDefault="0003547C" w:rsidP="00715FD8">
            <w:pPr>
              <w:spacing w:line="240" w:lineRule="auto"/>
              <w:jc w:val="center"/>
              <w:rPr>
                <w:rFonts w:ascii="Calibri" w:eastAsia="Times New Roman" w:hAnsi="Calibri" w:cs="Times New Roman"/>
                <w:sz w:val="18"/>
                <w:szCs w:val="18"/>
                <w:lang w:val="en-GB" w:eastAsia="nl-NL"/>
              </w:rPr>
            </w:pPr>
            <w:r w:rsidRPr="002829D8">
              <w:rPr>
                <w:rFonts w:ascii="Calibri" w:eastAsia="Times New Roman" w:hAnsi="Calibri" w:cs="Times New Roman"/>
                <w:sz w:val="18"/>
                <w:szCs w:val="18"/>
                <w:lang w:val="en-GB" w:eastAsia="nl-NL"/>
              </w:rPr>
              <w:t>Elshof et al, 2015</w:t>
            </w:r>
            <w:r w:rsidRPr="002829D8">
              <w:rPr>
                <w:rFonts w:ascii="Calibri" w:eastAsia="Times New Roman" w:hAnsi="Calibri" w:cs="Times New Roman"/>
                <w:sz w:val="18"/>
                <w:szCs w:val="18"/>
                <w:lang w:val="en-GB" w:eastAsia="nl-NL"/>
              </w:rPr>
              <w:fldChar w:fldCharType="begin" w:fldLock="1"/>
            </w:r>
            <w:r>
              <w:rPr>
                <w:rFonts w:ascii="Calibri" w:eastAsia="Times New Roman" w:hAnsi="Calibri" w:cs="Times New Roman"/>
                <w:sz w:val="18"/>
                <w:szCs w:val="18"/>
                <w:lang w:val="en-GB" w:eastAsia="nl-NL"/>
              </w:rPr>
              <w:instrText>ADDIN CSL_CITATION {"citationItems":[{"id":"ITEM-1","itemData":{"DOI":"10.1016/j.ejca.2015.05.008","ISBN":"0959-8049","ISSN":"0959-8049","PMID":"26025767","abstract":"BACKGROUND: The current debate on overdiagnosis and overtreatment of screen-detected ductal carcinoma in situ (DCIS) urges the need for prospective studies to address this issue. A substantial number of DCIS lesions will never form a health hazard, particularly if it concerns non- to slow-growing low-grade DCIS. The LORD study aims to evaluate the safety of active surveillance in women with low-risk DCIS. DESIGN: This is a randomised, international multicentre, open-label, phase III non-inferiority trial, led by the Dutch Breast Cancer Research Group (BOOG 2014-04) and the European Organization for Research and Treatment of Cancer (EORTC-BCG 1401). Standard treatment will be compared to active surveillance in 1240 women aged 45 years with asymptomatic, screen-detected, pure low-grade DCIS based on vacuum-assisted biopsies of microcalcifications only. Both study arms will be monitored with annual digital mammography for a period of 10 years. The primary end-point is 10-year ipsilateral invasive breast cancer free percentage. Secondary end-points include patient reported outcomes, diagnostic biopsy rate during follow-up, ipsilateral mastectomy rate and translational research. FEASIBILITY: To explore interest in and feasibility of the LORD study we conducted a survey among EORTC and BOOG centres. A vast majority of EORTC and BOOG responding centres expressed interest in participation in the LORD study. The proposed study design is endorsed by nearly all centres.","author":[{"dropping-particle":"","family":"Elshof","given":"Lotte E.","non-dropping-particle":"","parse-names":false,"suffix":""},{"dropping-particle":"","family":"Tryfonidis","given":"Konstantinos","non-dropping-particle":"","parse-names":false,"suffix":""},{"dropping-particle":"","family":"Slaets","given":"Leen","non-dropping-particle":"","parse-names":false,"suffix":""},{"dropping-particle":"","family":"Leeuwen-Stok","given":"A. Elise","non-dropping-particle":"van","parse-names":false,"suffix":""},{"dropping-particle":"","family":"Skinner","given":"Victoria P.","non-dropping-particle":"","parse-names":false,"suffix":""},{"dropping-particle":"","family":"Dif","given":"Nicolas","non-dropping-particle":"","parse-names":false,"suffix":""},{"dropping-particle":"","family":"Pijnappel","given":"Ruud M.","non-dropping-particle":"","parse-names":false,"suffix":""},{"dropping-particle":"","family":"Bijker","given":"Nina","non-dropping-particle":"","parse-names":false,"suffix":""},{"dropping-particle":"","family":"Rutgers","given":"Emiel J Th","non-dropping-particle":"","parse-names":false,"suffix":""},{"dropping-particle":"","family":"Wesseling","given":"Jelle","non-dropping-particle":"","parse-names":false,"suffix":""}],"container-title":"Eur J Cancer","edition":"2015/05/31","id":"ITEM-1","issue":"12","issued":{"date-parts":[["2015"]]},"language":"eng","note":"From Duplicate 2 (Feasibility of a prospective, randomised, open-label, international multicentre, phase III, non-inferiority trial to assess the safety of active surveillance for low risk ductal carcinoma in situ - The LORD study - Elshof, L E; Tryfonidis, K; Slaets, L; van Leeuwen-Stok, A E; Skinner, V P; Dif, N; Pijnappel, R M; Bijker, N; Rutgers, E J; Wesseling, J)\n\n1879-0852\nElshof, Lotte E\nTryfonidis, Konstantinos\nSlaets, Leen\nvan Leeuwen-Stok, A Elise\nSkinner, Victoria P\nDif, Nicolas\nPijnappel, Ruud M\nBijker, Nina\nRutgers, Emiel J Th\nWesseling, Jelle\nClinical Trial, Phase III\nJournal Article\nMulticenter Study\nRandomized Controlled Trial\nResearch Support, Non-U.S. Gov't\nEngland\nEur J Cancer. 2015 Aug;51(12):1497-510. doi: 10.1016/j.ejca.2015.05.008. Epub 2015 May 26.","page":"1497-1510","publisher":"Elsevier Ltd","publisher-place":"Department of Surgery, Netherlands Cancer Institute/Antoni van Leeuwenhoek, Plesmanlaan 121, 1066 CX Amsterdam, The Netherlands; Department of Molecular Pathology, Netherlands Cancer Institute/Antoni van Leeuwenhoek, Plesmanlaan 121, 1066 CX Amsterdam, Th","title":"Feasibility of a prospective, randomised, open-label, international multicentre, phase III, non-inferiority trial to assess the safety of active surveillance for low risk ductal carcinoma in situ - The LORD study","type":"article-journal","volume":"51"},"uris":["http://www.mendeley.com/documents/?uuid=fc63bd85-add1-4637-967e-f9ebf34b550f"]}],"mendeley":{"formattedCitation":"&lt;sup&gt;59&lt;/sup&gt;","plainTextFormattedCitation":"59","previouslyFormattedCitation":"&lt;sup&gt;58&lt;/sup&gt;"},"properties":{"noteIndex":0},"schema":"https://github.com/citation-style-language/schema/raw/master/csl-citation.json"}</w:instrText>
            </w:r>
            <w:r w:rsidRPr="002829D8">
              <w:rPr>
                <w:rFonts w:ascii="Calibri" w:eastAsia="Times New Roman" w:hAnsi="Calibri" w:cs="Times New Roman"/>
                <w:sz w:val="18"/>
                <w:szCs w:val="18"/>
                <w:lang w:val="en-GB" w:eastAsia="nl-NL"/>
              </w:rPr>
              <w:fldChar w:fldCharType="separate"/>
            </w:r>
            <w:r w:rsidRPr="00446501">
              <w:rPr>
                <w:rFonts w:ascii="Calibri" w:eastAsia="Times New Roman" w:hAnsi="Calibri" w:cs="Times New Roman"/>
                <w:noProof/>
                <w:sz w:val="18"/>
                <w:szCs w:val="18"/>
                <w:vertAlign w:val="superscript"/>
                <w:lang w:val="en-GB" w:eastAsia="nl-NL"/>
              </w:rPr>
              <w:t>59</w:t>
            </w:r>
            <w:r w:rsidRPr="002829D8">
              <w:rPr>
                <w:rFonts w:ascii="Calibri" w:eastAsia="Times New Roman" w:hAnsi="Calibri" w:cs="Times New Roman"/>
                <w:sz w:val="18"/>
                <w:szCs w:val="18"/>
                <w:lang w:val="en-GB" w:eastAsia="nl-NL"/>
              </w:rPr>
              <w:fldChar w:fldCharType="end"/>
            </w:r>
          </w:p>
          <w:p w:rsidR="0003547C" w:rsidRPr="002829D8" w:rsidRDefault="0003547C" w:rsidP="00715FD8">
            <w:pPr>
              <w:spacing w:line="240" w:lineRule="auto"/>
              <w:jc w:val="center"/>
              <w:rPr>
                <w:rFonts w:ascii="Calibri" w:eastAsia="Times New Roman" w:hAnsi="Calibri" w:cs="Times New Roman"/>
                <w:sz w:val="18"/>
                <w:szCs w:val="18"/>
                <w:lang w:val="en-GB" w:eastAsia="nl-NL"/>
              </w:rPr>
            </w:pPr>
            <w:r w:rsidRPr="002829D8">
              <w:rPr>
                <w:rFonts w:ascii="Calibri" w:hAnsi="Calibri"/>
                <w:sz w:val="18"/>
                <w:szCs w:val="18"/>
                <w:lang w:val="en-GB"/>
              </w:rPr>
              <w:t>NCT02492607</w:t>
            </w:r>
          </w:p>
        </w:tc>
      </w:tr>
    </w:tbl>
    <w:p w:rsidR="0003547C" w:rsidRPr="00E363E4" w:rsidRDefault="0003547C" w:rsidP="0003547C">
      <w:pPr>
        <w:rPr>
          <w:lang w:val="en-US"/>
        </w:rPr>
      </w:pPr>
    </w:p>
    <w:p w:rsidR="0003547C" w:rsidRPr="002829D8" w:rsidRDefault="0003547C" w:rsidP="0003547C">
      <w:pPr>
        <w:spacing w:line="480" w:lineRule="auto"/>
        <w:rPr>
          <w:rFonts w:ascii="Calibri" w:hAnsi="Calibri" w:cs="Arial"/>
          <w:lang w:val="en-GB"/>
        </w:rPr>
      </w:pPr>
      <w:r w:rsidRPr="00E44140">
        <w:rPr>
          <w:rFonts w:ascii="Calibri" w:hAnsi="Calibri"/>
          <w:b/>
          <w:lang w:val="en-GB"/>
        </w:rPr>
        <w:t>Comprehensive genomic characterisation of DCIS (WP2)</w:t>
      </w:r>
      <w:r w:rsidRPr="002829D8">
        <w:rPr>
          <w:rFonts w:ascii="Calibri" w:hAnsi="Calibri" w:cs="Arial"/>
          <w:lang w:val="en-GB"/>
        </w:rPr>
        <w:t>: To determine whether a lesion is life-threatening</w:t>
      </w:r>
      <w:r>
        <w:rPr>
          <w:rFonts w:ascii="Calibri" w:hAnsi="Calibri" w:cs="Arial"/>
          <w:lang w:val="en-GB"/>
        </w:rPr>
        <w:t>,</w:t>
      </w:r>
      <w:r w:rsidRPr="002829D8">
        <w:rPr>
          <w:rFonts w:ascii="Calibri" w:hAnsi="Calibri" w:cs="Arial"/>
          <w:lang w:val="en-GB"/>
        </w:rPr>
        <w:t xml:space="preserve"> a clear understanding of the biology of DCIS </w:t>
      </w:r>
      <w:r>
        <w:rPr>
          <w:rFonts w:ascii="Calibri" w:hAnsi="Calibri" w:cs="Arial"/>
          <w:lang w:val="en-GB"/>
        </w:rPr>
        <w:t xml:space="preserve">is required </w:t>
      </w:r>
      <w:r w:rsidRPr="002829D8">
        <w:rPr>
          <w:rFonts w:ascii="Calibri" w:hAnsi="Calibri" w:cs="Arial"/>
          <w:lang w:val="en-GB"/>
        </w:rPr>
        <w:t xml:space="preserve">to identify the critical drivers of DCIS evolution and progression to invasive disease. To identify putative novel drivers, whole genome and whole </w:t>
      </w:r>
      <w:proofErr w:type="spellStart"/>
      <w:r w:rsidRPr="002829D8">
        <w:rPr>
          <w:rFonts w:ascii="Calibri" w:hAnsi="Calibri" w:cs="Arial"/>
          <w:lang w:val="en-GB"/>
        </w:rPr>
        <w:t>exome</w:t>
      </w:r>
      <w:proofErr w:type="spellEnd"/>
      <w:r w:rsidRPr="002829D8">
        <w:rPr>
          <w:rFonts w:ascii="Calibri" w:hAnsi="Calibri" w:cs="Arial"/>
          <w:lang w:val="en-GB"/>
        </w:rPr>
        <w:t xml:space="preserve"> sequencing </w:t>
      </w:r>
      <w:r>
        <w:rPr>
          <w:rFonts w:ascii="Calibri" w:hAnsi="Calibri" w:cs="Arial"/>
          <w:lang w:val="en-GB"/>
        </w:rPr>
        <w:t>are</w:t>
      </w:r>
      <w:r w:rsidRPr="002829D8">
        <w:rPr>
          <w:rFonts w:ascii="Calibri" w:hAnsi="Calibri" w:cs="Arial"/>
          <w:lang w:val="en-GB"/>
        </w:rPr>
        <w:t xml:space="preserve"> performed to identify the mutation spectrum, the sequence of each gene, the impact of coding substitutions (synonymous, missense, nonsense, splice site) and the variation of the mutation rate across genes. The landscape of base substitution mutational signatures in DCIS will be assessed and </w:t>
      </w:r>
      <w:r>
        <w:rPr>
          <w:rFonts w:ascii="Calibri" w:hAnsi="Calibri" w:cs="Arial"/>
          <w:lang w:val="en-GB"/>
        </w:rPr>
        <w:t>compared</w:t>
      </w:r>
      <w:r w:rsidRPr="002829D8">
        <w:rPr>
          <w:rFonts w:ascii="Calibri" w:hAnsi="Calibri" w:cs="Arial"/>
          <w:lang w:val="en-GB"/>
        </w:rPr>
        <w:t xml:space="preserve"> to what is already known </w:t>
      </w:r>
      <w:r>
        <w:rPr>
          <w:rFonts w:ascii="Calibri" w:hAnsi="Calibri" w:cs="Arial"/>
          <w:lang w:val="en-GB"/>
        </w:rPr>
        <w:t>for</w:t>
      </w:r>
      <w:r w:rsidRPr="002829D8">
        <w:rPr>
          <w:rFonts w:ascii="Calibri" w:hAnsi="Calibri" w:cs="Arial"/>
          <w:lang w:val="en-GB"/>
        </w:rPr>
        <w:t xml:space="preserve"> invasive breast cancer. A bank of genomic data </w:t>
      </w:r>
      <w:r>
        <w:rPr>
          <w:rFonts w:ascii="Calibri" w:hAnsi="Calibri" w:cs="Arial"/>
          <w:lang w:val="en-GB"/>
        </w:rPr>
        <w:t>is being</w:t>
      </w:r>
      <w:r w:rsidRPr="002829D8">
        <w:rPr>
          <w:rFonts w:ascii="Calibri" w:hAnsi="Calibri" w:cs="Arial"/>
          <w:lang w:val="en-GB"/>
        </w:rPr>
        <w:t xml:space="preserve"> created for future analysis.</w:t>
      </w:r>
      <w:r w:rsidR="000941F4">
        <w:rPr>
          <w:rFonts w:ascii="Calibri" w:hAnsi="Calibri" w:cs="Arial"/>
          <w:lang w:val="en-GB"/>
        </w:rPr>
        <w:t xml:space="preserve"> </w:t>
      </w:r>
      <w:r w:rsidR="000941F4" w:rsidRPr="003F44A4">
        <w:rPr>
          <w:rFonts w:ascii="Calibri" w:hAnsi="Calibri" w:cs="Arial"/>
          <w:lang w:val="en-GB"/>
        </w:rPr>
        <w:t xml:space="preserve">A key feature of our genomic studies is to capture both the </w:t>
      </w:r>
      <w:proofErr w:type="spellStart"/>
      <w:r w:rsidR="000941F4" w:rsidRPr="003F44A4">
        <w:rPr>
          <w:rFonts w:ascii="Calibri" w:hAnsi="Calibri" w:cs="Arial"/>
          <w:lang w:val="en-GB"/>
        </w:rPr>
        <w:t>interpatient</w:t>
      </w:r>
      <w:proofErr w:type="spellEnd"/>
      <w:r w:rsidR="000941F4" w:rsidRPr="003F44A4">
        <w:rPr>
          <w:rFonts w:ascii="Calibri" w:hAnsi="Calibri" w:cs="Arial"/>
          <w:lang w:val="en-GB"/>
        </w:rPr>
        <w:t xml:space="preserve"> and </w:t>
      </w:r>
      <w:proofErr w:type="spellStart"/>
      <w:r w:rsidR="000941F4" w:rsidRPr="003F44A4">
        <w:rPr>
          <w:rFonts w:ascii="Calibri" w:hAnsi="Calibri" w:cs="Arial"/>
          <w:lang w:val="en-GB"/>
        </w:rPr>
        <w:t>intratumoural</w:t>
      </w:r>
      <w:proofErr w:type="spellEnd"/>
      <w:r w:rsidR="000941F4" w:rsidRPr="003F44A4">
        <w:rPr>
          <w:rFonts w:ascii="Calibri" w:hAnsi="Calibri" w:cs="Arial"/>
          <w:lang w:val="en-GB"/>
        </w:rPr>
        <w:t xml:space="preserve"> heterogeneity. The first is addressed by profiling large sets </w:t>
      </w:r>
      <w:r w:rsidR="000941F4" w:rsidRPr="003F44A4">
        <w:rPr>
          <w:rFonts w:ascii="Calibri" w:hAnsi="Calibri" w:cs="Arial"/>
          <w:lang w:val="en-GB"/>
        </w:rPr>
        <w:lastRenderedPageBreak/>
        <w:t xml:space="preserve">of samples from various studies (see WP1). The latter is addressed by </w:t>
      </w:r>
      <w:proofErr w:type="spellStart"/>
      <w:r w:rsidR="000941F4" w:rsidRPr="003F44A4">
        <w:rPr>
          <w:rFonts w:ascii="Calibri" w:hAnsi="Calibri" w:cs="Arial"/>
          <w:lang w:val="en-GB"/>
        </w:rPr>
        <w:t>mult</w:t>
      </w:r>
      <w:r w:rsidR="00B52C7C">
        <w:rPr>
          <w:rFonts w:ascii="Calibri" w:hAnsi="Calibri" w:cs="Arial"/>
          <w:lang w:val="en-GB"/>
        </w:rPr>
        <w:t>i</w:t>
      </w:r>
      <w:r w:rsidR="000941F4" w:rsidRPr="003F44A4">
        <w:rPr>
          <w:rFonts w:ascii="Calibri" w:hAnsi="Calibri" w:cs="Arial"/>
          <w:lang w:val="en-GB"/>
        </w:rPr>
        <w:t>regim</w:t>
      </w:r>
      <w:proofErr w:type="spellEnd"/>
      <w:r w:rsidR="000941F4" w:rsidRPr="003F44A4">
        <w:rPr>
          <w:rFonts w:ascii="Calibri" w:hAnsi="Calibri" w:cs="Arial"/>
          <w:lang w:val="en-GB"/>
        </w:rPr>
        <w:t xml:space="preserve"> sequencing and single cell studies.</w:t>
      </w:r>
      <w:r w:rsidR="000941F4">
        <w:rPr>
          <w:rFonts w:ascii="Calibri" w:hAnsi="Calibri" w:cs="Arial"/>
          <w:lang w:val="en-GB"/>
        </w:rPr>
        <w:t xml:space="preserve"> </w:t>
      </w:r>
    </w:p>
    <w:p w:rsidR="0003547C" w:rsidRPr="002829D8" w:rsidRDefault="0003547C" w:rsidP="0003547C">
      <w:pPr>
        <w:spacing w:line="480" w:lineRule="auto"/>
        <w:rPr>
          <w:rFonts w:ascii="Calibri" w:hAnsi="Calibri" w:cs="Arial"/>
          <w:lang w:val="en-GB"/>
        </w:rPr>
      </w:pPr>
      <w:r w:rsidRPr="00E44140">
        <w:rPr>
          <w:rFonts w:ascii="Calibri" w:hAnsi="Calibri"/>
          <w:b/>
          <w:lang w:val="en-GB"/>
        </w:rPr>
        <w:t>Characterising the role of the immune microenvironment as a determinant of DCIS clinical biology (WP3):</w:t>
      </w:r>
      <w:r w:rsidRPr="002829D8">
        <w:rPr>
          <w:rFonts w:ascii="Calibri" w:hAnsi="Calibri" w:cs="Arial"/>
          <w:lang w:val="en-GB"/>
        </w:rPr>
        <w:t xml:space="preserve"> The main hypothesis being explored is that </w:t>
      </w:r>
      <w:r>
        <w:rPr>
          <w:rFonts w:ascii="Calibri" w:hAnsi="Calibri" w:cs="Arial"/>
          <w:lang w:val="en-GB"/>
        </w:rPr>
        <w:t xml:space="preserve">features of </w:t>
      </w:r>
      <w:r w:rsidRPr="002829D8">
        <w:rPr>
          <w:rFonts w:ascii="Calibri" w:hAnsi="Calibri" w:cs="Arial"/>
          <w:lang w:val="en-GB"/>
        </w:rPr>
        <w:t xml:space="preserve">the immune microenvironment </w:t>
      </w:r>
      <w:r>
        <w:rPr>
          <w:rFonts w:ascii="Calibri" w:hAnsi="Calibri" w:cs="Arial"/>
          <w:lang w:val="en-GB"/>
        </w:rPr>
        <w:t>are</w:t>
      </w:r>
      <w:r w:rsidRPr="002829D8">
        <w:rPr>
          <w:rFonts w:ascii="Calibri" w:hAnsi="Calibri" w:cs="Arial"/>
          <w:lang w:val="en-GB"/>
        </w:rPr>
        <w:t xml:space="preserve"> key </w:t>
      </w:r>
      <w:r>
        <w:rPr>
          <w:rFonts w:ascii="Calibri" w:hAnsi="Calibri" w:cs="Arial"/>
          <w:lang w:val="en-GB"/>
        </w:rPr>
        <w:t xml:space="preserve">in determining the </w:t>
      </w:r>
      <w:r w:rsidRPr="002829D8">
        <w:rPr>
          <w:rFonts w:ascii="Calibri" w:hAnsi="Calibri" w:cs="Arial"/>
          <w:lang w:val="en-GB"/>
        </w:rPr>
        <w:t xml:space="preserve">risk </w:t>
      </w:r>
      <w:r>
        <w:rPr>
          <w:rFonts w:ascii="Calibri" w:hAnsi="Calibri" w:cs="Arial"/>
          <w:lang w:val="en-GB"/>
        </w:rPr>
        <w:t>of</w:t>
      </w:r>
      <w:r w:rsidRPr="002829D8">
        <w:rPr>
          <w:rFonts w:ascii="Calibri" w:hAnsi="Calibri" w:cs="Arial"/>
          <w:lang w:val="en-GB"/>
        </w:rPr>
        <w:t xml:space="preserve"> DCIS progression</w:t>
      </w:r>
      <w:r>
        <w:rPr>
          <w:rFonts w:ascii="Calibri" w:hAnsi="Calibri" w:cs="Arial"/>
          <w:lang w:val="en-GB"/>
        </w:rPr>
        <w:t xml:space="preserve">. </w:t>
      </w:r>
      <w:r w:rsidRPr="002829D8">
        <w:rPr>
          <w:rFonts w:ascii="Calibri" w:hAnsi="Calibri" w:cs="Arial"/>
          <w:lang w:val="en-GB"/>
        </w:rPr>
        <w:t xml:space="preserve">The immune microenvironment of DCIS </w:t>
      </w:r>
      <w:r>
        <w:rPr>
          <w:rFonts w:ascii="Calibri" w:hAnsi="Calibri" w:cs="Arial"/>
          <w:lang w:val="en-GB"/>
        </w:rPr>
        <w:t>are</w:t>
      </w:r>
      <w:r w:rsidRPr="002829D8">
        <w:rPr>
          <w:rFonts w:ascii="Calibri" w:hAnsi="Calibri" w:cs="Arial"/>
          <w:lang w:val="en-GB"/>
        </w:rPr>
        <w:t xml:space="preserve"> profiled by multiplex immunohistochemistry and immunofluorescence assays. Furthermore, T-cell receptor </w:t>
      </w:r>
      <w:proofErr w:type="spellStart"/>
      <w:r w:rsidRPr="002829D8">
        <w:rPr>
          <w:rFonts w:ascii="Calibri" w:hAnsi="Calibri" w:cs="Arial"/>
          <w:lang w:val="en-GB"/>
        </w:rPr>
        <w:t>clonality</w:t>
      </w:r>
      <w:proofErr w:type="spellEnd"/>
      <w:r w:rsidRPr="002829D8">
        <w:rPr>
          <w:rFonts w:ascii="Calibri" w:hAnsi="Calibri" w:cs="Arial"/>
          <w:lang w:val="en-GB"/>
        </w:rPr>
        <w:t xml:space="preserve"> and neo-antigen prediction will be investigated.</w:t>
      </w:r>
    </w:p>
    <w:p w:rsidR="0003547C" w:rsidRPr="002829D8" w:rsidRDefault="0003547C" w:rsidP="0003547C">
      <w:pPr>
        <w:spacing w:line="480" w:lineRule="auto"/>
        <w:rPr>
          <w:rFonts w:ascii="Calibri" w:hAnsi="Calibri" w:cs="Arial"/>
          <w:lang w:val="en-GB"/>
        </w:rPr>
      </w:pPr>
      <w:r w:rsidRPr="00E44140">
        <w:rPr>
          <w:rFonts w:ascii="Calibri" w:hAnsi="Calibri"/>
          <w:b/>
          <w:lang w:val="en-GB"/>
        </w:rPr>
        <w:t>Investigating the role of imaging in DCIS prognosis and outcome (WP4)</w:t>
      </w:r>
      <w:r w:rsidRPr="002829D8">
        <w:rPr>
          <w:rFonts w:ascii="Calibri" w:hAnsi="Calibri" w:cs="Arial"/>
          <w:lang w:val="en-GB"/>
        </w:rPr>
        <w:t xml:space="preserve">: The overarching goal </w:t>
      </w:r>
      <w:r>
        <w:rPr>
          <w:rFonts w:ascii="Calibri" w:hAnsi="Calibri" w:cs="Arial"/>
          <w:lang w:val="en-GB"/>
        </w:rPr>
        <w:t>is</w:t>
      </w:r>
      <w:r w:rsidRPr="002829D8">
        <w:rPr>
          <w:rFonts w:ascii="Calibri" w:hAnsi="Calibri" w:cs="Arial"/>
          <w:lang w:val="en-GB"/>
        </w:rPr>
        <w:t xml:space="preserve"> to identify a series of systematic differences in the radiographic and physicochemical charact</w:t>
      </w:r>
      <w:r>
        <w:rPr>
          <w:rFonts w:ascii="Calibri" w:hAnsi="Calibri" w:cs="Arial"/>
          <w:lang w:val="en-GB"/>
        </w:rPr>
        <w:t>eristics of lethal versus non-lethal cancers captured on images to</w:t>
      </w:r>
      <w:r w:rsidRPr="002829D8">
        <w:rPr>
          <w:rFonts w:ascii="Calibri" w:hAnsi="Calibri" w:cs="Arial"/>
          <w:lang w:val="en-GB"/>
        </w:rPr>
        <w:t xml:space="preserve"> DCIS biology. </w:t>
      </w:r>
      <w:r w:rsidRPr="002829D8">
        <w:rPr>
          <w:rFonts w:ascii="Calibri" w:hAnsi="Calibri" w:cs="Arial"/>
          <w:bCs/>
          <w:lang w:val="en-GB"/>
        </w:rPr>
        <w:t>The first objective is to d</w:t>
      </w:r>
      <w:r w:rsidRPr="002829D8">
        <w:rPr>
          <w:rFonts w:ascii="Calibri" w:hAnsi="Calibri" w:cs="Arial"/>
          <w:lang w:val="en-GB"/>
        </w:rPr>
        <w:t>evelop novel molecular mapping approaches to quantitatively characteri</w:t>
      </w:r>
      <w:r>
        <w:rPr>
          <w:rFonts w:ascii="Calibri" w:hAnsi="Calibri" w:cs="Arial"/>
          <w:lang w:val="en-GB"/>
        </w:rPr>
        <w:t>s</w:t>
      </w:r>
      <w:r w:rsidRPr="002829D8">
        <w:rPr>
          <w:rFonts w:ascii="Calibri" w:hAnsi="Calibri" w:cs="Arial"/>
          <w:lang w:val="en-GB"/>
        </w:rPr>
        <w:t xml:space="preserve">e DCIS tissue using mid-infrared absorption and Raman spectroscopic imaging of soft tissue and calcifications. The second objective is to </w:t>
      </w:r>
      <w:r w:rsidRPr="002829D8">
        <w:rPr>
          <w:rFonts w:ascii="Calibri" w:hAnsi="Calibri" w:cs="Arial"/>
          <w:bCs/>
          <w:lang w:val="en-GB"/>
        </w:rPr>
        <w:t xml:space="preserve">create and test a computational learning algorithm to compare mammographic characteristics and diversity measures in pure DCIS compared to DCIS with </w:t>
      </w:r>
      <w:r w:rsidRPr="00576C29">
        <w:rPr>
          <w:rFonts w:ascii="Calibri" w:hAnsi="Calibri" w:cs="Arial"/>
          <w:bCs/>
          <w:lang w:val="en-GB"/>
        </w:rPr>
        <w:t>IDC</w:t>
      </w:r>
      <w:r w:rsidRPr="002829D8">
        <w:rPr>
          <w:rFonts w:ascii="Calibri" w:hAnsi="Calibri" w:cs="Arial"/>
          <w:bCs/>
          <w:lang w:val="en-GB"/>
        </w:rPr>
        <w:t xml:space="preserve">. </w:t>
      </w:r>
      <w:r w:rsidRPr="002829D8">
        <w:rPr>
          <w:rFonts w:ascii="Calibri" w:hAnsi="Calibri" w:cs="Arial"/>
          <w:lang w:val="en-GB"/>
        </w:rPr>
        <w:t>The third objective is to validate the algorithm in PRECISION’s retrospective cohorts (WP1) and in data obtained from the prospective clinical trials (see below; WP7).</w:t>
      </w:r>
    </w:p>
    <w:p w:rsidR="0003547C" w:rsidRPr="00E44140" w:rsidRDefault="0003547C" w:rsidP="0003547C">
      <w:pPr>
        <w:spacing w:line="480" w:lineRule="auto"/>
        <w:rPr>
          <w:rFonts w:ascii="Calibri" w:hAnsi="Calibri"/>
          <w:b/>
          <w:lang w:val="en-GB"/>
        </w:rPr>
      </w:pPr>
      <w:r w:rsidRPr="00E44140">
        <w:rPr>
          <w:b/>
          <w:lang w:val="en-GB"/>
        </w:rPr>
        <w:t>Functional validation of DCIS drivers (WP5):</w:t>
      </w:r>
      <w:r w:rsidRPr="00E44140">
        <w:rPr>
          <w:rFonts w:ascii="Calibri" w:hAnsi="Calibri"/>
          <w:b/>
          <w:lang w:val="en-GB"/>
        </w:rPr>
        <w:t xml:space="preserve"> </w:t>
      </w:r>
      <w:r w:rsidRPr="0017450E">
        <w:rPr>
          <w:rFonts w:ascii="Calibri" w:hAnsi="Calibri" w:cs="Arial"/>
          <w:lang w:val="en-GB"/>
        </w:rPr>
        <w:t>The a</w:t>
      </w:r>
      <w:r>
        <w:rPr>
          <w:rFonts w:ascii="Calibri" w:hAnsi="Calibri" w:cs="Arial"/>
          <w:lang w:val="en-GB"/>
        </w:rPr>
        <w:t>im of this WP</w:t>
      </w:r>
      <w:r w:rsidRPr="002829D8">
        <w:rPr>
          <w:rFonts w:ascii="Calibri" w:hAnsi="Calibri" w:cs="Arial"/>
          <w:lang w:val="en-GB"/>
        </w:rPr>
        <w:t xml:space="preserve"> entails the functional validation of candidate DCIS genes from the comprehensive genomic characteri</w:t>
      </w:r>
      <w:r>
        <w:rPr>
          <w:rFonts w:ascii="Calibri" w:hAnsi="Calibri" w:cs="Arial"/>
          <w:lang w:val="en-GB"/>
        </w:rPr>
        <w:t>s</w:t>
      </w:r>
      <w:r w:rsidRPr="002829D8">
        <w:rPr>
          <w:rFonts w:ascii="Calibri" w:hAnsi="Calibri" w:cs="Arial"/>
          <w:lang w:val="en-GB"/>
        </w:rPr>
        <w:t>ation of DCIS samples. To critically assess the functional relevance</w:t>
      </w:r>
      <w:r>
        <w:rPr>
          <w:rFonts w:ascii="Calibri" w:hAnsi="Calibri" w:cs="Arial"/>
          <w:lang w:val="en-GB"/>
        </w:rPr>
        <w:t>,</w:t>
      </w:r>
      <w:r w:rsidRPr="002829D8">
        <w:rPr>
          <w:rFonts w:ascii="Calibri" w:hAnsi="Calibri" w:cs="Arial"/>
          <w:lang w:val="en-GB"/>
        </w:rPr>
        <w:t xml:space="preserve"> reliable animal models are essential. Recent advances in CRISPR/Cas9-based somatic gene editing, three-dimensional (3D) </w:t>
      </w:r>
      <w:proofErr w:type="spellStart"/>
      <w:r w:rsidRPr="002829D8">
        <w:rPr>
          <w:rFonts w:ascii="Calibri" w:hAnsi="Calibri" w:cs="Arial"/>
          <w:lang w:val="en-GB"/>
        </w:rPr>
        <w:t>organoid</w:t>
      </w:r>
      <w:proofErr w:type="spellEnd"/>
      <w:r w:rsidRPr="002829D8">
        <w:rPr>
          <w:rFonts w:ascii="Calibri" w:hAnsi="Calibri" w:cs="Arial"/>
          <w:lang w:val="en-GB"/>
        </w:rPr>
        <w:t xml:space="preserve"> culturing and patient-derived tumour </w:t>
      </w:r>
      <w:proofErr w:type="spellStart"/>
      <w:r w:rsidRPr="002829D8">
        <w:rPr>
          <w:rFonts w:ascii="Calibri" w:hAnsi="Calibri" w:cs="Arial"/>
          <w:lang w:val="en-GB"/>
        </w:rPr>
        <w:t>xenografting</w:t>
      </w:r>
      <w:proofErr w:type="spellEnd"/>
      <w:r w:rsidRPr="002829D8">
        <w:rPr>
          <w:rFonts w:ascii="Calibri" w:hAnsi="Calibri" w:cs="Arial"/>
          <w:lang w:val="en-GB"/>
        </w:rPr>
        <w:t xml:space="preserve"> have resulted in a number of novel approaches that can be applied to </w:t>
      </w:r>
      <w:r w:rsidRPr="002829D8">
        <w:rPr>
          <w:rFonts w:ascii="Calibri" w:hAnsi="Calibri" w:cs="Arial"/>
          <w:i/>
          <w:lang w:val="en-GB"/>
        </w:rPr>
        <w:t>in vitro</w:t>
      </w:r>
      <w:r w:rsidRPr="002829D8">
        <w:rPr>
          <w:rFonts w:ascii="Calibri" w:hAnsi="Calibri" w:cs="Arial"/>
          <w:lang w:val="en-GB"/>
        </w:rPr>
        <w:t>/</w:t>
      </w:r>
      <w:r w:rsidRPr="002829D8">
        <w:rPr>
          <w:rFonts w:ascii="Calibri" w:hAnsi="Calibri" w:cs="Arial"/>
          <w:i/>
          <w:lang w:val="en-GB"/>
        </w:rPr>
        <w:t>in vivo</w:t>
      </w:r>
      <w:r w:rsidRPr="002829D8">
        <w:rPr>
          <w:rFonts w:ascii="Calibri" w:hAnsi="Calibri" w:cs="Arial"/>
          <w:lang w:val="en-GB"/>
        </w:rPr>
        <w:t xml:space="preserve"> validation of candidate DCIS genes and to </w:t>
      </w:r>
      <w:r w:rsidRPr="002829D8">
        <w:rPr>
          <w:rFonts w:ascii="Calibri" w:hAnsi="Calibri" w:cs="Arial"/>
          <w:i/>
          <w:lang w:val="en-GB"/>
        </w:rPr>
        <w:t>in vitro</w:t>
      </w:r>
      <w:r w:rsidRPr="002829D8">
        <w:rPr>
          <w:rFonts w:ascii="Calibri" w:hAnsi="Calibri" w:cs="Arial"/>
          <w:lang w:val="en-GB"/>
        </w:rPr>
        <w:t>/</w:t>
      </w:r>
      <w:r w:rsidRPr="002829D8">
        <w:rPr>
          <w:rFonts w:ascii="Calibri" w:hAnsi="Calibri" w:cs="Arial"/>
          <w:i/>
          <w:lang w:val="en-GB"/>
        </w:rPr>
        <w:t>in vivo</w:t>
      </w:r>
      <w:r w:rsidRPr="002829D8">
        <w:rPr>
          <w:rFonts w:ascii="Calibri" w:hAnsi="Calibri" w:cs="Arial"/>
          <w:lang w:val="en-GB"/>
        </w:rPr>
        <w:t xml:space="preserve"> propagation of viable DCIS samples from patients.</w:t>
      </w:r>
      <w:r w:rsidRPr="002829D8">
        <w:rPr>
          <w:rFonts w:ascii="Calibri" w:hAnsi="Calibri" w:cs="Arial"/>
          <w:lang w:val="en-GB"/>
        </w:rPr>
        <w:fldChar w:fldCharType="begin" w:fldLock="1"/>
      </w:r>
      <w:r>
        <w:rPr>
          <w:rFonts w:ascii="Calibri" w:hAnsi="Calibri" w:cs="Arial"/>
          <w:lang w:val="en-GB"/>
        </w:rPr>
        <w:instrText>ADDIN CSL_CITATION {"citationItems":[{"id":"ITEM-1","itemData":{"DOI":"10.1101/gad.279190.116","ISSN":"0890-9369","PMID":"27340177","abstract":"Large-scale sequencing studies are rapidly identifying putative oncogenic mutations in human tumors. However, discrimination between passenger and driver events in tumorigenesis remains challenging and requires in vivo validation studies in reliable animal models of human cancer. In this study, we describe a novel strategy for in vivo validation of candidate tumor suppressors implicated in invasive lobular breast carcinoma (ILC), which is hallmarked by loss of the cell-cell adhesion molecule E-cadherin. We describe an approach to model ILC by intraductal injection of lentiviral vectors encoding Cre recombinase, the CRISPR/Cas9 system, or both in female mice carrying conditional alleles of the Cdh1 gene, encoding for E-cadherin. Using this approach, we were able to target ILC-initiating cells and induce specific gene disruption of Pten by CRISPR/Cas9-mediated somatic gene editing. Whereas intraductal injection of Cas9-encoding lentiviruses induced Cas9-specific immune responses and development of tumors that did not resemble ILC, lentiviral delivery of a Pten targeting single-guide RNA (sgRNA) in mice with mammary gland-specific loss of E-cadherin and expression of Cas9 efficiently induced ILC development. This versatile platform can be used for rapid in vivo testing of putative tumor suppressor genes implicated in ILC, providing new opportunities for modeling invasive lobular breast carcinoma in mice.","author":[{"dropping-particle":"","family":"Annunziato","given":"Stefano","non-dropping-particle":"","parse-names":false,"suffix":""},{"dropping-particle":"","family":"Kas","given":"Sjors M","non-dropping-particle":"","parse-names":false,"suffix":""},{"dropping-particle":"","family":"Nethe","given":"Micha","non-dropping-particle":"","parse-names":false,"suffix":""},{"dropping-particle":"","family":"Yucel","given":"H","non-dropping-particle":"","parse-names":false,"suffix":""},{"dropping-particle":"","family":"Bravo","given":"J","non-dropping-particle":"Del","parse-names":false,"suffix":""},{"dropping-particle":"","family":"Pritchard","given":"Colin","non-dropping-particle":"","parse-names":false,"suffix":""},{"dropping-particle":"","family":"Ali","given":"R","non-dropping-particle":"Bin","parse-names":false,"suffix":""},{"dropping-particle":"","family":"Gerwen","given":"B","non-dropping-particle":"van","parse-names":false,"suffix":""},{"dropping-particle":"","family":"Siteur","given":"Bjørn","non-dropping-particle":"","parse-names":false,"suffix":""},{"dropping-particle":"","family":"Drenth","given":"Anne Paulien","non-dropping-particle":"","parse-names":false,"suffix":""},{"dropping-particle":"","family":"Schut","given":"Eva","non-dropping-particle":"","parse-names":false,"suffix":""},{"dropping-particle":"","family":"Ven","given":"M","non-dropping-particle":"van de","parse-names":false,"suffix":""},{"dropping-particle":"","family":"Boelens","given":"Mirjam C","non-dropping-particle":"","parse-names":false,"suffix":""},{"dropping-particle":"","family":"Klarenbeek","given":"Sjoerd","non-dropping-particle":"","parse-names":false,"suffix":""},{"dropping-particle":"","family":"Huijbers","given":"Ivo J","non-dropping-particle":"","parse-names":false,"suffix":""},{"dropping-particle":"","family":"Miltenburg","given":"M H","non-dropping-particle":"van","parse-names":false,"suffix":""},{"dropping-particle":"","family":"Jonkers","given":"Jos","non-dropping-particle":"","parse-names":false,"suffix":""},{"dropping-particle":"","family":"Yücel","given":"Hatice","non-dropping-particle":"","parse-names":false,"suffix":""},{"dropping-particle":"Del","family":"Bravo","given":"Jessica","non-dropping-particle":"","parse-names":false,"suffix":""},{"dropping-particle":"","family":"Pritchard","given":"Colin","non-dropping-particle":"","parse-names":false,"suffix":""},{"dropping-particle":"Bin","family":"Ali","given":"Rahmen","non-dropping-particle":"","parse-names":false,"suffix":""},{"dropping-particle":"Van","family":"Gerwen","given":"Bas","non-dropping-particle":"","parse-names":false,"suffix":""},{"dropping-particle":"","family":"Siteur","given":"Bjørn","non-dropping-particle":"","parse-names":false,"suffix":""},{"dropping-particle":"","family":"Drenth","given":"Anne Paulien","non-dropping-particle":"","parse-names":false,"suffix":""},{"dropping-particle":"","family":"Schut","given":"Eva","non-dropping-particle":"","parse-names":false,"suffix":""},{"dropping-particle":"Van De","family":"Ven","given":"Marieke","non-dropping-particle":"","parse-names":false,"suffix":""},{"dropping-particle":"","family":"Boelens","given":"Mirjam C","non-dropping-particle":"","parse-names":false,"suffix":""},{"dropping-particle":"","family":"Klarenbeek","given":"Sjoerd","non-dropping-particle":"","parse-names":false,"suffix":""},{"dropping-particle":"","family":"Huijbers","given":"Ivo J","non-dropping-particle":"","parse-names":false,"suffix":""},{"dropping-particle":"Van","family":"Miltenburg","given":"Martine H","non-dropping-particle":"","parse-names":false,"suffix":""},{"dropping-particle":"","family":"Jonkers","given":"Jos","non-dropping-particle":"","parse-names":false,"suffix":""}],"container-title":"Genes Dev","edition":"2016/06/25","id":"ITEM-1","issue":"12","issued":{"date-parts":[["2016"]]},"language":"eng","note":"From Duplicate 2 (Modeling invasive lobular breast carcinoma by CRISPR/Cas9-mediated somatic genome editing of the mammary gland - Annunziato, S; Kas, S M; Nethe, M; Yucel, H; Del Bravo, J; Pritchard, C; Bin Ali, R; van Gerwen, B; Siteur, B; Drenth, A P; Schut, E; van de Ven, M; Boelens, M C; Klarenbeek, S; Huijbers, I J; van Miltenburg, M H; Jonkers, J)\n\n1549-5477\nAnnunziato, Stefano\nKas, Sjors M\nNethe, Micha\nYucel, Hatice\nDel Bravo, Jessica\nPritchard, Colin\nBin Ali, Rahmen\nvan Gerwen, Bas\nSiteur, Bjorn\nDrenth, Anne Paulien\nSchut, Eva\nvan de Ven, Marieke\nBoelens, Mirjam C\nKlarenbeek, Sjoerd\nHuijbers, Ivo J\nvan Miltenburg, Martine H\nJonkers, Jos\n14-0288/Worldwide Cancer Research/United Kingdom\nJournal Article\nResearch Support, Non-U.S. Gov't\nUnited States\nGenes Dev. 2016 Jun 15;30(12):1470-80. doi: 10.1101/gad.279190.116.","page":"1470-1480","publisher-place":"Division of Molecular Pathology, The Netherlands Cancer Institute, 1066 CX Amsterdam, The Netherlands; Transgenic Core Facility, Mouse Clinic for Cancer and Aging (MCCA), The Netherlands Cancer Institute, 1066 CX Amsterdam, The Netherlands; Preclinical In","title":"Modeling invasive lobular breast carcinoma by CRISPR/Cas9-mediated somatic genome editing of the mammary gland","type":"article-journal","volume":"30"},"uris":["http://www.mendeley.com/documents/?uuid=3ded795b-971e-4131-87b4-6778880c4ebb"]},{"id":"ITEM-2","itemData":{"DOI":"10.1016/j.celrep.2016.07.059","ISSN":"2211-1247 (Electronic)","abstract":"Invasive lobular carcinoma (ILC) is an aggressive breast cancer subtype with poor response to chemotherapy. Besides loss of E-cadherin, a hallmark of ILC, genetic inactivation of PTEN is frequently observed in patients. Through concomitant Cre-mediated inactivation of E-cadherin and PTEN in mammary epithelium, we generated a mouse model of classical ILC (CLC), the main histological ILC subtype. While loss of E-cadherin induced cell dissemination and apoptosis, additional PTEN inactivation promoted cell survival and rapid formation of invasive mammary tumors that recapitulate the histological and molecular features, estrogen receptor (ER) status, growth kinetics, metastatic behavior, and tumor microenvironment of human CLC. Combined inactivation of E-cadherin and PTEN is sufficient to cause CLC development. These CLCs showed significant tumor regression upon BEZ235-mediated inhibition of PI3K signaling. In summary, this mouse model provides important insights into CLC development and suggests inhibition of phosphatidylinositol 3-kinase (PI3K) signaling as a potential therapeutic strategy for targeting CLC.","author":[{"dropping-particle":"","family":"Boelens","given":"M C","non-dropping-particle":"","parse-names":false,"suffix":""},{"dropping-particle":"","family":"Nethe","given":"M","non-dropping-particle":"","parse-names":false,"suffix":""},{"dropping-particle":"","family":"Klarenbeek","given":"S","non-dropping-particle":"","parse-names":false,"suffix":""},{"dropping-particle":"","family":"Ruiter","given":"J R","non-dropping-particle":"de","parse-names":false,"suffix":""},{"dropping-particle":"","family":"Schut","given":"E","non-dropping-particle":"","parse-names":false,"suffix":""},{"dropping-particle":"","family":"Bonzanni","given":"N","non-dropping-particle":"","parse-names":false,"suffix":""},{"dropping-particle":"","family":"Zeeman","given":"A L","non-dropping-particle":"","parse-names":false,"suffix":""},{"dropping-particle":"","family":"Wientjens","given":"E","non-dropping-particle":"","parse-names":false,"suffix":""},{"dropping-particle":"","family":"Burg","given":"E","non-dropping-particle":"van der","parse-names":false,"suffix":""},{"dropping-particle":"","family":"Wessels","given":"L","non-dropping-particle":"","parse-names":false,"suffix":""},{"dropping-particle":"","family":"Amerongen","given":"R","non-dropping-particle":"van","parse-names":false,"suffix":""},{"dropping-particle":"","family":"Jonkers","given":"J","non-dropping-particle":"","parse-names":false,"suffix":""}],"container-title":"Cell Rep","edition":"2016/08/16","id":"ITEM-2","issue":"8","issued":{"date-parts":[["2016"]]},"language":"eng","note":"From Duplicate 1 (PTEN Loss in E-Cadherin-Deficient Mouse Mammary Epithelial Cells Rescues Apoptosis and Results in Development of Classical Invasive Lobular Carcinoma - Boelens, M C; Nethe, M; Klarenbeek, S; de Ruiter, J R; Schut, E; Bonzanni, N; Zeeman, A L; Wientjens, E; van der Burg, E; Wessels, L; van Amerongen, R; Jonkers, J)\n\n2211-1247\nBoelens, Mirjam C\nNethe, Micha\nKlarenbeek, Sjoerd\nde Ruiter, Julian R\nSchut, Eva\nBonzanni, Nicola\nZeeman, Amber L\nWientjens, Ellen\nvan der Burg, Eline\nWessels, Lodewyk\nvan Amerongen, Renee\nJonkers, Jos\nJournal Article\nUnited States\nCell Rep. 2016 Aug 23;16(8):2087-2101. doi: 10.1016/j.celrep.2016.07.059. Epub 2016 Aug 11.\n\nFrom Duplicate 2 (PTEN Loss in E-Cadherin-Deficient Mouse Mammary Epithelial Cells Rescues Apoptosis and Results in Development of Classical Invasive Lobular Carcinoma - Boelens, M C; Nethe, M; Klarenbeek, S; de Ruiter, J R; Schut, E; Bonzanni, N; Zeeman, A L; Wientjens, E; van der Burg, E; Wessels, L; van Amerongen, R; Jonkers, J)\n\nBoelens, Mirjam C\nNethe, Micha\nKlarenbeek, Sjoerd\nde Ruiter, Julian R\nSchut, Eva\nBonzanni, Nicola\nZeeman, Amber L\nWientjens, Ellen\nvan der Burg, Eline\nWessels, Lodewyk\nvan Amerongen, Renee\nJonkers, Jos\neng\n2016/08/16 06:00\nCell Rep. 2016 Aug 23;16(8):2087-2101. doi: 10.1016/j.celrep.2016.07.059. Epub 2016 Aug 11.","page":"2087-2101","publisher-place":"Division of Molecular Pathology, the Netherlands Cancer Institute, Plesmanlaan 121, 1066 CX Amsterdam, the Netherlands. Division of Molecular Carcinogenesis, the Netherlands Cancer Institute, Plesmanlaan 121, 1066 CX Amsterdam, the Netherlands. Section of","title":"PTEN Loss in E-Cadherin-Deficient Mouse Mammary Epithelial Cells Rescues Apoptosis and Results in Development of Classical Invasive Lobular Carcinoma","type":"article-journal","volume":"16"},"uris":["http://www.mendeley.com/documents/?uuid=81c5402c-eaaa-42aa-892f-de9019265224"]},{"id":"ITEM-3","itemData":{"DOI":"10.1038/nmeth.4535","ISSN":"1548-7091","abstract":"Poly(ADP-ribose) polymerase inhibition (PARPi) is a promising new therapeutic approach for the treatment of cancers that show homologous recombination deficiency (HRD). Despite the success of PARPi in targeting HRD in tumors that lack the tumor suppressor function of BRCA1 or BRCA2, drug resistance poses a major obstacle. We developed three-dimensional cancer organoids derived from genetically engineered mouse models (GEMMs) for BRCA1- and BRCA2-deficient cancers. Unlike conventional cell lines or mammospheres, organoid cultures can be efficiently derived and rapidly expanded in vitro. Orthotopically transplanted organoids give rise to mammary tumors that recapitulate the epithelial morphology and preserve the drug response of the original tumor. Notably, GEMM-tumor-derived organoids can be easily genetically modified, making them a powerful tool for genetic studies of tumor biology and drug resistance.","author":[{"dropping-particle":"","family":"Duarte","given":"A A","non-dropping-particle":"","parse-names":false,"suffix":""},{"dropping-particle":"","family":"Gogola","given":"E","non-dropping-particle":"","parse-names":false,"suffix":""},{"dropping-particle":"","family":"Sachs","given":"N","non-dropping-particle":"","parse-names":false,"suffix":""},{"dropping-particle":"","family":"Barazas","given":"M","non-dropping-particle":"","parse-names":false,"suffix":""},{"dropping-particle":"","family":"Annunziato","given":"S","non-dropping-particle":"","parse-names":false,"suffix":""},{"dropping-particle":"","family":"J","given":"R de Ruiter","non-dropping-particle":"","parse-names":false,"suffix":""},{"dropping-particle":"","family":"Velds","given":"A","non-dropping-particle":"","parse-names":false,"suffix":""},{"dropping-particle":"","family":"Blatter","given":"S","non-dropping-particle":"","parse-names":false,"suffix":""},{"dropping-particle":"","family":"Houthuijzen","given":"J M","non-dropping-particle":"","parse-names":false,"suffix":""},{"dropping-particle":"","family":"Ven","given":"M","non-dropping-particle":"van de","parse-names":false,"suffix":""},{"dropping-particle":"","family":"Clevers","given":"H","non-dropping-particle":"","parse-names":false,"suffix":""},{"dropping-particle":"","family":"Borst","given":"P","non-dropping-particle":"","parse-names":false,"suffix":""},{"dropping-particle":"","family":"Jonkers","given":"J","non-dropping-particle":"","parse-names":false,"suffix":""},{"dropping-particle":"","family":"Rottenberg","given":"S","non-dropping-particle":"","parse-names":false,"suffix":""}],"container-title":"Nat Methods","edition":"2017/12/20","id":"ITEM-3","issue":"2","issued":{"date-parts":[["2018"]]},"language":"eng","note":"1548-7105\nDuarte, Alexandra A\nGogola, Ewa\nSachs, Norman\nORCID: http://orcid.org/0000-0002-5467-7151\nBarazas, Marco\nAnnunziato, Stefano\nR de Ruiter, Julian\nVelds, Arno\nBlatter, Sohvi\nHouthuijzen, Julia M\nvan de Ven, Marieke\nClevers, Hans\nBorst, Piet\nJonkers, Jos\nRottenberg, Sven\nORCID: http://orcid.org/0000-0003-2044-9844\nJournal Article\nUnited States\nNat Methods. 2018 Feb;15(2):134-140. doi: 10.1038/nmeth.4535. Epub 2017 Dec 11.","page":"134-140","publisher-place":"Division of Molecular Pathology and Cancer Genomics Netherlands, The Netherlands Cancer Institute, Amsterdam, The Netherlands. Hubrecht Institute for Developmental Biology and Stem Cell Research, University Medical Centre Utrecht, Utrecht, The Netherlands","title":"BRCA-deficient mouse mammary tumor organoids to study cancer-drug resistance","type":"article-journal","volume":"15"},"uris":["http://www.mendeley.com/documents/?uuid=cd09cc1f-d2d8-41cb-a015-ac93e54d241b"]},{"id":"ITEM-4","itemData":{"ISSN":"2331-8325 (Print) 2331-8325","abstract":"The MIND method involves intraductal injection of patient derived ductal carcinoma in situ (DCIS) cells and DCIS cell lines (MCF10DCIS.COM and SUM225) inside the mouse mammary ducts [Video 1 and Figure 1 in Behbod et al. (2009)]. This method mimics the normal environment of DCIS and facilitates study of the natural progression of human DCIS, i.e., their initial growth as carcinoma in situ within the ducts, followed by invasion into the stroma through the myoepithelial cell layer and basement membrane (Behbod et al., 2009; Valdez et al., 2011). In order to demonstrate that transplantation procedure is successful, the transplanted mammary glands may be excised as early as two weeks following intraductal injection of cells followed by Hematoxylin and Eosin (H&amp;E) staining and/or immunofluorescence staining using human specific cytokeratin 5 and/or 19 [please see Figures 2-4 in Behbod et al. (2009)]. Additionally, the presence of trypan blue inside the mouse mammary ducts immediately following intraductal injection is the best indicator that the injection was successful (Video 1 starting at 4:33 sec).","author":[{"dropping-particle":"","family":"Kittrell","given":"F","non-dropping-particle":"","parse-names":false,"suffix":""},{"dropping-particle":"","family":"Valdez","given":"K","non-dropping-particle":"","parse-names":false,"suffix":""},{"dropping-particle":"","family":"Elsarraj","given":"H","non-dropping-particle":"","parse-names":false,"suffix":""},{"dropping-particle":"","family":"Hong","given":"Y","non-dropping-particle":"","parse-names":false,"suffix":""},{"dropping-particle":"","family":"Medina","given":"D","non-dropping-particle":"","parse-names":false,"suffix":""},{"dropping-particle":"","family":"Behbod","given":"F","non-dropping-particle":"","parse-names":false,"suffix":""}],"container-title":"Bio Protoc","edition":"2016/07/23","id":"ITEM-4","issue":"5","issued":{"date-parts":[["2016"]]},"language":"eng","note":"Kittrell, Frances\nValdez, Kelli\nElsarraj, Hanan\nHong, Yan\nMedina, Daniel\nBehbod, Fariba\nK22 CA160587/CA/NCI NIH HHS/United States\nK99 CA127462/CA/NCI NIH HHS/United States\nR00 CA127462/CA/NCI NIH HHS/United States\nR01 CA172764/CA/NCI NIH HHS/United States\nJournal Article\nUnited States\nBio Protoc. 2016 Mar 5;6(5).","publisher-place":"Department of Cell Biology, Baylor College of Medicine, University of Kansas Medical School, Kansas City, USA. Department of Pathology and Laboratory Medicine, University of Kansas Medical School, Kansas City, USA.","title":"Mouse Mammary Intraductal (MIND) Method for Transplantation of Patient Derived Primary DCIS Cells and Cell Lines","type":"article-journal","volume":"6"},"uris":["http://www.mendeley.com/documents/?uuid=225db6c3-d6f0-473f-a72b-16e29dea98a2"]},{"id":"ITEM-5","itemData":{"DOI":"10.1016/j.cell.2017.11.010","ISSN":"0092-8674","abstract":"Breast cancer (BC) comprises multiple distinct subtypes that differ genetically, pathologically, and clinically. Here, we describe a robust protocol for long-term culturing of human mammary epithelial organoids. Using this protocol, &gt;100 primary and metastatic BC organoid lines were generated, broadly recapitulating the diversity of the disease. BC organoid morphologies typically matched the histopathology, hormone receptor status, and HER2 status of the original tumor. DNA copy number variations as well as sequence changes were consistent within tumor-organoid pairs and largely retained even after extended passaging. BC organoids furthermore populated all major gene-expression-based classification groups and allowed in vitro drug screens that were consistent with in vivo xeno-transplantations and patient response. This study describes a representative collection of well-characterized BC organoids available for cancer research and drug development, as well as a strategy to assess in vitro drug response in a personalized fashion.","author":[{"dropping-particle":"","family":"Sachs","given":"N","non-dropping-particle":"","parse-names":false,"suffix":""},{"dropping-particle":"","family":"Ligt","given":"J","non-dropping-particle":"de","parse-names":false,"suffix":""},{"dropping-particle":"","family":"Kopper","given":"O","non-dropping-particle":"","parse-names":false,"suffix":""},{"dropping-particle":"","family":"Gogola","given":"E","non-dropping-particle":"","parse-names":false,"suffix":""},{"dropping-particle":"","family":"Bounova","given":"G","non-dropping-particle":"","parse-names":false,"suffix":""},{"dropping-particle":"","family":"Weeber","given":"F","non-dropping-particle":"","parse-names":false,"suffix":""},{"dropping-particle":"V","family":"Balgobind","given":"A","non-dropping-particle":"","parse-names":false,"suffix":""},{"dropping-particle":"","family":"Wind","given":"K","non-dropping-particle":"","parse-names":false,"suffix":""},{"dropping-particle":"","family":"Gracanin","given":"A","non-dropping-particle":"","parse-names":false,"suffix":""},{"dropping-particle":"","family":"Begthel","given":"H","non-dropping-particle":"","parse-names":false,"suffix":""},{"dropping-particle":"","family":"Korving","given":"J","non-dropping-particle":"","parse-names":false,"suffix":""},{"dropping-particle":"","family":"Boxtel","given":"R","non-dropping-particle":"van","parse-names":false,"suffix":""},{"dropping-particle":"","family":"Duarte","given":"A A","non-dropping-particle":"","parse-names":false,"suffix":""},{"dropping-particle":"","family":"Lelieveld","given":"D","non-dropping-particle":"","parse-names":false,"suffix":""},{"dropping-particle":"","family":"Hoeck","given":"A","non-dropping-particle":"van","parse-names":false,"suffix":""},{"dropping-particle":"","family":"Ernst","given":"R F","non-dropping-particle":"","parse-names":false,"suffix":""},{"dropping-particle":"","family":"Blokzijl","given":"F","non-dropping-particle":"","parse-names":false,"suffix":""},{"dropping-particle":"","family":"Nijman","given":"I J","non-dropping-particle":"","parse-names":false,"suffix":""},{"dropping-particle":"","family":"Hoogstraat","given":"M","non-dropping-particle":"","parse-names":false,"suffix":""},{"dropping-particle":"","family":"Ven","given":"M","non-dropping-particle":"van de","parse-names":false,"suffix":""},{"dropping-particle":"","family":"Egan","given":"D A","non-dropping-particle":"","parse-names":false,"suffix":""},{"dropping-particle":"","family":"Zinzalla","given":"V","non-dropping-particle":"","parse-names":false,"suffix":""},{"dropping-particle":"","family":"Moll","given":"J","non-dropping-particle":"","parse-names":false,"suffix":""},{"dropping-particle":"","family":"Boj","given":"S F","non-dropping-particle":"","parse-names":false,"suffix":""},{"dropping-particle":"","family":"Voest","given":"E E","non-dropping-particle":"","parse-names":false,"suffix":""},{"dropping-particle":"","family":"Wessels","given":"L","non-dropping-particle":"","parse-names":false,"suffix":""},{"dropping-particle":"","family":"Diest","given":"P J","non-dropping-particle":"van","parse-names":false,"suffix":""},{"dropping-particle":"","family":"Rottenberg","given":"S","non-dropping-particle":"","parse-names":false,"suffix":""},{"dropping-particle":"","family":"Vries","given":"R G J","non-dropping-particle":"","parse-names":false,"suffix":""},{"dropping-particle":"","family":"Cuppen","given":"E","non-dropping-particle":"","parse-names":false,"suffix":""},{"dropping-particle":"","family":"Clevers","given":"H","non-dropping-particle":"","parse-names":false,"suffix":""}],"container-title":"Cell","edition":"2017/12/12","id":"ITEM-5","issue":"1-2","issued":{"date-parts":[["2018"]]},"language":"eng","note":"1097-4172\nSachs, Norman\nde Ligt, Joep\nKopper, Oded\nGogola, Ewa\nBounova, Gergana\nWeeber, Fleur\nBalgobind, Anjali Vanita\nWind, Karin\nGracanin, Ana\nBegthel, Harry\nKorving, Jeroen\nvan Boxtel, Ruben\nDuarte, Alexandra Alves\nLelieveld, Daphne\nvan Hoeck, Arne\nErnst, Robert Frans\nBlokzijl, Francis\nNijman, Isaac Johannes\nHoogstraat, Marlous\nvan de Ven, Marieke\nEgan, David Anthony\nZinzalla, Vittoria\nMoll, Jurgen\nBoj, Sylvia Fernandez\nVoest, Emile Eugene\nWessels, Lodewyk\nvan Diest, Paul Joannes\nRottenberg, Sven\nVries, Robert Gerhardus Jacob\nCuppen, Edwin\nClevers, Hans\nJournal Article\nUnited States\nCell. 2018 Jan 11;172(1-2):373-386.e10. doi: 10.1016/j.cell.2017.11.010. Epub 2017 Dec 7.","page":"373-386.e10","publisher-place":"Hubrecht Institute, Royal Netherlands Academy of Arts and Sciences and University Medical Center Utrecht, Uppsalalaan 8, 3584 CT Utrecht, the Netherlands; Foundation Hubrecht Organoid Technology (HUB), Yalelaan 62, 3584 CM Utrecht, the Netherlands; Cancer","title":"A Living Biobank of Breast Cancer Organoids Captures Disease Heterogeneity","type":"article-journal","volume":"172"},"uris":["http://www.mendeley.com/documents/?uuid=048ccd3e-640d-4626-8081-49a651405b53"]},{"id":"ITEM-6","itemData":{"DOI":"10.1016/j.ccell.2016.02.002","ISSN":"1535-6108","abstract":"Seventy-five percent of breast cancers are estrogen receptor alpha positive (ER(+)). Research on these tumors is hampered by lack of adequate in vivo models; cell line xenografts require non-physiological hormone supplements, and patient-derived xenografts (PDXs) are hard to establish. We show that the traditional grafting of ER(+) tumor cells into mammary fat pads induces TGFbeta/SLUG signaling and basal differentiation when they require low SLUG levels to grow in vivo. Grafting into the milk ducts suppresses SLUG; ER(+) tumor cells develop, like their clinical counterparts, in the presence of physiological hormone levels. Intraductal ER(+) PDXs are retransplantable, predictive, and appear genomically stable. The model provides opportunities for translational research and the study of physiologically relevant hormone action in breast carcinogenesis.","author":[{"dropping-particle":"","family":"Sflomos","given":"G","non-dropping-particle":"","parse-names":false,"suffix":""},{"dropping-particle":"","family":"Dormoy","given":"V","non-dropping-particle":"","parse-names":false,"suffix":""},{"dropping-particle":"","family":"Metsalu","given":"T","non-dropping-particle":"","parse-names":false,"suffix":""},{"dropping-particle":"","family":"Jeitziner","given":"R","non-dropping-particle":"","parse-names":false,"suffix":""},{"dropping-particle":"","family":"Battista","given":"L","non-dropping-particle":"","parse-names":false,"suffix":""},{"dropping-particle":"","family":"Scabia","given":"V","non-dropping-particle":"","parse-names":false,"suffix":""},{"dropping-particle":"","family":"Raffoul","given":"W","non-dropping-particle":"","parse-names":false,"suffix":""},{"dropping-particle":"","family":"Delaloye","given":"J F","non-dropping-particle":"","parse-names":false,"suffix":""},{"dropping-particle":"","family":"Treboux","given":"A","non-dropping-particle":"","parse-names":false,"suffix":""},{"dropping-particle":"","family":"Fiche","given":"M","non-dropping-particle":"","parse-names":false,"suffix":""},{"dropping-particle":"","family":"Vilo","given":"J","non-dropping-particle":"","parse-names":false,"suffix":""},{"dropping-particle":"","family":"Ayyanan","given":"A","non-dropping-particle":"","parse-names":false,"suffix":""},{"dropping-particle":"","family":"Brisken","given":"C","non-dropping-particle":"","parse-names":false,"suffix":""}],"container-title":"Cancer Cell","edition":"2016/03/08","id":"ITEM-6","issue":"3","issued":{"date-parts":[["2016"]]},"language":"eng","note":"1878-3686\nSflomos, George\nDormoy, Valerian\nMetsalu, Tauno\nJeitziner, Rachel\nBattista, Laura\nScabia, Valentina\nRaffoul, Wassim\nDelaloye, Jean-Francois\nTreboux, Assya\nFiche, Maryse\nVilo, Jaak\nAyyanan, Ayyakkannu\nBrisken, Cathrin\nJournal Article\nResearch Support, Non-U.S. Gov't\nComment\nUnited States\nCancer Cell. 2016 Mar 14;29(3):407-22. doi: 10.1016/j.ccell.2016.02.002. Epub 2016 Mar 3.","page":"407-422","publisher-place":"ISREC - Swiss Institute for Experimental Cancer Research, School of Life Sciences, Ecole polytechnique federale de Lausanne (EPFL), SV2.832 Station 19, 1015 Lausanne, Switzerland. Institute of Computer Science, University of Tartu, Liivi 2, Tartu 50409, E","title":"A Preclinical Model for ERalpha-Positive Breast Cancer Points to the Epithelial Microenvironment as Determinant of Luminal Phenotype and Hormone Response","type":"article-journal","volume":"29"},"uris":["http://www.mendeley.com/documents/?uuid=168f7ae1-d66d-4778-9455-b32e19cc1782"]}],"mendeley":{"formattedCitation":"&lt;sup&gt;94–99&lt;/sup&gt;","plainTextFormattedCitation":"94–99","previouslyFormattedCitation":"&lt;sup&gt;94–99&lt;/sup&gt;"},"properties":{"noteIndex":0},"schema":"https://github.com/citation-style-language/schema/raw/master/csl-citation.json"}</w:instrText>
      </w:r>
      <w:r w:rsidRPr="002829D8">
        <w:rPr>
          <w:rFonts w:ascii="Calibri" w:hAnsi="Calibri" w:cs="Arial"/>
          <w:lang w:val="en-GB"/>
        </w:rPr>
        <w:fldChar w:fldCharType="separate"/>
      </w:r>
      <w:r w:rsidRPr="00351083">
        <w:rPr>
          <w:rFonts w:ascii="Calibri" w:hAnsi="Calibri" w:cs="Arial"/>
          <w:noProof/>
          <w:vertAlign w:val="superscript"/>
          <w:lang w:val="en-GB"/>
        </w:rPr>
        <w:t>94–99</w:t>
      </w:r>
      <w:r w:rsidRPr="002829D8">
        <w:rPr>
          <w:rFonts w:ascii="Calibri" w:hAnsi="Calibri" w:cs="Arial"/>
          <w:lang w:val="en-GB"/>
        </w:rPr>
        <w:fldChar w:fldCharType="end"/>
      </w:r>
      <w:r w:rsidRPr="002829D8">
        <w:rPr>
          <w:rFonts w:ascii="Calibri" w:hAnsi="Calibri" w:cs="Arial"/>
          <w:lang w:val="en-GB"/>
        </w:rPr>
        <w:t xml:space="preserve"> </w:t>
      </w:r>
    </w:p>
    <w:p w:rsidR="00F42381" w:rsidRDefault="00F42381" w:rsidP="0003547C">
      <w:pPr>
        <w:spacing w:line="480" w:lineRule="auto"/>
        <w:rPr>
          <w:rFonts w:ascii="Calibri" w:hAnsi="Calibri"/>
          <w:b/>
          <w:lang w:val="en-GB"/>
        </w:rPr>
      </w:pPr>
    </w:p>
    <w:p w:rsidR="00F42381" w:rsidRDefault="00F42381" w:rsidP="0003547C">
      <w:pPr>
        <w:spacing w:line="480" w:lineRule="auto"/>
        <w:rPr>
          <w:rFonts w:ascii="Calibri" w:hAnsi="Calibri"/>
          <w:b/>
          <w:lang w:val="en-GB"/>
        </w:rPr>
      </w:pPr>
    </w:p>
    <w:p w:rsidR="0003547C" w:rsidRPr="00E44140" w:rsidRDefault="0003547C" w:rsidP="0003547C">
      <w:pPr>
        <w:spacing w:line="480" w:lineRule="auto"/>
        <w:rPr>
          <w:rFonts w:ascii="Calibri" w:hAnsi="Calibri"/>
          <w:b/>
          <w:lang w:val="en-GB"/>
        </w:rPr>
      </w:pPr>
      <w:r w:rsidRPr="00E44140">
        <w:rPr>
          <w:rFonts w:ascii="Calibri" w:hAnsi="Calibri"/>
          <w:b/>
          <w:lang w:val="en-GB"/>
        </w:rPr>
        <w:t xml:space="preserve">Building a clinical risk stratification model (WP6): </w:t>
      </w:r>
      <w:r w:rsidRPr="002829D8">
        <w:rPr>
          <w:rFonts w:ascii="Calibri" w:hAnsi="Calibri" w:cs="Arial"/>
          <w:bCs/>
          <w:lang w:val="en-GB"/>
        </w:rPr>
        <w:t>All information obtained from the previous steps will be collated to develop a DCIS risk prediction model, integrating all clinical, morphological, molecular and imaging data. The most promising molecular markers will be combined in an easy</w:t>
      </w:r>
      <w:r>
        <w:rPr>
          <w:rFonts w:ascii="Calibri" w:hAnsi="Calibri" w:cs="Arial"/>
          <w:bCs/>
          <w:lang w:val="en-GB"/>
        </w:rPr>
        <w:t>-</w:t>
      </w:r>
      <w:r w:rsidRPr="002829D8">
        <w:rPr>
          <w:rFonts w:ascii="Calibri" w:hAnsi="Calibri" w:cs="Arial"/>
          <w:bCs/>
          <w:lang w:val="en-GB"/>
        </w:rPr>
        <w:t>to</w:t>
      </w:r>
      <w:r>
        <w:rPr>
          <w:rFonts w:ascii="Calibri" w:hAnsi="Calibri" w:cs="Arial"/>
          <w:bCs/>
          <w:lang w:val="en-GB"/>
        </w:rPr>
        <w:t>-</w:t>
      </w:r>
      <w:r w:rsidRPr="002829D8">
        <w:rPr>
          <w:rFonts w:ascii="Calibri" w:hAnsi="Calibri" w:cs="Arial"/>
          <w:bCs/>
          <w:lang w:val="en-GB"/>
        </w:rPr>
        <w:t>use clinical assay. The risk prediction model and clinical assay will be validated in the prospective clinical trials (LORIS, COMET and LORD, see below in next section).</w:t>
      </w:r>
    </w:p>
    <w:p w:rsidR="0003547C" w:rsidRPr="002829D8" w:rsidRDefault="0003547C" w:rsidP="0003547C">
      <w:pPr>
        <w:spacing w:line="480" w:lineRule="auto"/>
        <w:rPr>
          <w:rFonts w:ascii="Calibri" w:hAnsi="Calibri" w:cs="Arial"/>
          <w:lang w:val="en-GB"/>
        </w:rPr>
      </w:pPr>
      <w:r w:rsidRPr="00E44140">
        <w:rPr>
          <w:rFonts w:ascii="Calibri" w:hAnsi="Calibri"/>
          <w:b/>
          <w:lang w:val="en-GB"/>
        </w:rPr>
        <w:t xml:space="preserve">Validation of molecular markers in active surveillance using the LORIS, LORD and COMET trials (WP7): </w:t>
      </w:r>
      <w:r w:rsidRPr="002829D8">
        <w:rPr>
          <w:rFonts w:ascii="Calibri" w:hAnsi="Calibri" w:cs="Arial"/>
          <w:lang w:val="en-GB"/>
        </w:rPr>
        <w:t>The LORIS (</w:t>
      </w:r>
      <w:r>
        <w:rPr>
          <w:rFonts w:ascii="Calibri" w:hAnsi="Calibri" w:cs="Arial"/>
          <w:lang w:val="en-GB"/>
        </w:rPr>
        <w:t xml:space="preserve">United Kingdom, </w:t>
      </w:r>
      <w:r w:rsidRPr="002829D8">
        <w:rPr>
          <w:rFonts w:ascii="Calibri" w:hAnsi="Calibri" w:cs="Arial"/>
          <w:lang w:val="en-GB"/>
        </w:rPr>
        <w:t>NCT02766881)</w:t>
      </w:r>
      <w:r w:rsidRPr="002829D8">
        <w:rPr>
          <w:rFonts w:ascii="Calibri" w:hAnsi="Calibri" w:cs="Arial"/>
          <w:lang w:val="en-GB"/>
        </w:rPr>
        <w:fldChar w:fldCharType="begin" w:fldLock="1"/>
      </w:r>
      <w:r>
        <w:rPr>
          <w:rFonts w:ascii="Calibri" w:hAnsi="Calibri" w:cs="Arial"/>
          <w:lang w:val="en-GB"/>
        </w:rPr>
        <w:instrText>ADDIN CSL_CITATION {"citationItems":[{"id":"ITEM-1","itemData":{"DOI":"10.1016/j.ejca.2015.07.017","ISSN":"0959-8049","abstract":"Overdiagnosis, and thus overtreatment, are inevitable consequences of most screening programmes; identification of ways of minimising the impact of overdiagnosis demands new prospective research, in particular the need to separate clinically relevant lesions that require active treatment from those that can be safely left alone or monitored and only need treated if they change characteristics. Breast cancer screening has led to a large increase in ductal carcinoma in situ (DCIS) diagnoses. This is a widely heterogeneous disease and most DCIS detected through screening is of high cytonuclear grade and therefore likely to be important clinically. However, the historic practice of surgical treatment for all DCIS is unlikely to be optimal for lower risk patients. A clearer understanding of how to manage DCIS is required. This article describes the background and development of 'The low risk' DCIS trial (LORIS), a phase III trial of surgery versus active monitoring. LORIS will determine if it is appropriate to manage women with screen detected or asymptomatic, low grade and intermediate grade DCIS with low grade features, by active monitoring rather than by surgical treatment.","author":[{"dropping-particle":"","family":"Francis","given":"A","non-dropping-particle":"","parse-names":false,"suffix":""},{"dropping-particle":"","family":"Thomas","given":"J","non-dropping-particle":"","parse-names":false,"suffix":""},{"dropping-particle":"","family":"Fallowfield","given":"L","non-dropping-particle":"","parse-names":false,"suffix":""},{"dropping-particle":"","family":"Wallis","given":"M","non-dropping-particle":"","parse-names":false,"suffix":""},{"dropping-particle":"","family":"Bartlett","given":"J M","non-dropping-particle":"","parse-names":false,"suffix":""},{"dropping-particle":"","family":"Brookes","given":"C","non-dropping-particle":"","parse-names":false,"suffix":""},{"dropping-particle":"","family":"Roberts","given":"T","non-dropping-particle":"","parse-names":false,"suffix":""},{"dropping-particle":"","family":"Pirrie","given":"S","non-dropping-particle":"","parse-names":false,"suffix":""},{"dropping-particle":"","family":"Gaunt","given":"C","non-dropping-particle":"","parse-names":false,"suffix":""},{"dropping-particle":"","family":"Young","given":"J","non-dropping-particle":"","parse-names":false,"suffix":""},{"dropping-particle":"","family":"Billingham","given":"L","non-dropping-particle":"","parse-names":false,"suffix":""},{"dropping-particle":"","family":"Dodwell","given":"D","non-dropping-particle":"","parse-names":false,"suffix":""},{"dropping-particle":"","family":"Hanby","given":"A","non-dropping-particle":"","parse-names":false,"suffix":""},{"dropping-particle":"","family":"Pinder","given":"S E","non-dropping-particle":"","parse-names":false,"suffix":""},{"dropping-particle":"","family":"Evans","given":"A","non-dropping-particle":"","parse-names":false,"suffix":""},{"dropping-particle":"","family":"Reed","given":"M","non-dropping-particle":"","parse-names":false,"suffix":""},{"dropping-particle":"","family":"Jenkins","given":"V","non-dropping-particle":"","parse-names":false,"suffix":""},{"dropping-particle":"","family":"Matthews","given":"L","non-dropping-particle":"","parse-names":false,"suffix":""},{"dropping-particle":"","family":"Wilcox","given":"M","non-dropping-particle":"","parse-names":false,"suffix":""},{"dropping-particle":"","family":"Fairbrother","given":"P","non-dropping-particle":"","parse-names":false,"suffix":""},{"dropping-particle":"","family":"Bowden","given":"S","non-dropping-particle":"","parse-names":false,"suffix":""},{"dropping-particle":"","family":"Rea","given":"D","non-dropping-particle":"","parse-names":false,"suffix":""}],"container-title":"Eur J Cancer","edition":"2015/08/25","id":"ITEM-1","issue":"16","issued":{"date-parts":[["2015"]]},"language":"eng","note":"1879-0852\nFrancis, Adele\nThomas, Jeremy\nFallowfield, Lesley\nWallis, Matthew\nBartlett, John M S\nBrookes, Cassandra\nRoberts, Tracy\nPirrie, Sarah\nGaunt, Claire\nYoung, Jennie\nBillingham, Lucinda\nDodwell, David\nHanby, Andrew\nPinder, Sarah E\nEvans, Andrew\nReed, Malcolm\nJenkins, Valerie\nMatthews, Lucy\nWilcox, Maggie\nFairbrother, Patricia\nBowden, Sarah\nRea, Daniel\nClinical Trial, Phase III\nComparative Study\nJournal Article\nMulticenter Study\nResearch Support, Non-U.S. Gov't\nEngland\nEur J Cancer. 2015 Nov;51(16):2296-303. doi: 10.1016/j.ejca.2015.07.017. Epub 2015 Aug 18.","page":"2296-2303","publisher-place":"Department of Breast Surgery, Nuffield House University Hospital Birmingham, Edgbaston, Birmingham, B15 2TH, UK. Western General Hospital, Edinburgh, UK. Sussex Health Outcomes, Research &amp; Education in Cancer (SHORE-C), Brighton and Sussex Medical School,","title":"Addressing overtreatment of screen detected DCIS; the LORIS trial","type":"article-journal","volume":"51"},"uris":["http://www.mendeley.com/documents/?uuid=3d6355ae-10c3-4556-a88b-5fcec3d67d49"]}],"mendeley":{"formattedCitation":"&lt;sup&gt;56&lt;/sup&gt;","plainTextFormattedCitation":"56","previouslyFormattedCitation":"&lt;sup&gt;56&lt;/sup&gt;"},"properties":{"noteIndex":0},"schema":"https://github.com/citation-style-language/schema/raw/master/csl-citation.json"}</w:instrText>
      </w:r>
      <w:r w:rsidRPr="002829D8">
        <w:rPr>
          <w:rFonts w:ascii="Calibri" w:hAnsi="Calibri" w:cs="Arial"/>
          <w:lang w:val="en-GB"/>
        </w:rPr>
        <w:fldChar w:fldCharType="separate"/>
      </w:r>
      <w:r w:rsidRPr="00756372">
        <w:rPr>
          <w:rFonts w:ascii="Calibri" w:hAnsi="Calibri" w:cs="Arial"/>
          <w:noProof/>
          <w:vertAlign w:val="superscript"/>
          <w:lang w:val="en-GB"/>
        </w:rPr>
        <w:t>56</w:t>
      </w:r>
      <w:r w:rsidRPr="002829D8">
        <w:rPr>
          <w:rFonts w:ascii="Calibri" w:hAnsi="Calibri" w:cs="Arial"/>
          <w:lang w:val="en-GB"/>
        </w:rPr>
        <w:fldChar w:fldCharType="end"/>
      </w:r>
      <w:r w:rsidRPr="002829D8">
        <w:rPr>
          <w:rFonts w:ascii="Calibri" w:hAnsi="Calibri" w:cs="Arial"/>
          <w:lang w:val="en-GB"/>
        </w:rPr>
        <w:t>, COMET (</w:t>
      </w:r>
      <w:r>
        <w:rPr>
          <w:rFonts w:ascii="Calibri" w:hAnsi="Calibri" w:cs="Arial"/>
          <w:lang w:val="en-GB"/>
        </w:rPr>
        <w:t xml:space="preserve">United States, </w:t>
      </w:r>
      <w:r w:rsidRPr="002829D8">
        <w:rPr>
          <w:rFonts w:ascii="Calibri" w:hAnsi="Calibri" w:cs="Arial"/>
          <w:lang w:val="en-GB"/>
        </w:rPr>
        <w:t>NCT02926911)</w:t>
      </w:r>
      <w:r w:rsidRPr="002829D8">
        <w:rPr>
          <w:rFonts w:ascii="Calibri" w:hAnsi="Calibri" w:cs="Arial"/>
          <w:lang w:val="en-GB"/>
        </w:rPr>
        <w:fldChar w:fldCharType="begin" w:fldLock="1"/>
      </w:r>
      <w:r>
        <w:rPr>
          <w:rFonts w:ascii="Calibri" w:hAnsi="Calibri" w:cs="Arial"/>
          <w:lang w:val="en-GB"/>
        </w:rPr>
        <w:instrText>ADDIN CSL_CITATION {"citationItems":[{"id":"ITEM-1","itemData":{"URL":"http://www.pcori.org/research-results/2016/comparison-operative-versus-medical-endocrine-therapy-low-risk-dcis-comet.","id":"ITEM-1","issued":{"date-parts":[["0"]]},"title":"Comparison of operative versus medical endocrine therapy for low risk DCIS: the COMET Trial.","type":"webpage"},"uris":["http://www.mendeley.com/documents/?uuid=51e10349-bd02-427f-bd1a-1ffbab7ca787"]}],"mendeley":{"formattedCitation":"&lt;sup&gt;57&lt;/sup&gt;","plainTextFormattedCitation":"57","previouslyFormattedCitation":"&lt;sup&gt;57&lt;/sup&gt;"},"properties":{"noteIndex":0},"schema":"https://github.com/citation-style-language/schema/raw/master/csl-citation.json"}</w:instrText>
      </w:r>
      <w:r w:rsidRPr="002829D8">
        <w:rPr>
          <w:rFonts w:ascii="Calibri" w:hAnsi="Calibri" w:cs="Arial"/>
          <w:lang w:val="en-GB"/>
        </w:rPr>
        <w:fldChar w:fldCharType="separate"/>
      </w:r>
      <w:r w:rsidRPr="00756372">
        <w:rPr>
          <w:rFonts w:ascii="Calibri" w:hAnsi="Calibri" w:cs="Arial"/>
          <w:noProof/>
          <w:vertAlign w:val="superscript"/>
          <w:lang w:val="en-GB"/>
        </w:rPr>
        <w:t>57</w:t>
      </w:r>
      <w:r w:rsidRPr="002829D8">
        <w:rPr>
          <w:rFonts w:ascii="Calibri" w:hAnsi="Calibri" w:cs="Arial"/>
          <w:lang w:val="en-GB"/>
        </w:rPr>
        <w:fldChar w:fldCharType="end"/>
      </w:r>
      <w:r w:rsidRPr="002829D8">
        <w:rPr>
          <w:rFonts w:ascii="Calibri" w:hAnsi="Calibri" w:cs="Arial"/>
          <w:lang w:val="en-GB"/>
        </w:rPr>
        <w:t xml:space="preserve"> and LORD (</w:t>
      </w:r>
      <w:r>
        <w:rPr>
          <w:rFonts w:ascii="Calibri" w:hAnsi="Calibri" w:cs="Arial"/>
          <w:lang w:val="en-GB"/>
        </w:rPr>
        <w:t xml:space="preserve">The Netherlands, </w:t>
      </w:r>
      <w:r w:rsidRPr="002829D8">
        <w:rPr>
          <w:rFonts w:ascii="Calibri" w:hAnsi="Calibri" w:cs="Arial"/>
          <w:lang w:val="en-GB"/>
        </w:rPr>
        <w:t>NCT02492607)</w:t>
      </w:r>
      <w:r w:rsidRPr="002829D8">
        <w:rPr>
          <w:rFonts w:ascii="Calibri" w:hAnsi="Calibri" w:cs="Arial"/>
          <w:lang w:val="en-GB"/>
        </w:rPr>
        <w:fldChar w:fldCharType="begin" w:fldLock="1"/>
      </w:r>
      <w:r>
        <w:rPr>
          <w:rFonts w:ascii="Calibri" w:hAnsi="Calibri" w:cs="Arial"/>
          <w:lang w:val="en-GB"/>
        </w:rPr>
        <w:instrText>ADDIN CSL_CITATION {"citationItems":[{"id":"ITEM-1","itemData":{"DOI":"10.1016/j.ejca.2015.05.008","ISBN":"0959-8049","ISSN":"0959-8049","PMID":"26025767","abstract":"BACKGROUND: The current debate on overdiagnosis and overtreatment of screen-detected ductal carcinoma in situ (DCIS) urges the need for prospective studies to address this issue. A substantial number of DCIS lesions will never form a health hazard, particularly if it concerns non- to slow-growing low-grade DCIS. The LORD study aims to evaluate the safety of active surveillance in women with low-risk DCIS. DESIGN: This is a randomised, international multicentre, open-label, phase III non-inferiority trial, led by the Dutch Breast Cancer Research Group (BOOG 2014-04) and the European Organization for Research and Treatment of Cancer (EORTC-BCG 1401). Standard treatment will be compared to active surveillance in 1240 women aged 45 years with asymptomatic, screen-detected, pure low-grade DCIS based on vacuum-assisted biopsies of microcalcifications only. Both study arms will be monitored with annual digital mammography for a period of 10 years. The primary end-point is 10-year ipsilateral invasive breast cancer free percentage. Secondary end-points include patient reported outcomes, diagnostic biopsy rate during follow-up, ipsilateral mastectomy rate and translational research. FEASIBILITY: To explore interest in and feasibility of the LORD study we conducted a survey among EORTC and BOOG centres. A vast majority of EORTC and BOOG responding centres expressed interest in participation in the LORD study. The proposed study design is endorsed by nearly all centres.","author":[{"dropping-particle":"","family":"Elshof","given":"Lotte E.","non-dropping-particle":"","parse-names":false,"suffix":""},{"dropping-particle":"","family":"Tryfonidis","given":"Konstantinos","non-dropping-particle":"","parse-names":false,"suffix":""},{"dropping-particle":"","family":"Slaets","given":"Leen","non-dropping-particle":"","parse-names":false,"suffix":""},{"dropping-particle":"","family":"Leeuwen-Stok","given":"A. Elise","non-dropping-particle":"van","parse-names":false,"suffix":""},{"dropping-particle":"","family":"Skinner","given":"Victoria P.","non-dropping-particle":"","parse-names":false,"suffix":""},{"dropping-particle":"","family":"Dif","given":"Nicolas","non-dropping-particle":"","parse-names":false,"suffix":""},{"dropping-particle":"","family":"Pijnappel","given":"Ruud M.","non-dropping-particle":"","parse-names":false,"suffix":""},{"dropping-particle":"","family":"Bijker","given":"Nina","non-dropping-particle":"","parse-names":false,"suffix":""},{"dropping-particle":"","family":"Rutgers","given":"Emiel J Th","non-dropping-particle":"","parse-names":false,"suffix":""},{"dropping-particle":"","family":"Wesseling","given":"Jelle","non-dropping-particle":"","parse-names":false,"suffix":""}],"container-title":"Eur J Cancer","edition":"2015/05/31","id":"ITEM-1","issue":"12","issued":{"date-parts":[["2015"]]},"language":"eng","note":"From Duplicate 2 (Feasibility of a prospective, randomised, open-label, international multicentre, phase III, non-inferiority trial to assess the safety of active surveillance for low risk ductal carcinoma in situ - The LORD study - Elshof, L E; Tryfonidis, K; Slaets, L; van Leeuwen-Stok, A E; Skinner, V P; Dif, N; Pijnappel, R M; Bijker, N; Rutgers, E J; Wesseling, J)\n\n1879-0852\nElshof, Lotte E\nTryfonidis, Konstantinos\nSlaets, Leen\nvan Leeuwen-Stok, A Elise\nSkinner, Victoria P\nDif, Nicolas\nPijnappel, Ruud M\nBijker, Nina\nRutgers, Emiel J Th\nWesseling, Jelle\nClinical Trial, Phase III\nJournal Article\nMulticenter Study\nRandomized Controlled Trial\nResearch Support, Non-U.S. Gov't\nEngland\nEur J Cancer. 2015 Aug;51(12):1497-510. doi: 10.1016/j.ejca.2015.05.008. Epub 2015 May 26.","page":"1497-1510","publisher":"Elsevier Ltd","publisher-place":"Department of Surgery, Netherlands Cancer Institute/Antoni van Leeuwenhoek, Plesmanlaan 121, 1066 CX Amsterdam, The Netherlands; Department of Molecular Pathology, Netherlands Cancer Institute/Antoni van Leeuwenhoek, Plesmanlaan 121, 1066 CX Amsterdam, Th","title":"Feasibility of a prospective, randomised, open-label, international multicentre, phase III, non-inferiority trial to assess the safety of active surveillance for low risk ductal carcinoma in situ - The LORD study","type":"article-journal","volume":"51"},"uris":["http://www.mendeley.com/documents/?uuid=fc63bd85-add1-4637-967e-f9ebf34b550f"]}],"mendeley":{"formattedCitation":"&lt;sup&gt;59&lt;/sup&gt;","plainTextFormattedCitation":"59","previouslyFormattedCitation":"&lt;sup&gt;58&lt;/sup&gt;"},"properties":{"noteIndex":0},"schema":"https://github.com/citation-style-language/schema/raw/master/csl-citation.json"}</w:instrText>
      </w:r>
      <w:r w:rsidRPr="002829D8">
        <w:rPr>
          <w:rFonts w:ascii="Calibri" w:hAnsi="Calibri" w:cs="Arial"/>
          <w:lang w:val="en-GB"/>
        </w:rPr>
        <w:fldChar w:fldCharType="separate"/>
      </w:r>
      <w:r w:rsidRPr="00446501">
        <w:rPr>
          <w:rFonts w:ascii="Calibri" w:hAnsi="Calibri" w:cs="Arial"/>
          <w:noProof/>
          <w:vertAlign w:val="superscript"/>
          <w:lang w:val="en-GB"/>
        </w:rPr>
        <w:t>59</w:t>
      </w:r>
      <w:r w:rsidRPr="002829D8">
        <w:rPr>
          <w:rFonts w:ascii="Calibri" w:hAnsi="Calibri" w:cs="Arial"/>
          <w:lang w:val="en-GB"/>
        </w:rPr>
        <w:fldChar w:fldCharType="end"/>
      </w:r>
      <w:r w:rsidRPr="002829D8">
        <w:rPr>
          <w:rFonts w:ascii="Calibri" w:hAnsi="Calibri" w:cs="Arial"/>
          <w:lang w:val="en-GB"/>
        </w:rPr>
        <w:t xml:space="preserve"> randomised trials together present a unique opportunity. They have a common aim of assessing which low or intermediate grade DCIS requires primary surgical management and whether regular monitoring for disease progression by mammography can be safely performed, with intervention only in those women </w:t>
      </w:r>
      <w:r>
        <w:rPr>
          <w:rFonts w:ascii="Calibri" w:hAnsi="Calibri" w:cs="Arial"/>
          <w:lang w:val="en-GB"/>
        </w:rPr>
        <w:t>in whom there is</w:t>
      </w:r>
      <w:r w:rsidRPr="002829D8">
        <w:rPr>
          <w:rFonts w:ascii="Calibri" w:hAnsi="Calibri" w:cs="Arial"/>
          <w:lang w:val="en-GB"/>
        </w:rPr>
        <w:t xml:space="preserve"> evidence of progression to high</w:t>
      </w:r>
      <w:r>
        <w:rPr>
          <w:rFonts w:ascii="Calibri" w:hAnsi="Calibri" w:cs="Arial"/>
          <w:lang w:val="en-GB"/>
        </w:rPr>
        <w:t>-</w:t>
      </w:r>
      <w:r w:rsidRPr="002829D8">
        <w:rPr>
          <w:rFonts w:ascii="Calibri" w:hAnsi="Calibri" w:cs="Arial"/>
          <w:lang w:val="en-GB"/>
        </w:rPr>
        <w:t>risk DCIS or invasive cancer.  The common research objectives of the three trials are</w:t>
      </w:r>
      <w:r>
        <w:rPr>
          <w:rFonts w:ascii="Calibri" w:hAnsi="Calibri" w:cs="Arial"/>
          <w:lang w:val="en-GB"/>
        </w:rPr>
        <w:t xml:space="preserve"> t</w:t>
      </w:r>
      <w:r w:rsidRPr="002829D8">
        <w:rPr>
          <w:rFonts w:ascii="Calibri" w:hAnsi="Calibri" w:cs="Arial"/>
          <w:lang w:val="en-GB"/>
        </w:rPr>
        <w:t>o evaluate the safety, effectiveness, cost effectiveness and acceptability of no</w:t>
      </w:r>
      <w:r>
        <w:rPr>
          <w:rFonts w:ascii="Calibri" w:hAnsi="Calibri" w:cs="Arial"/>
          <w:lang w:val="en-GB"/>
        </w:rPr>
        <w:t>n-</w:t>
      </w:r>
      <w:r w:rsidRPr="002829D8">
        <w:rPr>
          <w:rFonts w:ascii="Calibri" w:hAnsi="Calibri" w:cs="Arial"/>
          <w:lang w:val="en-GB"/>
        </w:rPr>
        <w:t>surgical intervention in patients with newly diagnosed, mammogram detected asymptomatic, low or low-intermediate grade DCIS</w:t>
      </w:r>
      <w:r>
        <w:rPr>
          <w:rFonts w:ascii="Calibri" w:hAnsi="Calibri" w:cs="Arial"/>
          <w:lang w:val="en-GB"/>
        </w:rPr>
        <w:t>; and t</w:t>
      </w:r>
      <w:r w:rsidRPr="002829D8">
        <w:rPr>
          <w:rFonts w:ascii="Calibri" w:hAnsi="Calibri" w:cs="Arial"/>
          <w:lang w:val="en-GB"/>
        </w:rPr>
        <w:t>o define the natural history of low</w:t>
      </w:r>
      <w:r>
        <w:rPr>
          <w:rFonts w:ascii="Calibri" w:hAnsi="Calibri" w:cs="Arial"/>
          <w:lang w:val="en-GB"/>
        </w:rPr>
        <w:t>-</w:t>
      </w:r>
      <w:r w:rsidRPr="002829D8">
        <w:rPr>
          <w:rFonts w:ascii="Calibri" w:hAnsi="Calibri" w:cs="Arial"/>
          <w:lang w:val="en-GB"/>
        </w:rPr>
        <w:t xml:space="preserve">risk DCIS and to identify those patients who require surgery because their DCIS is at risk of progression to invasive disease. </w:t>
      </w:r>
    </w:p>
    <w:p w:rsidR="0003547C" w:rsidRPr="002829D8" w:rsidRDefault="0003547C" w:rsidP="0003547C">
      <w:pPr>
        <w:spacing w:line="480" w:lineRule="auto"/>
        <w:rPr>
          <w:rFonts w:ascii="Calibri" w:hAnsi="Calibri" w:cs="Arial"/>
          <w:lang w:val="en-GB"/>
        </w:rPr>
      </w:pPr>
      <w:r w:rsidRPr="002829D8">
        <w:rPr>
          <w:rFonts w:ascii="Calibri" w:hAnsi="Calibri" w:cs="Arial"/>
          <w:lang w:val="en-GB"/>
        </w:rPr>
        <w:t>All the</w:t>
      </w:r>
      <w:r>
        <w:rPr>
          <w:rFonts w:ascii="Calibri" w:hAnsi="Calibri" w:cs="Arial"/>
          <w:lang w:val="en-GB"/>
        </w:rPr>
        <w:t xml:space="preserve"> above</w:t>
      </w:r>
      <w:r w:rsidRPr="002829D8">
        <w:rPr>
          <w:rFonts w:ascii="Calibri" w:hAnsi="Calibri" w:cs="Arial"/>
          <w:lang w:val="en-GB"/>
        </w:rPr>
        <w:t xml:space="preserve"> trials are prospectively randomising patients with screen</w:t>
      </w:r>
      <w:r>
        <w:rPr>
          <w:rFonts w:ascii="Calibri" w:hAnsi="Calibri" w:cs="Arial"/>
          <w:lang w:val="en-GB"/>
        </w:rPr>
        <w:t>-</w:t>
      </w:r>
      <w:r w:rsidRPr="002829D8">
        <w:rPr>
          <w:rFonts w:ascii="Calibri" w:hAnsi="Calibri" w:cs="Arial"/>
          <w:lang w:val="en-GB"/>
        </w:rPr>
        <w:t xml:space="preserve">detected or incidental low </w:t>
      </w:r>
      <w:r>
        <w:rPr>
          <w:rFonts w:ascii="Calibri" w:hAnsi="Calibri" w:cs="Arial"/>
          <w:lang w:val="en-GB"/>
        </w:rPr>
        <w:t>risk of recurrence DCIS</w:t>
      </w:r>
      <w:r w:rsidRPr="002829D8">
        <w:rPr>
          <w:rFonts w:ascii="Calibri" w:hAnsi="Calibri" w:cs="Arial"/>
          <w:lang w:val="en-GB"/>
        </w:rPr>
        <w:t xml:space="preserve"> to standard surgical treatment or active monitoring. The trials </w:t>
      </w:r>
      <w:r>
        <w:rPr>
          <w:rFonts w:ascii="Calibri" w:hAnsi="Calibri" w:cs="Arial"/>
          <w:lang w:val="en-GB"/>
        </w:rPr>
        <w:t>had</w:t>
      </w:r>
      <w:r w:rsidRPr="002829D8">
        <w:rPr>
          <w:rFonts w:ascii="Calibri" w:hAnsi="Calibri" w:cs="Arial"/>
          <w:lang w:val="en-GB"/>
        </w:rPr>
        <w:t xml:space="preserve"> started before the </w:t>
      </w:r>
      <w:r>
        <w:rPr>
          <w:rFonts w:ascii="Calibri" w:hAnsi="Calibri" w:cs="Arial"/>
          <w:lang w:val="en-GB"/>
        </w:rPr>
        <w:t>inception of the PRECISION initiative</w:t>
      </w:r>
      <w:r w:rsidRPr="002829D8">
        <w:rPr>
          <w:rFonts w:ascii="Calibri" w:hAnsi="Calibri" w:cs="Arial"/>
          <w:lang w:val="en-GB"/>
        </w:rPr>
        <w:t xml:space="preserve">, </w:t>
      </w:r>
      <w:r>
        <w:rPr>
          <w:rFonts w:ascii="Calibri" w:hAnsi="Calibri" w:cs="Arial"/>
          <w:lang w:val="en-GB"/>
        </w:rPr>
        <w:t>but</w:t>
      </w:r>
      <w:r w:rsidRPr="002829D8">
        <w:rPr>
          <w:rFonts w:ascii="Calibri" w:hAnsi="Calibri" w:cs="Arial"/>
          <w:lang w:val="en-GB"/>
        </w:rPr>
        <w:t xml:space="preserve"> the initiative gave us </w:t>
      </w:r>
      <w:r>
        <w:rPr>
          <w:rFonts w:ascii="Calibri" w:hAnsi="Calibri" w:cs="Arial"/>
          <w:lang w:val="en-GB"/>
        </w:rPr>
        <w:t>a</w:t>
      </w:r>
      <w:r w:rsidRPr="002829D8">
        <w:rPr>
          <w:rFonts w:ascii="Calibri" w:hAnsi="Calibri" w:cs="Arial"/>
          <w:lang w:val="en-GB"/>
        </w:rPr>
        <w:t xml:space="preserve"> unique opportunity to collaborate, and to safeguard tissue and blood collections for translational biomarker research. LORD, LORIS and COMET are recruiting and expect to complete recruitment within 5 years. In addition to collaborating and exchanging valuable information regarding accrual and patient participation, </w:t>
      </w:r>
      <w:r>
        <w:rPr>
          <w:rFonts w:ascii="Calibri" w:hAnsi="Calibri" w:cs="Arial"/>
          <w:lang w:val="en-GB"/>
        </w:rPr>
        <w:t>we plan</w:t>
      </w:r>
      <w:r w:rsidRPr="002829D8">
        <w:rPr>
          <w:rFonts w:ascii="Calibri" w:hAnsi="Calibri" w:cs="Arial"/>
          <w:lang w:val="en-GB"/>
        </w:rPr>
        <w:t xml:space="preserve"> to assess the value of </w:t>
      </w:r>
      <w:r>
        <w:rPr>
          <w:rFonts w:ascii="Calibri" w:hAnsi="Calibri" w:cs="Arial"/>
          <w:lang w:val="en-GB"/>
        </w:rPr>
        <w:t xml:space="preserve">circulating tumour </w:t>
      </w:r>
      <w:r w:rsidRPr="002829D8">
        <w:rPr>
          <w:rFonts w:ascii="Calibri" w:hAnsi="Calibri" w:cs="Arial"/>
          <w:lang w:val="en-GB"/>
        </w:rPr>
        <w:t>DNA and genomics approaches in blood and tissue</w:t>
      </w:r>
      <w:r>
        <w:rPr>
          <w:rFonts w:ascii="Calibri" w:hAnsi="Calibri" w:cs="Arial"/>
          <w:lang w:val="en-GB"/>
        </w:rPr>
        <w:t xml:space="preserve"> samples</w:t>
      </w:r>
      <w:r w:rsidRPr="002829D8">
        <w:rPr>
          <w:rFonts w:ascii="Calibri" w:hAnsi="Calibri" w:cs="Arial"/>
          <w:lang w:val="en-GB"/>
        </w:rPr>
        <w:t xml:space="preserve"> of trial participants.  </w:t>
      </w:r>
    </w:p>
    <w:p w:rsidR="0003547C" w:rsidRDefault="0003547C" w:rsidP="0003547C">
      <w:pPr>
        <w:spacing w:line="480" w:lineRule="auto"/>
        <w:rPr>
          <w:rFonts w:ascii="Calibri" w:hAnsi="Calibri" w:cs="Arial"/>
          <w:b/>
          <w:lang w:val="en-GB"/>
        </w:rPr>
      </w:pPr>
      <w:r>
        <w:rPr>
          <w:rFonts w:ascii="Calibri" w:hAnsi="Calibri" w:cs="Arial"/>
          <w:b/>
          <w:noProof/>
          <w:lang w:val="en-US"/>
        </w:rPr>
        <w:drawing>
          <wp:inline distT="0" distB="0" distL="0" distR="0">
            <wp:extent cx="5619750" cy="337406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25514" cy="3377523"/>
                    </a:xfrm>
                    <a:prstGeom prst="rect">
                      <a:avLst/>
                    </a:prstGeom>
                  </pic:spPr>
                </pic:pic>
              </a:graphicData>
            </a:graphic>
          </wp:inline>
        </w:drawing>
      </w:r>
    </w:p>
    <w:p w:rsidR="0003547C" w:rsidRPr="0003547C" w:rsidRDefault="0003547C" w:rsidP="0003547C">
      <w:pPr>
        <w:spacing w:line="240" w:lineRule="auto"/>
        <w:rPr>
          <w:rFonts w:ascii="Calibri" w:hAnsi="Calibri"/>
          <w:i/>
          <w:lang w:val="en-GB"/>
        </w:rPr>
      </w:pPr>
      <w:r w:rsidRPr="0003547C">
        <w:rPr>
          <w:rFonts w:ascii="Calibri" w:hAnsi="Calibri"/>
          <w:b/>
          <w:i/>
          <w:lang w:val="en-GB"/>
        </w:rPr>
        <w:t xml:space="preserve">Supplementary </w:t>
      </w:r>
      <w:r w:rsidR="00B43ECE">
        <w:rPr>
          <w:rFonts w:ascii="Calibri" w:hAnsi="Calibri"/>
          <w:b/>
          <w:i/>
          <w:lang w:val="en-GB"/>
        </w:rPr>
        <w:t>F</w:t>
      </w:r>
      <w:r w:rsidRPr="0003547C">
        <w:rPr>
          <w:rFonts w:ascii="Calibri" w:hAnsi="Calibri"/>
          <w:b/>
          <w:i/>
          <w:lang w:val="en-GB"/>
        </w:rPr>
        <w:t>igure 1</w:t>
      </w:r>
      <w:r w:rsidRPr="0003547C">
        <w:rPr>
          <w:rFonts w:ascii="Calibri" w:hAnsi="Calibri"/>
          <w:i/>
          <w:lang w:val="en-GB"/>
        </w:rPr>
        <w:t xml:space="preserve">. Overview and links to the different work packages (WP) within the PRECISION project </w:t>
      </w:r>
    </w:p>
    <w:p w:rsidR="0003547C" w:rsidRDefault="0003547C" w:rsidP="0003547C">
      <w:pPr>
        <w:spacing w:line="480" w:lineRule="auto"/>
        <w:rPr>
          <w:rFonts w:ascii="Calibri" w:hAnsi="Calibri" w:cs="Arial"/>
          <w:b/>
          <w:lang w:val="en-GB"/>
        </w:rPr>
      </w:pPr>
      <w:bookmarkStart w:id="0" w:name="_GoBack"/>
      <w:bookmarkEnd w:id="0"/>
    </w:p>
    <w:p w:rsidR="0003547C" w:rsidRPr="00E363E4" w:rsidRDefault="0003547C" w:rsidP="0003547C">
      <w:pPr>
        <w:spacing w:line="480" w:lineRule="auto"/>
        <w:rPr>
          <w:rFonts w:ascii="Calibri" w:hAnsi="Calibri" w:cs="Arial"/>
          <w:b/>
          <w:lang w:val="en-GB"/>
        </w:rPr>
      </w:pPr>
      <w:r w:rsidRPr="00E363E4">
        <w:rPr>
          <w:rFonts w:ascii="Calibri" w:hAnsi="Calibri" w:cs="Arial"/>
          <w:b/>
          <w:lang w:val="en-GB"/>
        </w:rPr>
        <w:t>Patient involvement</w:t>
      </w:r>
    </w:p>
    <w:p w:rsidR="0003547C" w:rsidRDefault="0003547C" w:rsidP="0003547C">
      <w:pPr>
        <w:spacing w:line="480" w:lineRule="auto"/>
        <w:rPr>
          <w:rFonts w:ascii="Calibri" w:hAnsi="Calibri" w:cs="Arial"/>
          <w:lang w:val="en-GB"/>
        </w:rPr>
      </w:pPr>
      <w:r w:rsidRPr="002829D8">
        <w:rPr>
          <w:rFonts w:ascii="Calibri" w:hAnsi="Calibri" w:cs="Arial"/>
          <w:lang w:val="en-GB"/>
        </w:rPr>
        <w:t xml:space="preserve">International expert patient advocates with previous experience of DCIS, cancer or another condition are centrally involved in PRECISION. Their contributions are at three levels: project governance; scientific work; and outreach to the general public, patients and physicians, </w:t>
      </w:r>
      <w:r>
        <w:rPr>
          <w:rFonts w:ascii="Calibri" w:hAnsi="Calibri" w:cs="Arial"/>
          <w:lang w:val="en-GB"/>
        </w:rPr>
        <w:t>which</w:t>
      </w:r>
      <w:r w:rsidRPr="002829D8">
        <w:rPr>
          <w:rFonts w:ascii="Calibri" w:hAnsi="Calibri" w:cs="Arial"/>
          <w:lang w:val="en-GB"/>
        </w:rPr>
        <w:t xml:space="preserve"> helps </w:t>
      </w:r>
      <w:r>
        <w:rPr>
          <w:rFonts w:ascii="Calibri" w:hAnsi="Calibri" w:cs="Arial"/>
          <w:lang w:val="en-GB"/>
        </w:rPr>
        <w:t xml:space="preserve">to </w:t>
      </w:r>
      <w:r w:rsidRPr="002829D8">
        <w:rPr>
          <w:rFonts w:ascii="Calibri" w:hAnsi="Calibri" w:cs="Arial"/>
          <w:lang w:val="en-GB"/>
        </w:rPr>
        <w:t xml:space="preserve">reshape clinical practice and </w:t>
      </w:r>
      <w:r>
        <w:rPr>
          <w:rFonts w:ascii="Calibri" w:hAnsi="Calibri" w:cs="Arial"/>
          <w:lang w:val="en-GB"/>
        </w:rPr>
        <w:t xml:space="preserve">the </w:t>
      </w:r>
      <w:r w:rsidRPr="002829D8">
        <w:rPr>
          <w:rFonts w:ascii="Calibri" w:hAnsi="Calibri" w:cs="Arial"/>
          <w:lang w:val="en-GB"/>
        </w:rPr>
        <w:t xml:space="preserve">public perception of DCIS risk. The scope and depth of patient involvement is possible because all </w:t>
      </w:r>
      <w:r>
        <w:rPr>
          <w:rFonts w:ascii="Calibri" w:hAnsi="Calibri" w:cs="Arial"/>
          <w:lang w:val="en-GB"/>
        </w:rPr>
        <w:t>patient advocates</w:t>
      </w:r>
      <w:r w:rsidRPr="002829D8">
        <w:rPr>
          <w:rFonts w:ascii="Calibri" w:hAnsi="Calibri" w:cs="Arial"/>
          <w:lang w:val="en-GB"/>
        </w:rPr>
        <w:t xml:space="preserve"> are highly experienced and knowledgeable about the attitudes of their respective countries toward DCIS</w:t>
      </w:r>
      <w:r>
        <w:rPr>
          <w:rFonts w:ascii="Calibri" w:hAnsi="Calibri" w:cs="Arial"/>
          <w:lang w:val="en-GB"/>
        </w:rPr>
        <w:t>. E</w:t>
      </w:r>
      <w:r w:rsidRPr="002829D8">
        <w:rPr>
          <w:rFonts w:ascii="Calibri" w:hAnsi="Calibri" w:cs="Arial"/>
          <w:lang w:val="en-GB"/>
        </w:rPr>
        <w:t xml:space="preserve">ach </w:t>
      </w:r>
      <w:r>
        <w:rPr>
          <w:rFonts w:ascii="Calibri" w:hAnsi="Calibri" w:cs="Arial"/>
          <w:lang w:val="en-GB"/>
        </w:rPr>
        <w:t>patient advocate</w:t>
      </w:r>
      <w:r w:rsidRPr="002829D8">
        <w:rPr>
          <w:rFonts w:ascii="Calibri" w:hAnsi="Calibri" w:cs="Arial"/>
          <w:lang w:val="en-GB"/>
        </w:rPr>
        <w:t xml:space="preserve"> adds professional patient expertise combined with personal experience to the science that will be conducted in PRECISION. They are also directly involved with the prospective LORD, LORIS, and COMET trials in each country, and can relate to the long-term quality of life issues that women face from current DCIS treatments. Their goal is to replace fear of DCIS with confidence that each woman will receive effective, evidence-based treatment (or </w:t>
      </w:r>
      <w:r>
        <w:rPr>
          <w:rFonts w:ascii="Calibri" w:hAnsi="Calibri" w:cs="Arial"/>
          <w:lang w:val="en-GB"/>
        </w:rPr>
        <w:t>monitoring alone</w:t>
      </w:r>
      <w:r w:rsidRPr="002829D8">
        <w:rPr>
          <w:rFonts w:ascii="Calibri" w:hAnsi="Calibri" w:cs="Arial"/>
          <w:lang w:val="en-GB"/>
        </w:rPr>
        <w:t xml:space="preserve">) that matches her specific type of DCIS, based on </w:t>
      </w:r>
      <w:r>
        <w:rPr>
          <w:rFonts w:ascii="Calibri" w:hAnsi="Calibri" w:cs="Arial"/>
          <w:lang w:val="en-GB"/>
        </w:rPr>
        <w:t xml:space="preserve">personalized invasive cancer </w:t>
      </w:r>
      <w:r w:rsidRPr="002829D8">
        <w:rPr>
          <w:rFonts w:ascii="Calibri" w:hAnsi="Calibri" w:cs="Arial"/>
          <w:lang w:val="en-GB"/>
        </w:rPr>
        <w:t xml:space="preserve">risk that PRECISION will help </w:t>
      </w:r>
      <w:r>
        <w:rPr>
          <w:rFonts w:ascii="Calibri" w:hAnsi="Calibri" w:cs="Arial"/>
          <w:lang w:val="en-GB"/>
        </w:rPr>
        <w:t xml:space="preserve">to </w:t>
      </w:r>
      <w:r w:rsidRPr="002829D8">
        <w:rPr>
          <w:rFonts w:ascii="Calibri" w:hAnsi="Calibri" w:cs="Arial"/>
          <w:lang w:val="en-GB"/>
        </w:rPr>
        <w:t>elucidate.</w:t>
      </w:r>
    </w:p>
    <w:p w:rsidR="00FD13F1" w:rsidRPr="0003547C" w:rsidRDefault="00FD13F1">
      <w:pPr>
        <w:rPr>
          <w:lang w:val="en-GB"/>
        </w:rPr>
      </w:pPr>
    </w:p>
    <w:sectPr w:rsidR="00FD13F1" w:rsidRPr="000354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47C"/>
    <w:rsid w:val="0003547C"/>
    <w:rsid w:val="000941F4"/>
    <w:rsid w:val="000E6939"/>
    <w:rsid w:val="00235548"/>
    <w:rsid w:val="003F44A4"/>
    <w:rsid w:val="00504331"/>
    <w:rsid w:val="007F0544"/>
    <w:rsid w:val="00B43ECE"/>
    <w:rsid w:val="00B52C7C"/>
    <w:rsid w:val="00BE0255"/>
    <w:rsid w:val="00BF38B9"/>
    <w:rsid w:val="00C10A63"/>
    <w:rsid w:val="00CE6A0F"/>
    <w:rsid w:val="00D22C0F"/>
    <w:rsid w:val="00EC41DF"/>
    <w:rsid w:val="00F42381"/>
    <w:rsid w:val="00FD13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547C"/>
    <w:pPr>
      <w:spacing w:after="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547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4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547C"/>
    <w:pPr>
      <w:spacing w:after="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547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4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10507</Words>
  <Characters>59890</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Antoni van Leeuwenhoek</Company>
  <LinksUpToDate>false</LinksUpToDate>
  <CharactersWithSpaces>70257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Maartje van Seijen</dc:creator>
  <cp:lastModifiedBy>Maartje van Seijen</cp:lastModifiedBy>
  <cp:revision>4</cp:revision>
  <dcterms:created xsi:type="dcterms:W3CDTF">2019-03-20T09:13:00Z</dcterms:created>
  <dcterms:modified xsi:type="dcterms:W3CDTF">2019-03-20T09:35:00Z</dcterms:modified>
</cp:coreProperties>
</file>