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79F5DE" w14:textId="38076DBE" w:rsidR="003B7B54" w:rsidRPr="00CB160C" w:rsidRDefault="008771E8">
      <w:pPr>
        <w:rPr>
          <w:sz w:val="22"/>
          <w:szCs w:val="22"/>
        </w:rPr>
      </w:pPr>
      <w:r>
        <w:rPr>
          <w:sz w:val="22"/>
          <w:szCs w:val="22"/>
        </w:rPr>
        <w:t>Supplement</w:t>
      </w:r>
      <w:r w:rsidR="00A95B9D">
        <w:rPr>
          <w:sz w:val="22"/>
          <w:szCs w:val="22"/>
        </w:rPr>
        <w:t>ary information -</w:t>
      </w:r>
      <w:r w:rsidR="008018BD">
        <w:rPr>
          <w:sz w:val="22"/>
          <w:szCs w:val="22"/>
        </w:rPr>
        <w:t xml:space="preserve"> Additional </w:t>
      </w:r>
      <w:r w:rsidR="00076B97">
        <w:rPr>
          <w:sz w:val="22"/>
          <w:szCs w:val="22"/>
        </w:rPr>
        <w:t xml:space="preserve">protocol </w:t>
      </w:r>
      <w:r w:rsidR="008018BD">
        <w:rPr>
          <w:sz w:val="22"/>
          <w:szCs w:val="22"/>
        </w:rPr>
        <w:t>Information</w:t>
      </w:r>
    </w:p>
    <w:p w14:paraId="4540D6BB" w14:textId="77777777" w:rsidR="00D01E5F" w:rsidRPr="009013AD" w:rsidRDefault="00D01E5F">
      <w:pPr>
        <w:rPr>
          <w:sz w:val="22"/>
          <w:szCs w:val="22"/>
          <w:lang w:val="en-US"/>
        </w:rPr>
      </w:pPr>
    </w:p>
    <w:p w14:paraId="6D42853B" w14:textId="75DB31C9" w:rsidR="005C2F9B" w:rsidRPr="00CB160C" w:rsidRDefault="00CC7324" w:rsidP="00CC7324">
      <w:pPr>
        <w:jc w:val="both"/>
        <w:rPr>
          <w:b/>
          <w:i/>
          <w:sz w:val="22"/>
          <w:szCs w:val="22"/>
        </w:rPr>
      </w:pPr>
      <w:r>
        <w:rPr>
          <w:b/>
          <w:i/>
          <w:sz w:val="22"/>
          <w:szCs w:val="22"/>
        </w:rPr>
        <w:t>1</w:t>
      </w:r>
      <w:r w:rsidR="009013AD">
        <w:rPr>
          <w:b/>
          <w:i/>
          <w:sz w:val="22"/>
          <w:szCs w:val="22"/>
        </w:rPr>
        <w:t>a</w:t>
      </w:r>
      <w:r>
        <w:rPr>
          <w:b/>
          <w:i/>
          <w:sz w:val="22"/>
          <w:szCs w:val="22"/>
        </w:rPr>
        <w:t xml:space="preserve"> -</w:t>
      </w:r>
      <w:r w:rsidR="005C2F9B" w:rsidRPr="00CB160C">
        <w:rPr>
          <w:b/>
          <w:i/>
          <w:sz w:val="22"/>
          <w:szCs w:val="22"/>
        </w:rPr>
        <w:t xml:space="preserve"> patient eligibility criteria information:</w:t>
      </w:r>
    </w:p>
    <w:p w14:paraId="47F93F0F" w14:textId="3FF4EC8E" w:rsidR="005C2F9B" w:rsidRPr="00CB160C" w:rsidRDefault="005C2F9B" w:rsidP="00CC7324">
      <w:pPr>
        <w:jc w:val="both"/>
        <w:rPr>
          <w:b/>
          <w:i/>
          <w:sz w:val="22"/>
          <w:szCs w:val="22"/>
        </w:rPr>
      </w:pPr>
    </w:p>
    <w:p w14:paraId="78262429" w14:textId="09288DEE" w:rsidR="00404504" w:rsidRDefault="005C2F9B" w:rsidP="00CC7324">
      <w:pPr>
        <w:jc w:val="both"/>
        <w:rPr>
          <w:rFonts w:eastAsia="Times New Roman" w:cstheme="minorHAnsi"/>
          <w:sz w:val="22"/>
          <w:szCs w:val="22"/>
        </w:rPr>
      </w:pPr>
      <w:r w:rsidRPr="00CB160C">
        <w:rPr>
          <w:rFonts w:eastAsia="Times New Roman" w:cstheme="minorHAnsi"/>
          <w:sz w:val="22"/>
          <w:szCs w:val="22"/>
        </w:rPr>
        <w:t xml:space="preserve">Patients were excluded if they were pregnant or nursing, had received anticancer treatment </w:t>
      </w:r>
      <w:r w:rsidRPr="00CB160C">
        <w:rPr>
          <w:rFonts w:eastAsia="Times New Roman" w:cs="Arial"/>
          <w:color w:val="222222"/>
          <w:sz w:val="22"/>
          <w:szCs w:val="22"/>
          <w:shd w:val="clear" w:color="auto" w:fill="FFFFFF"/>
        </w:rPr>
        <w:t>≤</w:t>
      </w:r>
      <w:r w:rsidRPr="00CB160C">
        <w:rPr>
          <w:rFonts w:eastAsia="Times New Roman" w:cstheme="minorHAnsi"/>
          <w:sz w:val="22"/>
          <w:szCs w:val="22"/>
        </w:rPr>
        <w:t xml:space="preserve">4 weeks prior to first dose of study drug (with the exception of limited palliative field radiotherapy </w:t>
      </w:r>
      <w:r w:rsidRPr="00CB160C">
        <w:rPr>
          <w:rFonts w:eastAsia="Times New Roman" w:cs="Arial"/>
          <w:color w:val="222222"/>
          <w:sz w:val="22"/>
          <w:szCs w:val="22"/>
          <w:shd w:val="clear" w:color="auto" w:fill="FFFFFF"/>
        </w:rPr>
        <w:t>≤</w:t>
      </w:r>
      <w:r w:rsidRPr="00CB160C">
        <w:rPr>
          <w:rFonts w:eastAsia="Times New Roman" w:cstheme="minorHAnsi"/>
          <w:sz w:val="22"/>
          <w:szCs w:val="22"/>
        </w:rPr>
        <w:t>2 weeks prior to first dose); had unresolved toxicities from prior therapy &gt;grade 1; had clinically significant chronic, active, or acute infections; had uncontrolled severe hypertension; had active or underlying cardiac disorders; gastrointestinal disorders impairing administration or absorption of oral agents</w:t>
      </w:r>
      <w:r w:rsidR="00404504" w:rsidRPr="00404504">
        <w:rPr>
          <w:rFonts w:eastAsia="Times New Roman" w:cstheme="minorHAnsi"/>
          <w:sz w:val="22"/>
          <w:szCs w:val="22"/>
        </w:rPr>
        <w:t xml:space="preserve"> </w:t>
      </w:r>
      <w:r w:rsidR="00404504">
        <w:rPr>
          <w:rFonts w:eastAsia="Times New Roman" w:cstheme="minorHAnsi"/>
          <w:sz w:val="22"/>
          <w:szCs w:val="22"/>
        </w:rPr>
        <w:t xml:space="preserve">or </w:t>
      </w:r>
      <w:r w:rsidR="00404504" w:rsidRPr="00CB160C">
        <w:rPr>
          <w:rFonts w:eastAsia="Times New Roman" w:cstheme="minorHAnsi"/>
          <w:sz w:val="22"/>
          <w:szCs w:val="22"/>
        </w:rPr>
        <w:t xml:space="preserve">were </w:t>
      </w:r>
      <w:r w:rsidR="00DC52C4">
        <w:rPr>
          <w:rFonts w:eastAsia="Times New Roman" w:cstheme="minorHAnsi"/>
          <w:sz w:val="22"/>
          <w:szCs w:val="22"/>
        </w:rPr>
        <w:t>un</w:t>
      </w:r>
      <w:r w:rsidR="00404504" w:rsidRPr="00CB160C">
        <w:rPr>
          <w:rFonts w:eastAsia="Times New Roman" w:cstheme="minorHAnsi"/>
          <w:sz w:val="22"/>
          <w:szCs w:val="22"/>
        </w:rPr>
        <w:t>able to swallow oral medication</w:t>
      </w:r>
      <w:r w:rsidRPr="00CB160C">
        <w:rPr>
          <w:rFonts w:eastAsia="Times New Roman" w:cstheme="minorHAnsi"/>
          <w:sz w:val="22"/>
          <w:szCs w:val="22"/>
        </w:rPr>
        <w:t xml:space="preserve">; had major surgery </w:t>
      </w:r>
      <w:r w:rsidRPr="00CB160C">
        <w:rPr>
          <w:rFonts w:eastAsia="Times New Roman" w:cs="Arial"/>
          <w:color w:val="222222"/>
          <w:sz w:val="22"/>
          <w:szCs w:val="22"/>
          <w:shd w:val="clear" w:color="auto" w:fill="FFFFFF"/>
        </w:rPr>
        <w:t>≤</w:t>
      </w:r>
      <w:r w:rsidRPr="00CB160C">
        <w:rPr>
          <w:rFonts w:eastAsia="Times New Roman" w:cstheme="minorHAnsi"/>
          <w:sz w:val="22"/>
          <w:szCs w:val="22"/>
        </w:rPr>
        <w:t>21 days prior to starting therapy</w:t>
      </w:r>
      <w:r w:rsidR="00404504">
        <w:rPr>
          <w:rFonts w:eastAsia="Times New Roman" w:cstheme="minorHAnsi"/>
          <w:sz w:val="22"/>
          <w:szCs w:val="22"/>
        </w:rPr>
        <w:t>; had</w:t>
      </w:r>
      <w:r w:rsidR="00404504" w:rsidRPr="00052AA4">
        <w:rPr>
          <w:rFonts w:eastAsia="Times New Roman" w:cstheme="minorHAnsi"/>
          <w:sz w:val="22"/>
          <w:szCs w:val="22"/>
        </w:rPr>
        <w:t xml:space="preserve"> known central nervous system metastases, </w:t>
      </w:r>
      <w:r w:rsidR="00404504">
        <w:rPr>
          <w:rFonts w:eastAsia="Times New Roman" w:cstheme="minorHAnsi"/>
          <w:sz w:val="22"/>
          <w:szCs w:val="22"/>
        </w:rPr>
        <w:t>unless</w:t>
      </w:r>
      <w:r w:rsidR="00404504" w:rsidRPr="00052AA4">
        <w:rPr>
          <w:rFonts w:eastAsia="Times New Roman" w:cstheme="minorHAnsi"/>
          <w:sz w:val="22"/>
          <w:szCs w:val="22"/>
        </w:rPr>
        <w:t xml:space="preserve"> clinically and radiographically stable disease for 3 months and not </w:t>
      </w:r>
      <w:r w:rsidR="00404504">
        <w:rPr>
          <w:rFonts w:eastAsia="Times New Roman" w:cstheme="minorHAnsi"/>
          <w:sz w:val="22"/>
          <w:szCs w:val="22"/>
        </w:rPr>
        <w:t>requiring</w:t>
      </w:r>
      <w:r w:rsidR="00404504" w:rsidRPr="00052AA4">
        <w:rPr>
          <w:rFonts w:eastAsia="Times New Roman" w:cstheme="minorHAnsi"/>
          <w:sz w:val="22"/>
          <w:szCs w:val="22"/>
        </w:rPr>
        <w:t xml:space="preserve"> steroids or anticonvulsants; </w:t>
      </w:r>
      <w:r w:rsidR="00404504">
        <w:rPr>
          <w:rFonts w:eastAsia="Times New Roman" w:cstheme="minorHAnsi"/>
          <w:sz w:val="22"/>
          <w:szCs w:val="22"/>
        </w:rPr>
        <w:t xml:space="preserve">were taking </w:t>
      </w:r>
      <w:r w:rsidR="00404504" w:rsidRPr="00052AA4">
        <w:rPr>
          <w:rFonts w:eastAsia="Times New Roman" w:cstheme="minorHAnsi"/>
          <w:sz w:val="22"/>
          <w:szCs w:val="22"/>
        </w:rPr>
        <w:t xml:space="preserve">full dose warfarin or </w:t>
      </w:r>
      <w:r w:rsidR="00404504">
        <w:rPr>
          <w:rFonts w:eastAsia="Times New Roman" w:cstheme="minorHAnsi"/>
          <w:sz w:val="22"/>
          <w:szCs w:val="22"/>
        </w:rPr>
        <w:t xml:space="preserve">other </w:t>
      </w:r>
      <w:r w:rsidR="00404504" w:rsidRPr="00052AA4">
        <w:rPr>
          <w:rFonts w:eastAsia="Times New Roman" w:cstheme="minorHAnsi"/>
          <w:sz w:val="22"/>
          <w:szCs w:val="22"/>
        </w:rPr>
        <w:t>strong CYP3A4 inhibitors</w:t>
      </w:r>
      <w:r w:rsidR="00404504">
        <w:rPr>
          <w:rFonts w:eastAsia="Times New Roman" w:cstheme="minorHAnsi"/>
          <w:sz w:val="22"/>
          <w:szCs w:val="22"/>
        </w:rPr>
        <w:t xml:space="preserve">, </w:t>
      </w:r>
      <w:r w:rsidR="00404504" w:rsidRPr="00CB160C">
        <w:rPr>
          <w:rFonts w:eastAsia="Times New Roman" w:cstheme="minorHAnsi"/>
          <w:sz w:val="22"/>
          <w:szCs w:val="22"/>
        </w:rPr>
        <w:t xml:space="preserve">and </w:t>
      </w:r>
      <w:r w:rsidR="00404504">
        <w:rPr>
          <w:rFonts w:eastAsia="Times New Roman" w:cstheme="minorHAnsi"/>
          <w:sz w:val="22"/>
          <w:szCs w:val="22"/>
        </w:rPr>
        <w:t xml:space="preserve">had </w:t>
      </w:r>
      <w:r w:rsidR="00404504" w:rsidRPr="00CB160C">
        <w:rPr>
          <w:rFonts w:eastAsia="Times New Roman" w:cstheme="minorHAnsi"/>
          <w:sz w:val="22"/>
          <w:szCs w:val="22"/>
        </w:rPr>
        <w:t>a life expectancy &gt;3 months.</w:t>
      </w:r>
    </w:p>
    <w:p w14:paraId="21E41306" w14:textId="77777777" w:rsidR="00404504" w:rsidRDefault="00404504" w:rsidP="00CC7324">
      <w:pPr>
        <w:jc w:val="both"/>
        <w:rPr>
          <w:rFonts w:eastAsia="Times New Roman" w:cstheme="minorHAnsi"/>
          <w:sz w:val="22"/>
          <w:szCs w:val="22"/>
        </w:rPr>
      </w:pPr>
    </w:p>
    <w:p w14:paraId="22A555DA" w14:textId="227AD4CC" w:rsidR="005C2F9B" w:rsidRPr="00CB160C" w:rsidRDefault="00404504" w:rsidP="00CC7324">
      <w:pPr>
        <w:jc w:val="both"/>
        <w:rPr>
          <w:rFonts w:eastAsia="Times New Roman" w:cstheme="minorHAnsi"/>
          <w:sz w:val="22"/>
          <w:szCs w:val="22"/>
        </w:rPr>
      </w:pPr>
      <w:r>
        <w:rPr>
          <w:rFonts w:eastAsia="Times New Roman" w:cstheme="minorHAnsi"/>
          <w:sz w:val="22"/>
          <w:szCs w:val="22"/>
        </w:rPr>
        <w:t xml:space="preserve">Patients must have </w:t>
      </w:r>
      <w:r w:rsidR="005C2F9B" w:rsidRPr="00CB160C">
        <w:rPr>
          <w:rFonts w:eastAsia="Times New Roman" w:cstheme="minorHAnsi"/>
          <w:sz w:val="22"/>
          <w:szCs w:val="22"/>
        </w:rPr>
        <w:t>had adequate liver, renal, bone marrow, and cardiac functio</w:t>
      </w:r>
      <w:r>
        <w:rPr>
          <w:rFonts w:eastAsia="Times New Roman" w:cstheme="minorHAnsi"/>
          <w:sz w:val="22"/>
          <w:szCs w:val="22"/>
        </w:rPr>
        <w:t>n.</w:t>
      </w:r>
      <w:r w:rsidR="005C2F9B" w:rsidRPr="00CB160C">
        <w:rPr>
          <w:rFonts w:eastAsia="Times New Roman" w:cstheme="minorHAnsi"/>
          <w:sz w:val="22"/>
          <w:szCs w:val="22"/>
        </w:rPr>
        <w:t xml:space="preserve"> </w:t>
      </w:r>
    </w:p>
    <w:p w14:paraId="04670D13" w14:textId="006D404A" w:rsidR="005C2F9B" w:rsidRPr="00CB160C" w:rsidRDefault="005C2F9B" w:rsidP="00CC7324">
      <w:pPr>
        <w:jc w:val="both"/>
        <w:rPr>
          <w:rFonts w:eastAsia="Times New Roman" w:cstheme="minorHAnsi"/>
          <w:sz w:val="22"/>
          <w:szCs w:val="22"/>
        </w:rPr>
      </w:pPr>
    </w:p>
    <w:p w14:paraId="7A47F4B3" w14:textId="2247E662" w:rsidR="005C2F9B" w:rsidRPr="00CB160C" w:rsidRDefault="00CC7324" w:rsidP="00CC7324">
      <w:pPr>
        <w:jc w:val="both"/>
        <w:rPr>
          <w:rFonts w:eastAsia="Times New Roman" w:cstheme="minorHAnsi"/>
          <w:b/>
          <w:i/>
          <w:sz w:val="22"/>
          <w:szCs w:val="22"/>
        </w:rPr>
      </w:pPr>
      <w:r>
        <w:rPr>
          <w:rFonts w:eastAsia="Times New Roman" w:cstheme="minorHAnsi"/>
          <w:b/>
          <w:i/>
          <w:sz w:val="22"/>
          <w:szCs w:val="22"/>
        </w:rPr>
        <w:t>1</w:t>
      </w:r>
      <w:r w:rsidR="009013AD">
        <w:rPr>
          <w:rFonts w:eastAsia="Times New Roman" w:cstheme="minorHAnsi"/>
          <w:b/>
          <w:i/>
          <w:sz w:val="22"/>
          <w:szCs w:val="22"/>
        </w:rPr>
        <w:t>b</w:t>
      </w:r>
      <w:r>
        <w:rPr>
          <w:rFonts w:eastAsia="Times New Roman" w:cstheme="minorHAnsi"/>
          <w:b/>
          <w:i/>
          <w:sz w:val="22"/>
          <w:szCs w:val="22"/>
        </w:rPr>
        <w:t xml:space="preserve"> - </w:t>
      </w:r>
      <w:r w:rsidR="005C2F9B" w:rsidRPr="00CB160C">
        <w:rPr>
          <w:rFonts w:eastAsia="Times New Roman" w:cstheme="minorHAnsi"/>
          <w:b/>
          <w:i/>
          <w:sz w:val="22"/>
          <w:szCs w:val="22"/>
        </w:rPr>
        <w:t>study design and objective information:</w:t>
      </w:r>
    </w:p>
    <w:p w14:paraId="02943152" w14:textId="0A34BD61" w:rsidR="005C2F9B" w:rsidRPr="00CB160C" w:rsidRDefault="005C2F9B" w:rsidP="00CC7324">
      <w:pPr>
        <w:jc w:val="both"/>
        <w:rPr>
          <w:rFonts w:eastAsia="Times New Roman" w:cstheme="minorHAnsi"/>
          <w:sz w:val="22"/>
          <w:szCs w:val="22"/>
        </w:rPr>
      </w:pPr>
    </w:p>
    <w:p w14:paraId="2451FAA0" w14:textId="342AB3E2" w:rsidR="005C2F9B" w:rsidRPr="00CB160C" w:rsidRDefault="005C2F9B" w:rsidP="00CC7324">
      <w:pPr>
        <w:jc w:val="both"/>
        <w:rPr>
          <w:rFonts w:eastAsia="Times New Roman" w:cstheme="minorHAnsi"/>
          <w:sz w:val="22"/>
          <w:szCs w:val="22"/>
        </w:rPr>
      </w:pPr>
      <w:r w:rsidRPr="00CB160C">
        <w:rPr>
          <w:rFonts w:cstheme="minorHAnsi"/>
          <w:sz w:val="22"/>
          <w:szCs w:val="22"/>
          <w:lang w:val="en-US"/>
        </w:rPr>
        <w:t>Starting dose of CFI-400945 in humans was based on 1/10</w:t>
      </w:r>
      <w:r w:rsidRPr="00CB160C">
        <w:rPr>
          <w:rFonts w:cstheme="minorHAnsi"/>
          <w:sz w:val="22"/>
          <w:szCs w:val="22"/>
          <w:vertAlign w:val="superscript"/>
          <w:lang w:val="en-US"/>
        </w:rPr>
        <w:t>th</w:t>
      </w:r>
      <w:r w:rsidRPr="00CB160C">
        <w:rPr>
          <w:rFonts w:cstheme="minorHAnsi"/>
          <w:sz w:val="22"/>
          <w:szCs w:val="22"/>
          <w:lang w:val="en-US"/>
        </w:rPr>
        <w:t xml:space="preserve"> of the severely toxic dose affecting 10% of animals (STD10; rats being the more sensitive species) equating to a fixed dose of 3 mg/day in humans (or 1.8 mg/m</w:t>
      </w:r>
      <w:r w:rsidRPr="00CB160C">
        <w:rPr>
          <w:rFonts w:cstheme="minorHAnsi"/>
          <w:sz w:val="22"/>
          <w:szCs w:val="22"/>
          <w:vertAlign w:val="superscript"/>
          <w:lang w:val="en-US"/>
        </w:rPr>
        <w:t>2</w:t>
      </w:r>
      <w:r w:rsidRPr="00CB160C">
        <w:rPr>
          <w:rFonts w:cstheme="minorHAnsi"/>
          <w:sz w:val="22"/>
          <w:szCs w:val="22"/>
          <w:lang w:val="en-US"/>
        </w:rPr>
        <w:t xml:space="preserve"> for a BSA of 1.7 m</w:t>
      </w:r>
      <w:r w:rsidRPr="00CB160C">
        <w:rPr>
          <w:rFonts w:cstheme="minorHAnsi"/>
          <w:sz w:val="22"/>
          <w:szCs w:val="22"/>
          <w:vertAlign w:val="superscript"/>
          <w:lang w:val="en-US"/>
        </w:rPr>
        <w:t>2</w:t>
      </w:r>
      <w:r w:rsidRPr="00CB160C">
        <w:rPr>
          <w:rFonts w:cstheme="minorHAnsi"/>
          <w:sz w:val="22"/>
          <w:szCs w:val="22"/>
          <w:lang w:val="en-US"/>
        </w:rPr>
        <w:t>).</w:t>
      </w:r>
      <w:r w:rsidRPr="00CB160C">
        <w:rPr>
          <w:rFonts w:cstheme="minorHAnsi"/>
          <w:sz w:val="22"/>
          <w:szCs w:val="22"/>
        </w:rPr>
        <w:t xml:space="preserve">  Three to six evaluable patients per treatment cohort were assigned to receive CFI-400945 continuously in 28-day treatment cycles.</w:t>
      </w:r>
      <w:r w:rsidR="00D01E5F">
        <w:rPr>
          <w:rFonts w:cstheme="minorHAnsi"/>
          <w:sz w:val="22"/>
          <w:szCs w:val="22"/>
        </w:rPr>
        <w:t xml:space="preserve"> </w:t>
      </w:r>
      <w:r w:rsidRPr="00CB160C">
        <w:rPr>
          <w:rFonts w:cstheme="minorHAnsi"/>
          <w:sz w:val="22"/>
          <w:szCs w:val="22"/>
        </w:rPr>
        <w:t>D</w:t>
      </w:r>
      <w:r w:rsidRPr="00CB160C">
        <w:rPr>
          <w:rFonts w:eastAsia="Times New Roman" w:cstheme="minorHAnsi"/>
          <w:color w:val="222222"/>
          <w:sz w:val="22"/>
          <w:szCs w:val="22"/>
          <w:shd w:val="clear" w:color="auto" w:fill="FFFFFF"/>
        </w:rPr>
        <w:t>ose escalations occurred in 100% increments for individual dosing cohorts up to 32 mg/day. Subsequent dose escalations continued in increments not exceeding 50%, depending on toxicities experienced, and with the approval of local Investigators and the external Medical Monitor.</w:t>
      </w:r>
      <w:r w:rsidR="00D01E5F">
        <w:rPr>
          <w:rFonts w:eastAsia="Times New Roman" w:cstheme="minorHAnsi"/>
          <w:color w:val="222222"/>
          <w:sz w:val="22"/>
          <w:szCs w:val="22"/>
          <w:shd w:val="clear" w:color="auto" w:fill="FFFFFF"/>
        </w:rPr>
        <w:t xml:space="preserve"> Dosing levels ranged from </w:t>
      </w:r>
      <w:r w:rsidR="00D01E5F" w:rsidRPr="00052AA4">
        <w:rPr>
          <w:rFonts w:cstheme="minorHAnsi"/>
          <w:sz w:val="22"/>
          <w:szCs w:val="22"/>
        </w:rPr>
        <w:t>3</w:t>
      </w:r>
      <w:r w:rsidR="00D01E5F">
        <w:rPr>
          <w:rFonts w:cstheme="minorHAnsi"/>
          <w:sz w:val="22"/>
          <w:szCs w:val="22"/>
        </w:rPr>
        <w:t xml:space="preserve"> </w:t>
      </w:r>
      <w:r w:rsidR="00D01E5F" w:rsidRPr="00052AA4">
        <w:rPr>
          <w:rFonts w:cstheme="minorHAnsi"/>
          <w:sz w:val="22"/>
          <w:szCs w:val="22"/>
        </w:rPr>
        <w:t>mg, 6</w:t>
      </w:r>
      <w:r w:rsidR="00D01E5F">
        <w:rPr>
          <w:rFonts w:cstheme="minorHAnsi"/>
          <w:sz w:val="22"/>
          <w:szCs w:val="22"/>
        </w:rPr>
        <w:t xml:space="preserve"> </w:t>
      </w:r>
      <w:r w:rsidR="00D01E5F" w:rsidRPr="00052AA4">
        <w:rPr>
          <w:rFonts w:cstheme="minorHAnsi"/>
          <w:sz w:val="22"/>
          <w:szCs w:val="22"/>
        </w:rPr>
        <w:t>mg, 11</w:t>
      </w:r>
      <w:r w:rsidR="00D01E5F">
        <w:rPr>
          <w:rFonts w:cstheme="minorHAnsi"/>
          <w:sz w:val="22"/>
          <w:szCs w:val="22"/>
        </w:rPr>
        <w:t xml:space="preserve"> </w:t>
      </w:r>
      <w:r w:rsidR="00D01E5F" w:rsidRPr="00052AA4">
        <w:rPr>
          <w:rFonts w:cstheme="minorHAnsi"/>
          <w:sz w:val="22"/>
          <w:szCs w:val="22"/>
        </w:rPr>
        <w:t>mg, 16</w:t>
      </w:r>
      <w:r w:rsidR="00D01E5F">
        <w:rPr>
          <w:rFonts w:cstheme="minorHAnsi"/>
          <w:sz w:val="22"/>
          <w:szCs w:val="22"/>
        </w:rPr>
        <w:t xml:space="preserve"> </w:t>
      </w:r>
      <w:r w:rsidR="00D01E5F" w:rsidRPr="00052AA4">
        <w:rPr>
          <w:rFonts w:cstheme="minorHAnsi"/>
          <w:sz w:val="22"/>
          <w:szCs w:val="22"/>
        </w:rPr>
        <w:t>mg, 24</w:t>
      </w:r>
      <w:r w:rsidR="00D01E5F">
        <w:rPr>
          <w:rFonts w:cstheme="minorHAnsi"/>
          <w:sz w:val="22"/>
          <w:szCs w:val="22"/>
        </w:rPr>
        <w:t xml:space="preserve"> </w:t>
      </w:r>
      <w:r w:rsidR="00D01E5F" w:rsidRPr="00052AA4">
        <w:rPr>
          <w:rFonts w:cstheme="minorHAnsi"/>
          <w:sz w:val="22"/>
          <w:szCs w:val="22"/>
        </w:rPr>
        <w:t>mg, 32</w:t>
      </w:r>
      <w:r w:rsidR="00D01E5F">
        <w:rPr>
          <w:rFonts w:cstheme="minorHAnsi"/>
          <w:sz w:val="22"/>
          <w:szCs w:val="22"/>
        </w:rPr>
        <w:t xml:space="preserve"> </w:t>
      </w:r>
      <w:r w:rsidR="00D01E5F" w:rsidRPr="00052AA4">
        <w:rPr>
          <w:rFonts w:cstheme="minorHAnsi"/>
          <w:sz w:val="22"/>
          <w:szCs w:val="22"/>
        </w:rPr>
        <w:t>mg, 48</w:t>
      </w:r>
      <w:r w:rsidR="00D01E5F">
        <w:rPr>
          <w:rFonts w:cstheme="minorHAnsi"/>
          <w:sz w:val="22"/>
          <w:szCs w:val="22"/>
        </w:rPr>
        <w:t xml:space="preserve"> </w:t>
      </w:r>
      <w:r w:rsidR="00D01E5F" w:rsidRPr="00052AA4">
        <w:rPr>
          <w:rFonts w:cstheme="minorHAnsi"/>
          <w:sz w:val="22"/>
          <w:szCs w:val="22"/>
        </w:rPr>
        <w:t>mg, 72</w:t>
      </w:r>
      <w:r w:rsidR="00D01E5F">
        <w:rPr>
          <w:rFonts w:cstheme="minorHAnsi"/>
          <w:sz w:val="22"/>
          <w:szCs w:val="22"/>
        </w:rPr>
        <w:t xml:space="preserve"> </w:t>
      </w:r>
      <w:r w:rsidR="00D01E5F" w:rsidRPr="00052AA4">
        <w:rPr>
          <w:rFonts w:cstheme="minorHAnsi"/>
          <w:sz w:val="22"/>
          <w:szCs w:val="22"/>
        </w:rPr>
        <w:t xml:space="preserve">mg, </w:t>
      </w:r>
      <w:r w:rsidR="00D01E5F">
        <w:rPr>
          <w:rFonts w:cstheme="minorHAnsi"/>
          <w:sz w:val="22"/>
          <w:szCs w:val="22"/>
        </w:rPr>
        <w:t xml:space="preserve">and </w:t>
      </w:r>
      <w:r w:rsidR="00D01E5F" w:rsidRPr="00052AA4">
        <w:rPr>
          <w:rFonts w:cstheme="minorHAnsi"/>
          <w:sz w:val="22"/>
          <w:szCs w:val="22"/>
        </w:rPr>
        <w:t>96</w:t>
      </w:r>
      <w:r w:rsidR="00D01E5F">
        <w:rPr>
          <w:rFonts w:cstheme="minorHAnsi"/>
          <w:sz w:val="22"/>
          <w:szCs w:val="22"/>
        </w:rPr>
        <w:t xml:space="preserve"> </w:t>
      </w:r>
      <w:r w:rsidR="00D01E5F" w:rsidRPr="00052AA4">
        <w:rPr>
          <w:rFonts w:cstheme="minorHAnsi"/>
          <w:sz w:val="22"/>
          <w:szCs w:val="22"/>
        </w:rPr>
        <w:t>mg</w:t>
      </w:r>
      <w:r w:rsidR="00D01E5F">
        <w:rPr>
          <w:rFonts w:cstheme="minorHAnsi"/>
          <w:sz w:val="22"/>
          <w:szCs w:val="22"/>
        </w:rPr>
        <w:t xml:space="preserve"> in the 3+3 dose-escalation schema.</w:t>
      </w:r>
    </w:p>
    <w:p w14:paraId="7972885F" w14:textId="136386E7" w:rsidR="005C2F9B" w:rsidRDefault="005C2F9B" w:rsidP="00CC7324">
      <w:pPr>
        <w:jc w:val="both"/>
        <w:rPr>
          <w:rFonts w:eastAsia="Times New Roman" w:cstheme="minorHAnsi"/>
          <w:sz w:val="22"/>
          <w:szCs w:val="22"/>
        </w:rPr>
      </w:pPr>
    </w:p>
    <w:p w14:paraId="6C3B00E4" w14:textId="22FE2400" w:rsidR="00CB160C" w:rsidRDefault="00CC7324" w:rsidP="00CC7324">
      <w:pPr>
        <w:jc w:val="both"/>
        <w:rPr>
          <w:rFonts w:eastAsia="Times New Roman" w:cstheme="minorHAnsi"/>
          <w:sz w:val="22"/>
          <w:szCs w:val="22"/>
        </w:rPr>
      </w:pPr>
      <w:r>
        <w:rPr>
          <w:rFonts w:eastAsia="Times New Roman" w:cstheme="minorHAnsi"/>
          <w:b/>
          <w:i/>
          <w:sz w:val="22"/>
          <w:szCs w:val="22"/>
        </w:rPr>
        <w:t>1</w:t>
      </w:r>
      <w:r w:rsidR="009013AD">
        <w:rPr>
          <w:rFonts w:eastAsia="Times New Roman" w:cstheme="minorHAnsi"/>
          <w:b/>
          <w:i/>
          <w:sz w:val="22"/>
          <w:szCs w:val="22"/>
        </w:rPr>
        <w:t>c</w:t>
      </w:r>
      <w:r>
        <w:rPr>
          <w:rFonts w:eastAsia="Times New Roman" w:cstheme="minorHAnsi"/>
          <w:b/>
          <w:i/>
          <w:sz w:val="22"/>
          <w:szCs w:val="22"/>
        </w:rPr>
        <w:t xml:space="preserve"> -</w:t>
      </w:r>
      <w:r w:rsidR="00CB160C">
        <w:rPr>
          <w:rFonts w:eastAsia="Times New Roman" w:cstheme="minorHAnsi"/>
          <w:b/>
          <w:i/>
          <w:sz w:val="22"/>
          <w:szCs w:val="22"/>
        </w:rPr>
        <w:t xml:space="preserve"> MTD, DLT, and RP2D information</w:t>
      </w:r>
      <w:r w:rsidR="008E6139">
        <w:rPr>
          <w:rFonts w:eastAsia="Times New Roman" w:cstheme="minorHAnsi"/>
          <w:b/>
          <w:i/>
          <w:sz w:val="22"/>
          <w:szCs w:val="22"/>
        </w:rPr>
        <w:t>:</w:t>
      </w:r>
    </w:p>
    <w:p w14:paraId="2DAAFAC8" w14:textId="77777777" w:rsidR="00CB160C" w:rsidRPr="00CB160C" w:rsidRDefault="00CB160C" w:rsidP="00CC7324">
      <w:pPr>
        <w:jc w:val="both"/>
        <w:rPr>
          <w:rFonts w:eastAsia="Times New Roman" w:cstheme="minorHAnsi"/>
          <w:sz w:val="22"/>
          <w:szCs w:val="22"/>
        </w:rPr>
      </w:pPr>
    </w:p>
    <w:p w14:paraId="7D6947E4" w14:textId="77777777" w:rsidR="00DC52C4" w:rsidRDefault="00084436" w:rsidP="00CC7324">
      <w:pPr>
        <w:jc w:val="both"/>
        <w:rPr>
          <w:rFonts w:eastAsia="Times New Roman" w:cstheme="minorHAnsi"/>
          <w:color w:val="222222"/>
          <w:sz w:val="22"/>
          <w:szCs w:val="22"/>
          <w:shd w:val="clear" w:color="auto" w:fill="FFFFFF"/>
        </w:rPr>
      </w:pPr>
      <w:r>
        <w:rPr>
          <w:rFonts w:eastAsia="Times New Roman" w:cstheme="minorHAnsi"/>
          <w:color w:val="222222"/>
          <w:sz w:val="22"/>
          <w:szCs w:val="22"/>
          <w:shd w:val="clear" w:color="auto" w:fill="FFFFFF"/>
        </w:rPr>
        <w:t xml:space="preserve">Hematologic </w:t>
      </w:r>
      <w:r w:rsidRPr="00052AA4">
        <w:rPr>
          <w:rFonts w:eastAsia="Times New Roman" w:cstheme="minorHAnsi"/>
          <w:color w:val="222222"/>
          <w:sz w:val="22"/>
          <w:szCs w:val="22"/>
          <w:shd w:val="clear" w:color="auto" w:fill="FFFFFF"/>
        </w:rPr>
        <w:t>DLT</w:t>
      </w:r>
      <w:r>
        <w:rPr>
          <w:rFonts w:eastAsia="Times New Roman" w:cstheme="minorHAnsi"/>
          <w:color w:val="222222"/>
          <w:sz w:val="22"/>
          <w:szCs w:val="22"/>
          <w:shd w:val="clear" w:color="auto" w:fill="FFFFFF"/>
        </w:rPr>
        <w:t>s</w:t>
      </w:r>
      <w:r w:rsidRPr="00052AA4">
        <w:rPr>
          <w:rFonts w:eastAsia="Times New Roman" w:cstheme="minorHAnsi"/>
          <w:color w:val="222222"/>
          <w:sz w:val="22"/>
          <w:szCs w:val="22"/>
          <w:shd w:val="clear" w:color="auto" w:fill="FFFFFF"/>
        </w:rPr>
        <w:t xml:space="preserve"> w</w:t>
      </w:r>
      <w:r>
        <w:rPr>
          <w:rFonts w:eastAsia="Times New Roman" w:cstheme="minorHAnsi"/>
          <w:color w:val="222222"/>
          <w:sz w:val="22"/>
          <w:szCs w:val="22"/>
          <w:shd w:val="clear" w:color="auto" w:fill="FFFFFF"/>
        </w:rPr>
        <w:t>ere</w:t>
      </w:r>
      <w:r w:rsidRPr="00052AA4">
        <w:rPr>
          <w:rFonts w:eastAsia="Times New Roman" w:cstheme="minorHAnsi"/>
          <w:color w:val="222222"/>
          <w:sz w:val="22"/>
          <w:szCs w:val="22"/>
          <w:shd w:val="clear" w:color="auto" w:fill="FFFFFF"/>
        </w:rPr>
        <w:t xml:space="preserve"> </w:t>
      </w:r>
      <w:r>
        <w:rPr>
          <w:rFonts w:eastAsia="Times New Roman" w:cstheme="minorHAnsi"/>
          <w:color w:val="222222"/>
          <w:sz w:val="22"/>
          <w:szCs w:val="22"/>
          <w:shd w:val="clear" w:color="auto" w:fill="FFFFFF"/>
        </w:rPr>
        <w:t>defined</w:t>
      </w:r>
      <w:r w:rsidRPr="00052AA4">
        <w:rPr>
          <w:rFonts w:eastAsia="Times New Roman" w:cstheme="minorHAnsi"/>
          <w:color w:val="222222"/>
          <w:sz w:val="22"/>
          <w:szCs w:val="22"/>
          <w:shd w:val="clear" w:color="auto" w:fill="FFFFFF"/>
        </w:rPr>
        <w:t xml:space="preserve"> as </w:t>
      </w:r>
      <w:r>
        <w:rPr>
          <w:rFonts w:eastAsia="Times New Roman" w:cstheme="minorHAnsi"/>
          <w:color w:val="222222"/>
          <w:sz w:val="22"/>
          <w:szCs w:val="22"/>
          <w:shd w:val="clear" w:color="auto" w:fill="FFFFFF"/>
        </w:rPr>
        <w:t xml:space="preserve">drug-related anemia grade </w:t>
      </w:r>
      <w:r w:rsidRPr="00213685">
        <w:rPr>
          <w:rFonts w:eastAsia="Times New Roman" w:cstheme="minorHAnsi"/>
          <w:color w:val="222222"/>
          <w:sz w:val="22"/>
          <w:szCs w:val="22"/>
          <w:shd w:val="clear" w:color="auto" w:fill="FFFFFF"/>
        </w:rPr>
        <w:t>≥</w:t>
      </w:r>
      <w:r>
        <w:rPr>
          <w:rFonts w:eastAsia="Times New Roman" w:cstheme="minorHAnsi"/>
          <w:color w:val="222222"/>
          <w:sz w:val="22"/>
          <w:szCs w:val="22"/>
          <w:shd w:val="clear" w:color="auto" w:fill="FFFFFF"/>
        </w:rPr>
        <w:t xml:space="preserve">3; febrile neutropenia grade </w:t>
      </w:r>
      <w:r w:rsidRPr="00213685">
        <w:rPr>
          <w:rFonts w:eastAsia="Times New Roman" w:cstheme="minorHAnsi"/>
          <w:color w:val="222222"/>
          <w:sz w:val="22"/>
          <w:szCs w:val="22"/>
          <w:shd w:val="clear" w:color="auto" w:fill="FFFFFF"/>
        </w:rPr>
        <w:t>≥</w:t>
      </w:r>
      <w:r>
        <w:rPr>
          <w:rFonts w:eastAsia="Times New Roman" w:cstheme="minorHAnsi"/>
          <w:color w:val="222222"/>
          <w:sz w:val="22"/>
          <w:szCs w:val="22"/>
          <w:shd w:val="clear" w:color="auto" w:fill="FFFFFF"/>
        </w:rPr>
        <w:t xml:space="preserve">3, and/or neutropenia grade </w:t>
      </w:r>
      <w:r w:rsidRPr="00213685">
        <w:rPr>
          <w:rFonts w:eastAsia="Times New Roman" w:cstheme="minorHAnsi"/>
          <w:color w:val="222222"/>
          <w:sz w:val="22"/>
          <w:szCs w:val="22"/>
          <w:shd w:val="clear" w:color="auto" w:fill="FFFFFF"/>
        </w:rPr>
        <w:t>≥</w:t>
      </w:r>
      <w:r>
        <w:rPr>
          <w:rFonts w:eastAsia="Times New Roman" w:cstheme="minorHAnsi"/>
          <w:color w:val="222222"/>
          <w:sz w:val="22"/>
          <w:szCs w:val="22"/>
          <w:shd w:val="clear" w:color="auto" w:fill="FFFFFF"/>
        </w:rPr>
        <w:t xml:space="preserve">3 associated with infection; asymptomatic neutropenia grade </w:t>
      </w:r>
      <w:r w:rsidRPr="00213685">
        <w:rPr>
          <w:rFonts w:eastAsia="Times New Roman" w:cstheme="minorHAnsi"/>
          <w:color w:val="222222"/>
          <w:sz w:val="22"/>
          <w:szCs w:val="22"/>
          <w:shd w:val="clear" w:color="auto" w:fill="FFFFFF"/>
        </w:rPr>
        <w:t>≥</w:t>
      </w:r>
      <w:r>
        <w:rPr>
          <w:rFonts w:eastAsia="Times New Roman" w:cstheme="minorHAnsi"/>
          <w:color w:val="222222"/>
          <w:sz w:val="22"/>
          <w:szCs w:val="22"/>
          <w:shd w:val="clear" w:color="auto" w:fill="FFFFFF"/>
        </w:rPr>
        <w:t xml:space="preserve">3 that persisted for &gt;7 days; asymptomatic thrombocytopenia grade </w:t>
      </w:r>
      <w:r w:rsidRPr="00213685">
        <w:rPr>
          <w:rFonts w:eastAsia="Times New Roman" w:cstheme="minorHAnsi"/>
          <w:color w:val="222222"/>
          <w:sz w:val="22"/>
          <w:szCs w:val="22"/>
          <w:shd w:val="clear" w:color="auto" w:fill="FFFFFF"/>
        </w:rPr>
        <w:t>≥</w:t>
      </w:r>
      <w:r>
        <w:rPr>
          <w:rFonts w:eastAsia="Times New Roman" w:cstheme="minorHAnsi"/>
          <w:color w:val="222222"/>
          <w:sz w:val="22"/>
          <w:szCs w:val="22"/>
          <w:shd w:val="clear" w:color="auto" w:fill="FFFFFF"/>
        </w:rPr>
        <w:t xml:space="preserve">3 that persisted for &gt;7 days following treatment interruption; grade 3 thrombocytopenia associated with bleeding; or grade 4 thrombocytopenia. </w:t>
      </w:r>
    </w:p>
    <w:p w14:paraId="24CBEC7C" w14:textId="77777777" w:rsidR="00DC52C4" w:rsidRDefault="00DC52C4" w:rsidP="00CC7324">
      <w:pPr>
        <w:jc w:val="both"/>
        <w:rPr>
          <w:rFonts w:eastAsia="Times New Roman" w:cstheme="minorHAnsi"/>
          <w:color w:val="222222"/>
          <w:sz w:val="22"/>
          <w:szCs w:val="22"/>
          <w:shd w:val="clear" w:color="auto" w:fill="FFFFFF"/>
        </w:rPr>
      </w:pPr>
    </w:p>
    <w:p w14:paraId="602D1385" w14:textId="4AF7F056" w:rsidR="005C2F9B" w:rsidRDefault="00CB160C" w:rsidP="00CC7324">
      <w:pPr>
        <w:jc w:val="both"/>
        <w:rPr>
          <w:rFonts w:eastAsia="Times New Roman" w:cstheme="minorHAnsi"/>
          <w:sz w:val="22"/>
          <w:szCs w:val="22"/>
        </w:rPr>
      </w:pPr>
      <w:r>
        <w:rPr>
          <w:rFonts w:eastAsia="Times New Roman" w:cstheme="minorHAnsi"/>
          <w:color w:val="222222"/>
          <w:sz w:val="22"/>
          <w:szCs w:val="22"/>
          <w:shd w:val="clear" w:color="auto" w:fill="FFFFFF"/>
        </w:rPr>
        <w:t>Additional DLTs included the occurrence of any drug-related grade 3 non-hematological toxicity</w:t>
      </w:r>
      <w:r w:rsidRPr="00052AA4">
        <w:rPr>
          <w:rFonts w:eastAsia="Times New Roman" w:cstheme="minorHAnsi"/>
          <w:color w:val="222222"/>
          <w:sz w:val="22"/>
          <w:szCs w:val="22"/>
          <w:shd w:val="clear" w:color="auto" w:fill="FFFFFF"/>
        </w:rPr>
        <w:t xml:space="preserve"> despite maximal supportive care;</w:t>
      </w:r>
      <w:r>
        <w:rPr>
          <w:rFonts w:eastAsia="Times New Roman" w:cstheme="minorHAnsi"/>
          <w:color w:val="222222"/>
          <w:sz w:val="22"/>
          <w:szCs w:val="22"/>
          <w:shd w:val="clear" w:color="auto" w:fill="FFFFFF"/>
        </w:rPr>
        <w:t xml:space="preserve"> any other grade 4 hematological toxicity;</w:t>
      </w:r>
      <w:r w:rsidRPr="00052AA4">
        <w:rPr>
          <w:rFonts w:eastAsia="Times New Roman" w:cstheme="minorHAnsi"/>
          <w:color w:val="222222"/>
          <w:sz w:val="22"/>
          <w:szCs w:val="22"/>
          <w:shd w:val="clear" w:color="auto" w:fill="FFFFFF"/>
        </w:rPr>
        <w:t xml:space="preserve"> evidence of drug</w:t>
      </w:r>
      <w:r>
        <w:rPr>
          <w:rFonts w:eastAsia="Times New Roman" w:cstheme="minorHAnsi"/>
          <w:color w:val="222222"/>
          <w:sz w:val="22"/>
          <w:szCs w:val="22"/>
          <w:shd w:val="clear" w:color="auto" w:fill="FFFFFF"/>
        </w:rPr>
        <w:t>-</w:t>
      </w:r>
      <w:r w:rsidRPr="00052AA4">
        <w:rPr>
          <w:rFonts w:eastAsia="Times New Roman" w:cstheme="minorHAnsi"/>
          <w:color w:val="222222"/>
          <w:sz w:val="22"/>
          <w:szCs w:val="22"/>
          <w:shd w:val="clear" w:color="auto" w:fill="FFFFFF"/>
        </w:rPr>
        <w:t>induced liver injury (</w:t>
      </w:r>
      <w:proofErr w:type="spellStart"/>
      <w:r w:rsidRPr="00052AA4">
        <w:rPr>
          <w:rFonts w:eastAsia="Times New Roman" w:cstheme="minorHAnsi"/>
          <w:color w:val="222222"/>
          <w:sz w:val="22"/>
          <w:szCs w:val="22"/>
          <w:shd w:val="clear" w:color="auto" w:fill="FFFFFF"/>
        </w:rPr>
        <w:t>ie</w:t>
      </w:r>
      <w:proofErr w:type="spellEnd"/>
      <w:r>
        <w:rPr>
          <w:rFonts w:eastAsia="Times New Roman" w:cstheme="minorHAnsi"/>
          <w:color w:val="222222"/>
          <w:sz w:val="22"/>
          <w:szCs w:val="22"/>
          <w:shd w:val="clear" w:color="auto" w:fill="FFFFFF"/>
        </w:rPr>
        <w:t>:</w:t>
      </w:r>
      <w:r w:rsidRPr="00052AA4">
        <w:rPr>
          <w:rFonts w:eastAsia="Times New Roman" w:cstheme="minorHAnsi"/>
          <w:color w:val="222222"/>
          <w:sz w:val="22"/>
          <w:szCs w:val="22"/>
          <w:shd w:val="clear" w:color="auto" w:fill="FFFFFF"/>
        </w:rPr>
        <w:t xml:space="preserve"> AST/ALT</w:t>
      </w:r>
      <w:r>
        <w:rPr>
          <w:rFonts w:eastAsia="Times New Roman" w:cstheme="minorHAnsi"/>
          <w:color w:val="222222"/>
          <w:sz w:val="22"/>
          <w:szCs w:val="22"/>
          <w:shd w:val="clear" w:color="auto" w:fill="FFFFFF"/>
        </w:rPr>
        <w:t xml:space="preserve"> &gt;3-fold the upper limit of normal [ULN]</w:t>
      </w:r>
      <w:r w:rsidRPr="00052AA4">
        <w:rPr>
          <w:rFonts w:eastAsia="Times New Roman" w:cstheme="minorHAnsi"/>
          <w:color w:val="222222"/>
          <w:sz w:val="22"/>
          <w:szCs w:val="22"/>
          <w:shd w:val="clear" w:color="auto" w:fill="FFFFFF"/>
        </w:rPr>
        <w:t xml:space="preserve"> </w:t>
      </w:r>
      <w:r>
        <w:rPr>
          <w:rFonts w:eastAsia="Times New Roman" w:cstheme="minorHAnsi"/>
          <w:color w:val="222222"/>
          <w:sz w:val="22"/>
          <w:szCs w:val="22"/>
          <w:shd w:val="clear" w:color="auto" w:fill="FFFFFF"/>
        </w:rPr>
        <w:t xml:space="preserve">with </w:t>
      </w:r>
      <w:r w:rsidRPr="00052AA4">
        <w:rPr>
          <w:rFonts w:eastAsia="Times New Roman" w:cstheme="minorHAnsi"/>
          <w:color w:val="222222"/>
          <w:sz w:val="22"/>
          <w:szCs w:val="22"/>
          <w:shd w:val="clear" w:color="auto" w:fill="FFFFFF"/>
        </w:rPr>
        <w:t xml:space="preserve">bilirubin </w:t>
      </w:r>
      <w:r>
        <w:rPr>
          <w:rFonts w:eastAsia="Times New Roman" w:cstheme="minorHAnsi"/>
          <w:color w:val="222222"/>
          <w:sz w:val="22"/>
          <w:szCs w:val="22"/>
          <w:shd w:val="clear" w:color="auto" w:fill="FFFFFF"/>
        </w:rPr>
        <w:t>&gt;2-fold the ULN; or AST/ALT &gt;3-fold the ULN with evidence of drug-induced hepatitis or hypersensitivity</w:t>
      </w:r>
      <w:r w:rsidRPr="00052AA4">
        <w:rPr>
          <w:rFonts w:eastAsia="Times New Roman" w:cstheme="minorHAnsi"/>
          <w:color w:val="222222"/>
          <w:sz w:val="22"/>
          <w:szCs w:val="22"/>
          <w:shd w:val="clear" w:color="auto" w:fill="FFFFFF"/>
        </w:rPr>
        <w:t xml:space="preserve">); </w:t>
      </w:r>
      <w:r>
        <w:rPr>
          <w:rFonts w:eastAsia="Times New Roman" w:cstheme="minorHAnsi"/>
          <w:color w:val="222222"/>
          <w:sz w:val="22"/>
          <w:szCs w:val="22"/>
          <w:shd w:val="clear" w:color="auto" w:fill="FFFFFF"/>
        </w:rPr>
        <w:t>grade</w:t>
      </w:r>
      <w:r w:rsidRPr="00052AA4">
        <w:rPr>
          <w:rFonts w:eastAsia="Times New Roman" w:cstheme="minorHAnsi"/>
          <w:color w:val="222222"/>
          <w:sz w:val="22"/>
          <w:szCs w:val="22"/>
          <w:shd w:val="clear" w:color="auto" w:fill="FFFFFF"/>
        </w:rPr>
        <w:t xml:space="preserve"> 3 gastrointestinal </w:t>
      </w:r>
      <w:r>
        <w:rPr>
          <w:rFonts w:eastAsia="Times New Roman" w:cstheme="minorHAnsi"/>
          <w:color w:val="222222"/>
          <w:sz w:val="22"/>
          <w:szCs w:val="22"/>
          <w:shd w:val="clear" w:color="auto" w:fill="FFFFFF"/>
        </w:rPr>
        <w:t xml:space="preserve">toxicity </w:t>
      </w:r>
      <w:r w:rsidRPr="00052AA4">
        <w:rPr>
          <w:rFonts w:eastAsia="Times New Roman" w:cstheme="minorHAnsi"/>
          <w:color w:val="222222"/>
          <w:sz w:val="22"/>
          <w:szCs w:val="22"/>
          <w:shd w:val="clear" w:color="auto" w:fill="FFFFFF"/>
        </w:rPr>
        <w:t>(</w:t>
      </w:r>
      <w:r>
        <w:rPr>
          <w:rFonts w:eastAsia="Times New Roman" w:cstheme="minorHAnsi"/>
          <w:color w:val="222222"/>
          <w:sz w:val="22"/>
          <w:szCs w:val="22"/>
          <w:shd w:val="clear" w:color="auto" w:fill="FFFFFF"/>
        </w:rPr>
        <w:t>i.e.</w:t>
      </w:r>
      <w:r w:rsidRPr="00052AA4">
        <w:rPr>
          <w:rFonts w:eastAsia="Times New Roman" w:cstheme="minorHAnsi"/>
          <w:color w:val="222222"/>
          <w:sz w:val="22"/>
          <w:szCs w:val="22"/>
          <w:shd w:val="clear" w:color="auto" w:fill="FFFFFF"/>
        </w:rPr>
        <w:t xml:space="preserve"> diarrhea</w:t>
      </w:r>
      <w:r>
        <w:rPr>
          <w:rFonts w:eastAsia="Times New Roman" w:cstheme="minorHAnsi"/>
          <w:color w:val="222222"/>
          <w:sz w:val="22"/>
          <w:szCs w:val="22"/>
          <w:shd w:val="clear" w:color="auto" w:fill="FFFFFF"/>
        </w:rPr>
        <w:t>, nausea/vomiting</w:t>
      </w:r>
      <w:r w:rsidRPr="00052AA4">
        <w:rPr>
          <w:rFonts w:eastAsia="Times New Roman" w:cstheme="minorHAnsi"/>
          <w:color w:val="222222"/>
          <w:sz w:val="22"/>
          <w:szCs w:val="22"/>
          <w:shd w:val="clear" w:color="auto" w:fill="FFFFFF"/>
        </w:rPr>
        <w:t>) or</w:t>
      </w:r>
      <w:r>
        <w:rPr>
          <w:rFonts w:eastAsia="Times New Roman" w:cstheme="minorHAnsi"/>
          <w:color w:val="222222"/>
          <w:sz w:val="22"/>
          <w:szCs w:val="22"/>
          <w:shd w:val="clear" w:color="auto" w:fill="FFFFFF"/>
        </w:rPr>
        <w:t xml:space="preserve"> </w:t>
      </w:r>
      <w:r w:rsidRPr="00052AA4">
        <w:rPr>
          <w:rFonts w:eastAsia="Times New Roman" w:cstheme="minorHAnsi"/>
          <w:color w:val="222222"/>
          <w:sz w:val="22"/>
          <w:szCs w:val="22"/>
          <w:shd w:val="clear" w:color="auto" w:fill="FFFFFF"/>
        </w:rPr>
        <w:t>asymptomatic electrolyte disturbance</w:t>
      </w:r>
      <w:r>
        <w:rPr>
          <w:rFonts w:eastAsia="Times New Roman" w:cstheme="minorHAnsi"/>
          <w:color w:val="222222"/>
          <w:sz w:val="22"/>
          <w:szCs w:val="22"/>
          <w:shd w:val="clear" w:color="auto" w:fill="FFFFFF"/>
        </w:rPr>
        <w:t>s</w:t>
      </w:r>
      <w:r w:rsidRPr="00052AA4">
        <w:rPr>
          <w:rFonts w:eastAsia="Times New Roman" w:cstheme="minorHAnsi"/>
          <w:color w:val="222222"/>
          <w:sz w:val="22"/>
          <w:szCs w:val="22"/>
          <w:shd w:val="clear" w:color="auto" w:fill="FFFFFF"/>
        </w:rPr>
        <w:t xml:space="preserve"> persisting &gt;72 hours despite supportive care</w:t>
      </w:r>
      <w:r>
        <w:rPr>
          <w:rFonts w:eastAsia="Times New Roman" w:cstheme="minorHAnsi"/>
          <w:color w:val="222222"/>
          <w:sz w:val="22"/>
          <w:szCs w:val="22"/>
          <w:shd w:val="clear" w:color="auto" w:fill="FFFFFF"/>
        </w:rPr>
        <w:t>;</w:t>
      </w:r>
      <w:r w:rsidRPr="00052AA4">
        <w:rPr>
          <w:rFonts w:eastAsia="Times New Roman" w:cstheme="minorHAnsi"/>
          <w:color w:val="222222"/>
          <w:sz w:val="22"/>
          <w:szCs w:val="22"/>
          <w:shd w:val="clear" w:color="auto" w:fill="FFFFFF"/>
        </w:rPr>
        <w:t xml:space="preserve"> </w:t>
      </w:r>
      <w:r>
        <w:rPr>
          <w:rFonts w:eastAsia="Times New Roman" w:cstheme="minorHAnsi"/>
          <w:color w:val="222222"/>
          <w:sz w:val="22"/>
          <w:szCs w:val="22"/>
          <w:shd w:val="clear" w:color="auto" w:fill="FFFFFF"/>
        </w:rPr>
        <w:t>cardiac toxicity manifesting as</w:t>
      </w:r>
      <w:r w:rsidRPr="00052AA4">
        <w:rPr>
          <w:rFonts w:eastAsia="Times New Roman" w:cstheme="minorHAnsi"/>
          <w:color w:val="222222"/>
          <w:sz w:val="22"/>
          <w:szCs w:val="22"/>
          <w:shd w:val="clear" w:color="auto" w:fill="FFFFFF"/>
        </w:rPr>
        <w:t xml:space="preserve"> </w:t>
      </w:r>
      <w:r>
        <w:rPr>
          <w:rFonts w:eastAsia="Times New Roman" w:cstheme="minorHAnsi"/>
          <w:color w:val="222222"/>
          <w:sz w:val="22"/>
          <w:szCs w:val="22"/>
          <w:shd w:val="clear" w:color="auto" w:fill="FFFFFF"/>
        </w:rPr>
        <w:t xml:space="preserve">asymptomatic </w:t>
      </w:r>
      <w:r w:rsidRPr="00052AA4">
        <w:rPr>
          <w:rFonts w:eastAsia="Times New Roman" w:cstheme="minorHAnsi"/>
          <w:color w:val="222222"/>
          <w:sz w:val="22"/>
          <w:szCs w:val="22"/>
          <w:shd w:val="clear" w:color="auto" w:fill="FFFFFF"/>
        </w:rPr>
        <w:t>decrease in left ventricular ejection fraction</w:t>
      </w:r>
      <w:r>
        <w:rPr>
          <w:rFonts w:eastAsia="Times New Roman" w:cstheme="minorHAnsi"/>
          <w:color w:val="222222"/>
          <w:sz w:val="22"/>
          <w:szCs w:val="22"/>
          <w:shd w:val="clear" w:color="auto" w:fill="FFFFFF"/>
        </w:rPr>
        <w:t xml:space="preserve"> [LVEF]</w:t>
      </w:r>
      <w:r w:rsidRPr="00052AA4">
        <w:rPr>
          <w:rFonts w:eastAsia="Times New Roman" w:cstheme="minorHAnsi"/>
          <w:color w:val="222222"/>
          <w:sz w:val="22"/>
          <w:szCs w:val="22"/>
          <w:shd w:val="clear" w:color="auto" w:fill="FFFFFF"/>
        </w:rPr>
        <w:t xml:space="preserve"> &gt;10% </w:t>
      </w:r>
      <w:r>
        <w:rPr>
          <w:rFonts w:eastAsia="Times New Roman" w:cstheme="minorHAnsi"/>
          <w:color w:val="222222"/>
          <w:sz w:val="22"/>
          <w:szCs w:val="22"/>
          <w:shd w:val="clear" w:color="auto" w:fill="FFFFFF"/>
        </w:rPr>
        <w:t xml:space="preserve">compared to baseline with LVEF </w:t>
      </w:r>
      <w:r w:rsidRPr="00052AA4">
        <w:rPr>
          <w:rFonts w:eastAsia="Times New Roman" w:cstheme="minorHAnsi"/>
          <w:color w:val="222222"/>
          <w:sz w:val="22"/>
          <w:szCs w:val="22"/>
          <w:shd w:val="clear" w:color="auto" w:fill="FFFFFF"/>
        </w:rPr>
        <w:t>below lower limit of normal</w:t>
      </w:r>
      <w:r>
        <w:rPr>
          <w:rFonts w:eastAsia="Times New Roman" w:cstheme="minorHAnsi"/>
          <w:color w:val="222222"/>
          <w:sz w:val="22"/>
          <w:szCs w:val="22"/>
          <w:shd w:val="clear" w:color="auto" w:fill="FFFFFF"/>
        </w:rPr>
        <w:t>, confirmed on repeat assessment 7 days after initial documentation</w:t>
      </w:r>
      <w:r w:rsidRPr="00052AA4">
        <w:rPr>
          <w:rFonts w:eastAsia="Times New Roman" w:cstheme="minorHAnsi"/>
          <w:color w:val="222222"/>
          <w:sz w:val="22"/>
          <w:szCs w:val="22"/>
          <w:shd w:val="clear" w:color="auto" w:fill="FFFFFF"/>
        </w:rPr>
        <w:t>,</w:t>
      </w:r>
      <w:r>
        <w:rPr>
          <w:rFonts w:eastAsia="Times New Roman" w:cstheme="minorHAnsi"/>
          <w:color w:val="222222"/>
          <w:sz w:val="22"/>
          <w:szCs w:val="22"/>
          <w:shd w:val="clear" w:color="auto" w:fill="FFFFFF"/>
        </w:rPr>
        <w:t xml:space="preserve"> grade</w:t>
      </w:r>
      <w:r w:rsidRPr="00052AA4">
        <w:rPr>
          <w:rFonts w:eastAsia="Times New Roman" w:cstheme="minorHAnsi"/>
          <w:color w:val="222222"/>
          <w:sz w:val="22"/>
          <w:szCs w:val="22"/>
          <w:shd w:val="clear" w:color="auto" w:fill="FFFFFF"/>
        </w:rPr>
        <w:t xml:space="preserve"> 3 troponin</w:t>
      </w:r>
      <w:r>
        <w:rPr>
          <w:rFonts w:eastAsia="Times New Roman" w:cstheme="minorHAnsi"/>
          <w:color w:val="222222"/>
          <w:sz w:val="22"/>
          <w:szCs w:val="22"/>
          <w:shd w:val="clear" w:color="auto" w:fill="FFFFFF"/>
        </w:rPr>
        <w:t xml:space="preserve"> (confirmed with repeat testing within 24 hours), or clinical signs of cardiac disease such as unstable angina or myocardial infarction</w:t>
      </w:r>
      <w:r w:rsidRPr="00052AA4">
        <w:rPr>
          <w:rFonts w:eastAsia="Times New Roman" w:cstheme="minorHAnsi"/>
          <w:color w:val="222222"/>
          <w:sz w:val="22"/>
          <w:szCs w:val="22"/>
          <w:shd w:val="clear" w:color="auto" w:fill="FFFFFF"/>
        </w:rPr>
        <w:t xml:space="preserve">; </w:t>
      </w:r>
      <w:r>
        <w:rPr>
          <w:rFonts w:eastAsia="Times New Roman" w:cstheme="minorHAnsi"/>
          <w:color w:val="222222"/>
          <w:sz w:val="22"/>
          <w:szCs w:val="22"/>
          <w:shd w:val="clear" w:color="auto" w:fill="FFFFFF"/>
        </w:rPr>
        <w:t>and grade</w:t>
      </w:r>
      <w:r w:rsidRPr="00052AA4">
        <w:rPr>
          <w:rFonts w:eastAsia="Times New Roman" w:cstheme="minorHAnsi"/>
          <w:color w:val="222222"/>
          <w:sz w:val="22"/>
          <w:szCs w:val="22"/>
          <w:shd w:val="clear" w:color="auto" w:fill="FFFFFF"/>
        </w:rPr>
        <w:t xml:space="preserve"> 3 fatigue lasting &gt;7 days</w:t>
      </w:r>
      <w:r>
        <w:rPr>
          <w:rFonts w:eastAsia="Times New Roman" w:cstheme="minorHAnsi"/>
          <w:color w:val="222222"/>
          <w:sz w:val="22"/>
          <w:szCs w:val="22"/>
          <w:shd w:val="clear" w:color="auto" w:fill="FFFFFF"/>
        </w:rPr>
        <w:t xml:space="preserve">. </w:t>
      </w:r>
      <w:r>
        <w:rPr>
          <w:rFonts w:cstheme="minorHAnsi"/>
          <w:sz w:val="22"/>
          <w:szCs w:val="22"/>
        </w:rPr>
        <w:t>Dose escalation decisions were made following the completion of Cycle 1 for all patients enrolled in a given dose level, taking into consideration adverse events (AE) and pharmacokinetic results.</w:t>
      </w:r>
    </w:p>
    <w:p w14:paraId="09FAB4BA" w14:textId="77777777" w:rsidR="00CB160C" w:rsidRDefault="00CB160C" w:rsidP="00CC7324">
      <w:pPr>
        <w:jc w:val="both"/>
        <w:rPr>
          <w:b/>
          <w:i/>
        </w:rPr>
      </w:pPr>
    </w:p>
    <w:p w14:paraId="256FAE6B" w14:textId="4C62EBD4" w:rsidR="00CB160C" w:rsidRDefault="00CC7324" w:rsidP="00CC7324">
      <w:pPr>
        <w:jc w:val="both"/>
        <w:rPr>
          <w:rFonts w:eastAsia="Times New Roman" w:cstheme="minorHAnsi"/>
          <w:b/>
          <w:i/>
          <w:sz w:val="22"/>
          <w:szCs w:val="22"/>
        </w:rPr>
      </w:pPr>
      <w:r>
        <w:rPr>
          <w:rFonts w:eastAsia="Times New Roman" w:cstheme="minorHAnsi"/>
          <w:b/>
          <w:i/>
          <w:sz w:val="22"/>
          <w:szCs w:val="22"/>
        </w:rPr>
        <w:t>1</w:t>
      </w:r>
      <w:r w:rsidR="009013AD">
        <w:rPr>
          <w:rFonts w:eastAsia="Times New Roman" w:cstheme="minorHAnsi"/>
          <w:b/>
          <w:i/>
          <w:sz w:val="22"/>
          <w:szCs w:val="22"/>
        </w:rPr>
        <w:t>d</w:t>
      </w:r>
      <w:r>
        <w:rPr>
          <w:rFonts w:eastAsia="Times New Roman" w:cstheme="minorHAnsi"/>
          <w:b/>
          <w:i/>
          <w:sz w:val="22"/>
          <w:szCs w:val="22"/>
        </w:rPr>
        <w:t xml:space="preserve"> -</w:t>
      </w:r>
      <w:r w:rsidR="00CB160C">
        <w:rPr>
          <w:rFonts w:eastAsia="Times New Roman" w:cstheme="minorHAnsi"/>
          <w:b/>
          <w:i/>
          <w:sz w:val="22"/>
          <w:szCs w:val="22"/>
        </w:rPr>
        <w:t xml:space="preserve"> safety assessment information:</w:t>
      </w:r>
    </w:p>
    <w:p w14:paraId="3964817F" w14:textId="5FC8A965" w:rsidR="00CB160C" w:rsidRDefault="00CB160C" w:rsidP="00CC7324">
      <w:pPr>
        <w:jc w:val="both"/>
        <w:rPr>
          <w:rFonts w:eastAsia="Times New Roman" w:cstheme="minorHAnsi"/>
          <w:sz w:val="22"/>
          <w:szCs w:val="22"/>
        </w:rPr>
      </w:pPr>
    </w:p>
    <w:p w14:paraId="44083E72" w14:textId="00BBFF2D" w:rsidR="00CB160C" w:rsidRDefault="00CB160C" w:rsidP="00CC7324">
      <w:pPr>
        <w:jc w:val="both"/>
        <w:rPr>
          <w:rFonts w:eastAsia="Times New Roman" w:cstheme="minorHAnsi"/>
          <w:color w:val="222222"/>
          <w:sz w:val="22"/>
          <w:szCs w:val="22"/>
          <w:shd w:val="clear" w:color="auto" w:fill="FFFFFF"/>
        </w:rPr>
      </w:pPr>
      <w:r w:rsidRPr="00052AA4">
        <w:rPr>
          <w:rFonts w:eastAsia="Times New Roman" w:cstheme="minorHAnsi"/>
          <w:color w:val="222222"/>
          <w:sz w:val="22"/>
          <w:szCs w:val="22"/>
          <w:shd w:val="clear" w:color="auto" w:fill="FFFFFF"/>
        </w:rPr>
        <w:t>Investigators managed any AE until resolution, stabilization, or until the AE was considered no longer clinically significant. All AE and serious AE (SAE) were recorded in source documents and individual case report forms from the time of first dose of study drug until 30 days following the last dose of study drug</w:t>
      </w:r>
      <w:r>
        <w:rPr>
          <w:rFonts w:eastAsia="Times New Roman" w:cstheme="minorHAnsi"/>
          <w:color w:val="222222"/>
          <w:sz w:val="22"/>
          <w:szCs w:val="22"/>
          <w:shd w:val="clear" w:color="auto" w:fill="FFFFFF"/>
        </w:rPr>
        <w:t>.</w:t>
      </w:r>
    </w:p>
    <w:p w14:paraId="473908FC" w14:textId="77777777" w:rsidR="00CB160C" w:rsidRDefault="00CB160C" w:rsidP="00CC7324">
      <w:pPr>
        <w:jc w:val="both"/>
        <w:rPr>
          <w:rFonts w:cstheme="minorHAnsi"/>
          <w:sz w:val="22"/>
          <w:szCs w:val="22"/>
        </w:rPr>
      </w:pPr>
    </w:p>
    <w:p w14:paraId="301773BD" w14:textId="4761C00D" w:rsidR="00CB160C" w:rsidRDefault="00CB160C" w:rsidP="00CC7324">
      <w:pPr>
        <w:jc w:val="both"/>
        <w:rPr>
          <w:rFonts w:cstheme="minorHAnsi"/>
          <w:sz w:val="22"/>
          <w:szCs w:val="22"/>
        </w:rPr>
      </w:pPr>
      <w:r w:rsidRPr="00AB4BE5">
        <w:rPr>
          <w:rFonts w:cstheme="minorHAnsi"/>
          <w:sz w:val="22"/>
          <w:szCs w:val="22"/>
        </w:rPr>
        <w:t>Safety evaluation</w:t>
      </w:r>
      <w:r>
        <w:rPr>
          <w:rFonts w:cstheme="minorHAnsi"/>
          <w:sz w:val="22"/>
          <w:szCs w:val="22"/>
        </w:rPr>
        <w:t xml:space="preserve">s </w:t>
      </w:r>
      <w:r w:rsidRPr="00AB4BE5">
        <w:rPr>
          <w:rFonts w:cstheme="minorHAnsi"/>
          <w:sz w:val="22"/>
          <w:szCs w:val="22"/>
        </w:rPr>
        <w:t xml:space="preserve">were conducted at screening and during </w:t>
      </w:r>
      <w:r>
        <w:rPr>
          <w:rFonts w:cstheme="minorHAnsi"/>
          <w:sz w:val="22"/>
          <w:szCs w:val="22"/>
        </w:rPr>
        <w:t>Cycle</w:t>
      </w:r>
      <w:r w:rsidRPr="00AB4BE5">
        <w:rPr>
          <w:rFonts w:cstheme="minorHAnsi"/>
          <w:sz w:val="22"/>
          <w:szCs w:val="22"/>
        </w:rPr>
        <w:t xml:space="preserve"> 1 on </w:t>
      </w:r>
      <w:r>
        <w:rPr>
          <w:rFonts w:cstheme="minorHAnsi"/>
          <w:sz w:val="22"/>
          <w:szCs w:val="22"/>
        </w:rPr>
        <w:t>Day</w:t>
      </w:r>
      <w:r w:rsidRPr="00AB4BE5">
        <w:rPr>
          <w:rFonts w:cstheme="minorHAnsi"/>
          <w:sz w:val="22"/>
          <w:szCs w:val="22"/>
        </w:rPr>
        <w:t xml:space="preserve"> 1, 2, 4, 8, 11, 15, 22, and 28. In the expansion cohort, following the run-in amendment, safety evaluations were conducted on </w:t>
      </w:r>
      <w:r>
        <w:rPr>
          <w:rFonts w:cstheme="minorHAnsi"/>
          <w:sz w:val="22"/>
          <w:szCs w:val="22"/>
        </w:rPr>
        <w:t>Cycle</w:t>
      </w:r>
      <w:r w:rsidRPr="00AB4BE5">
        <w:rPr>
          <w:rFonts w:cstheme="minorHAnsi"/>
          <w:sz w:val="22"/>
          <w:szCs w:val="22"/>
        </w:rPr>
        <w:t xml:space="preserve"> 0 </w:t>
      </w:r>
      <w:r>
        <w:rPr>
          <w:rFonts w:cstheme="minorHAnsi"/>
          <w:sz w:val="22"/>
          <w:szCs w:val="22"/>
        </w:rPr>
        <w:t>Day</w:t>
      </w:r>
      <w:r w:rsidRPr="00AB4BE5">
        <w:rPr>
          <w:rFonts w:cstheme="minorHAnsi"/>
          <w:sz w:val="22"/>
          <w:szCs w:val="22"/>
        </w:rPr>
        <w:t xml:space="preserve"> 1, 2, 4, 8, and 11, then as above for </w:t>
      </w:r>
      <w:r>
        <w:rPr>
          <w:rFonts w:cstheme="minorHAnsi"/>
          <w:sz w:val="22"/>
          <w:szCs w:val="22"/>
        </w:rPr>
        <w:t>Cycle</w:t>
      </w:r>
      <w:r w:rsidRPr="00AB4BE5">
        <w:rPr>
          <w:rFonts w:cstheme="minorHAnsi"/>
          <w:sz w:val="22"/>
          <w:szCs w:val="22"/>
        </w:rPr>
        <w:t xml:space="preserve"> 1. Evaluations included pre-defined combinations of medical history, physical exam</w:t>
      </w:r>
      <w:r>
        <w:rPr>
          <w:rFonts w:cstheme="minorHAnsi"/>
          <w:sz w:val="22"/>
          <w:szCs w:val="22"/>
        </w:rPr>
        <w:t>ination</w:t>
      </w:r>
      <w:r w:rsidRPr="00AB4BE5">
        <w:rPr>
          <w:rFonts w:cstheme="minorHAnsi"/>
          <w:sz w:val="22"/>
          <w:szCs w:val="22"/>
        </w:rPr>
        <w:t>, vital signs, clinical laboratory studies, and ECOG performance status</w:t>
      </w:r>
      <w:r>
        <w:rPr>
          <w:rFonts w:cstheme="minorHAnsi"/>
          <w:sz w:val="22"/>
          <w:szCs w:val="22"/>
        </w:rPr>
        <w:t>.</w:t>
      </w:r>
    </w:p>
    <w:p w14:paraId="0C117AF5" w14:textId="15A6C061" w:rsidR="00CB160C" w:rsidRDefault="00CB160C" w:rsidP="00CC7324">
      <w:pPr>
        <w:jc w:val="both"/>
        <w:rPr>
          <w:rFonts w:cstheme="minorHAnsi"/>
          <w:sz w:val="22"/>
          <w:szCs w:val="22"/>
        </w:rPr>
      </w:pPr>
    </w:p>
    <w:p w14:paraId="4F9DD7A2" w14:textId="77777777" w:rsidR="008E6139" w:rsidRDefault="008E6139">
      <w:pPr>
        <w:rPr>
          <w:rFonts w:cstheme="minorHAnsi"/>
          <w:sz w:val="22"/>
          <w:szCs w:val="22"/>
        </w:rPr>
      </w:pPr>
    </w:p>
    <w:p w14:paraId="79F180AB" w14:textId="40E21F0D" w:rsidR="008E6139" w:rsidRDefault="008E6139">
      <w:pPr>
        <w:rPr>
          <w:rFonts w:cstheme="minorHAnsi"/>
          <w:color w:val="000000" w:themeColor="text1"/>
          <w:sz w:val="22"/>
          <w:szCs w:val="22"/>
        </w:rPr>
      </w:pPr>
    </w:p>
    <w:p w14:paraId="14578894" w14:textId="77777777" w:rsidR="00EC7AA0" w:rsidRPr="00910C09" w:rsidRDefault="00EC7AA0" w:rsidP="00EC7AA0">
      <w:r w:rsidRPr="00910C09">
        <w:rPr>
          <w:noProof/>
        </w:rPr>
        <w:drawing>
          <wp:anchor distT="0" distB="0" distL="114300" distR="114300" simplePos="0" relativeHeight="251659264" behindDoc="0" locked="0" layoutInCell="1" allowOverlap="1" wp14:anchorId="4785855A" wp14:editId="685997CC">
            <wp:simplePos x="0" y="0"/>
            <wp:positionH relativeFrom="column">
              <wp:posOffset>-476885</wp:posOffset>
            </wp:positionH>
            <wp:positionV relativeFrom="paragraph">
              <wp:posOffset>612843</wp:posOffset>
            </wp:positionV>
            <wp:extent cx="7021830" cy="3433445"/>
            <wp:effectExtent l="0" t="0" r="1270" b="0"/>
            <wp:wrapSquare wrapText="bothSides"/>
            <wp:docPr id="1" name="Picture 1"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ppendix 2 - Dose Escalation and Expansion Diagram.png"/>
                    <pic:cNvPicPr/>
                  </pic:nvPicPr>
                  <pic:blipFill>
                    <a:blip r:embed="rId4">
                      <a:extLst>
                        <a:ext uri="{28A0092B-C50C-407E-A947-70E740481C1C}">
                          <a14:useLocalDpi xmlns:a14="http://schemas.microsoft.com/office/drawing/2010/main" val="0"/>
                        </a:ext>
                      </a:extLst>
                    </a:blip>
                    <a:stretch>
                      <a:fillRect/>
                    </a:stretch>
                  </pic:blipFill>
                  <pic:spPr>
                    <a:xfrm>
                      <a:off x="0" y="0"/>
                      <a:ext cx="7021830" cy="3433445"/>
                    </a:xfrm>
                    <a:prstGeom prst="rect">
                      <a:avLst/>
                    </a:prstGeom>
                  </pic:spPr>
                </pic:pic>
              </a:graphicData>
            </a:graphic>
            <wp14:sizeRelH relativeFrom="page">
              <wp14:pctWidth>0</wp14:pctWidth>
            </wp14:sizeRelH>
            <wp14:sizeRelV relativeFrom="page">
              <wp14:pctHeight>0</wp14:pctHeight>
            </wp14:sizeRelV>
          </wp:anchor>
        </w:drawing>
      </w:r>
      <w:r w:rsidRPr="00910C09">
        <w:rPr>
          <w:sz w:val="22"/>
          <w:szCs w:val="22"/>
        </w:rPr>
        <w:t xml:space="preserve"> </w:t>
      </w:r>
      <w:r w:rsidRPr="00910C09">
        <w:t>Supplement</w:t>
      </w:r>
      <w:r>
        <w:t>ary Figure 1</w:t>
      </w:r>
      <w:r w:rsidRPr="00910C09">
        <w:rPr>
          <w:b/>
          <w:bCs/>
        </w:rPr>
        <w:t>:</w:t>
      </w:r>
      <w:r w:rsidRPr="00910C09">
        <w:t xml:space="preserve"> Dose-escalation and expansion diagram depicting CFI-400945 dosing levels and patient events.</w:t>
      </w:r>
    </w:p>
    <w:p w14:paraId="7D1F596C" w14:textId="77777777" w:rsidR="00EC7AA0" w:rsidRDefault="00EC7AA0" w:rsidP="00EC7AA0"/>
    <w:p w14:paraId="36B68543" w14:textId="77777777" w:rsidR="00EC7AA0" w:rsidRDefault="00EC7AA0" w:rsidP="00EC7AA0">
      <w:r>
        <w:t>*Caution event denotes patient who experienced febrile neutropenia event not meeting DLT criteria</w:t>
      </w:r>
    </w:p>
    <w:p w14:paraId="13232D17" w14:textId="77777777" w:rsidR="00EC7AA0" w:rsidRPr="000D2D0D" w:rsidRDefault="00EC7AA0" w:rsidP="00EC7AA0">
      <w:pPr>
        <w:rPr>
          <w:i/>
          <w:iCs/>
        </w:rPr>
      </w:pPr>
      <w:r w:rsidRPr="000D2D0D">
        <w:rPr>
          <w:i/>
          <w:iCs/>
        </w:rPr>
        <w:t>Abbreviations: DLT, Dose Limiting Toxicity</w:t>
      </w:r>
    </w:p>
    <w:p w14:paraId="3DCE042C" w14:textId="50215F99" w:rsidR="008E6139" w:rsidRDefault="008E6139">
      <w:pPr>
        <w:rPr>
          <w:b/>
          <w:lang w:val="en-US"/>
        </w:rPr>
      </w:pPr>
    </w:p>
    <w:p w14:paraId="25C3EC67" w14:textId="77777777" w:rsidR="00EC7AA0" w:rsidRDefault="00EC7AA0" w:rsidP="00EC7AA0">
      <w:pPr>
        <w:rPr>
          <w:lang w:val="en-US"/>
        </w:rPr>
      </w:pPr>
    </w:p>
    <w:p w14:paraId="6850F166" w14:textId="77777777" w:rsidR="00EC7AA0" w:rsidRPr="00A607D9" w:rsidRDefault="00EC7AA0" w:rsidP="00EC7AA0">
      <w:pPr>
        <w:rPr>
          <w:lang w:val="en-US"/>
        </w:rPr>
      </w:pPr>
      <w:r w:rsidRPr="00A607D9">
        <w:rPr>
          <w:noProof/>
        </w:rPr>
        <w:lastRenderedPageBreak/>
        <w:drawing>
          <wp:anchor distT="0" distB="0" distL="114300" distR="114300" simplePos="0" relativeHeight="251661312" behindDoc="0" locked="0" layoutInCell="1" allowOverlap="1" wp14:anchorId="40211D36" wp14:editId="516A8129">
            <wp:simplePos x="0" y="0"/>
            <wp:positionH relativeFrom="column">
              <wp:posOffset>0</wp:posOffset>
            </wp:positionH>
            <wp:positionV relativeFrom="paragraph">
              <wp:posOffset>496570</wp:posOffset>
            </wp:positionV>
            <wp:extent cx="5943600" cy="3570605"/>
            <wp:effectExtent l="0" t="0" r="0" b="0"/>
            <wp:wrapSquare wrapText="bothSides"/>
            <wp:docPr id="2" name="Picture 2"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ppendix 2 - Cmax-AUC plots.png"/>
                    <pic:cNvPicPr/>
                  </pic:nvPicPr>
                  <pic:blipFill>
                    <a:blip r:embed="rId5">
                      <a:extLst>
                        <a:ext uri="{28A0092B-C50C-407E-A947-70E740481C1C}">
                          <a14:useLocalDpi xmlns:a14="http://schemas.microsoft.com/office/drawing/2010/main" val="0"/>
                        </a:ext>
                      </a:extLst>
                    </a:blip>
                    <a:stretch>
                      <a:fillRect/>
                    </a:stretch>
                  </pic:blipFill>
                  <pic:spPr>
                    <a:xfrm>
                      <a:off x="0" y="0"/>
                      <a:ext cx="5943600" cy="3570605"/>
                    </a:xfrm>
                    <a:prstGeom prst="rect">
                      <a:avLst/>
                    </a:prstGeom>
                  </pic:spPr>
                </pic:pic>
              </a:graphicData>
            </a:graphic>
          </wp:anchor>
        </w:drawing>
      </w:r>
      <w:r w:rsidRPr="00A607D9">
        <w:t>Supplemen</w:t>
      </w:r>
      <w:r>
        <w:t>t</w:t>
      </w:r>
      <w:bookmarkStart w:id="0" w:name="_GoBack"/>
      <w:bookmarkEnd w:id="0"/>
      <w:proofErr w:type="spellStart"/>
      <w:r>
        <w:rPr>
          <w:lang w:val="en-US"/>
        </w:rPr>
        <w:t>ary</w:t>
      </w:r>
      <w:proofErr w:type="spellEnd"/>
      <w:r>
        <w:rPr>
          <w:lang w:val="en-US"/>
        </w:rPr>
        <w:t xml:space="preserve"> Figure 2</w:t>
      </w:r>
      <w:r w:rsidRPr="00A607D9">
        <w:rPr>
          <w:lang w:val="en-US"/>
        </w:rPr>
        <w:t xml:space="preserve">: Regression analysis of pharmacokinetic relationship between </w:t>
      </w:r>
      <w:proofErr w:type="spellStart"/>
      <w:r w:rsidRPr="00A607D9">
        <w:rPr>
          <w:lang w:val="en-US"/>
        </w:rPr>
        <w:t>C</w:t>
      </w:r>
      <w:r w:rsidRPr="00A607D9">
        <w:rPr>
          <w:vertAlign w:val="subscript"/>
          <w:lang w:val="en-US"/>
        </w:rPr>
        <w:t>max</w:t>
      </w:r>
      <w:proofErr w:type="spellEnd"/>
      <w:r w:rsidRPr="00A607D9">
        <w:rPr>
          <w:lang w:val="en-US"/>
        </w:rPr>
        <w:t xml:space="preserve"> and AUC using for varying dose levels on Day 1.</w:t>
      </w:r>
    </w:p>
    <w:p w14:paraId="0449C8EC" w14:textId="77777777" w:rsidR="00EC7AA0" w:rsidRDefault="00EC7AA0" w:rsidP="00EC7AA0"/>
    <w:p w14:paraId="1DADCAAC" w14:textId="77777777" w:rsidR="00EC7AA0" w:rsidRPr="008B1081" w:rsidRDefault="00EC7AA0" w:rsidP="00EC7AA0">
      <w:pPr>
        <w:rPr>
          <w:i/>
          <w:iCs/>
        </w:rPr>
      </w:pPr>
      <w:r w:rsidRPr="008B1081">
        <w:rPr>
          <w:i/>
          <w:iCs/>
        </w:rPr>
        <w:t xml:space="preserve">Abbreviations: AUC, Area under the curve; </w:t>
      </w:r>
      <w:proofErr w:type="spellStart"/>
      <w:r w:rsidRPr="008B1081">
        <w:rPr>
          <w:i/>
          <w:iCs/>
        </w:rPr>
        <w:t>Cmax</w:t>
      </w:r>
      <w:proofErr w:type="spellEnd"/>
      <w:r w:rsidRPr="008B1081">
        <w:rPr>
          <w:i/>
          <w:iCs/>
        </w:rPr>
        <w:t>, Concentration maximum.</w:t>
      </w:r>
    </w:p>
    <w:p w14:paraId="2F44E028" w14:textId="77777777" w:rsidR="00EC7AA0" w:rsidRPr="00757159" w:rsidRDefault="00EC7AA0" w:rsidP="00EC7AA0"/>
    <w:p w14:paraId="005836CD" w14:textId="77777777" w:rsidR="00EC7AA0" w:rsidRPr="00757159" w:rsidRDefault="00EC7AA0" w:rsidP="00EC7AA0"/>
    <w:p w14:paraId="533B08E6" w14:textId="77777777" w:rsidR="00EC7AA0" w:rsidRPr="00757159" w:rsidRDefault="00EC7AA0" w:rsidP="00EC7AA0"/>
    <w:p w14:paraId="1AD142C4" w14:textId="77777777" w:rsidR="00EC7AA0" w:rsidRPr="00757159" w:rsidRDefault="00EC7AA0" w:rsidP="00EC7AA0"/>
    <w:p w14:paraId="68FB0795" w14:textId="77777777" w:rsidR="00EC7AA0" w:rsidRPr="00757159" w:rsidRDefault="00EC7AA0" w:rsidP="00EC7AA0"/>
    <w:p w14:paraId="015EC9AE" w14:textId="77777777" w:rsidR="00EC7AA0" w:rsidRPr="00757159" w:rsidRDefault="00EC7AA0" w:rsidP="00EC7AA0"/>
    <w:p w14:paraId="2C6BD6ED" w14:textId="77777777" w:rsidR="00EC7AA0" w:rsidRPr="00757159" w:rsidRDefault="00EC7AA0" w:rsidP="00EC7AA0"/>
    <w:p w14:paraId="2B5D5F67" w14:textId="77777777" w:rsidR="00EC7AA0" w:rsidRPr="00D01E5F" w:rsidRDefault="00EC7AA0">
      <w:pPr>
        <w:rPr>
          <w:b/>
          <w:lang w:val="en-US"/>
        </w:rPr>
      </w:pPr>
    </w:p>
    <w:sectPr w:rsidR="00EC7AA0" w:rsidRPr="00D01E5F" w:rsidSect="00351D2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55C"/>
    <w:rsid w:val="00076B97"/>
    <w:rsid w:val="000820B8"/>
    <w:rsid w:val="00084436"/>
    <w:rsid w:val="000E1A25"/>
    <w:rsid w:val="000F0008"/>
    <w:rsid w:val="001D0807"/>
    <w:rsid w:val="00242FCB"/>
    <w:rsid w:val="0029555C"/>
    <w:rsid w:val="002C706C"/>
    <w:rsid w:val="003224EF"/>
    <w:rsid w:val="00351D28"/>
    <w:rsid w:val="00392298"/>
    <w:rsid w:val="003B7B54"/>
    <w:rsid w:val="003B7C94"/>
    <w:rsid w:val="00404504"/>
    <w:rsid w:val="00416643"/>
    <w:rsid w:val="004258C9"/>
    <w:rsid w:val="004B21D8"/>
    <w:rsid w:val="005403A1"/>
    <w:rsid w:val="00550B23"/>
    <w:rsid w:val="0055223F"/>
    <w:rsid w:val="00561179"/>
    <w:rsid w:val="005C2F9B"/>
    <w:rsid w:val="006A7700"/>
    <w:rsid w:val="00765BDD"/>
    <w:rsid w:val="007C4F47"/>
    <w:rsid w:val="007D0273"/>
    <w:rsid w:val="007E7A01"/>
    <w:rsid w:val="007F6E9B"/>
    <w:rsid w:val="008018BD"/>
    <w:rsid w:val="00825107"/>
    <w:rsid w:val="00833CAF"/>
    <w:rsid w:val="008771E8"/>
    <w:rsid w:val="008A4B1F"/>
    <w:rsid w:val="008A7029"/>
    <w:rsid w:val="008C449E"/>
    <w:rsid w:val="008E6139"/>
    <w:rsid w:val="008F023F"/>
    <w:rsid w:val="008F73B7"/>
    <w:rsid w:val="009013AD"/>
    <w:rsid w:val="00936CA3"/>
    <w:rsid w:val="00957478"/>
    <w:rsid w:val="00960366"/>
    <w:rsid w:val="00975A0F"/>
    <w:rsid w:val="009C754A"/>
    <w:rsid w:val="009E20F6"/>
    <w:rsid w:val="00A54A85"/>
    <w:rsid w:val="00A671EB"/>
    <w:rsid w:val="00A8682F"/>
    <w:rsid w:val="00A9457B"/>
    <w:rsid w:val="00A95B9D"/>
    <w:rsid w:val="00BB6F93"/>
    <w:rsid w:val="00BC25B5"/>
    <w:rsid w:val="00C27E90"/>
    <w:rsid w:val="00C73100"/>
    <w:rsid w:val="00C97E75"/>
    <w:rsid w:val="00CB160C"/>
    <w:rsid w:val="00CC7324"/>
    <w:rsid w:val="00CF0A72"/>
    <w:rsid w:val="00D01E5F"/>
    <w:rsid w:val="00D648BB"/>
    <w:rsid w:val="00D71783"/>
    <w:rsid w:val="00DC52C4"/>
    <w:rsid w:val="00DD5099"/>
    <w:rsid w:val="00DE7982"/>
    <w:rsid w:val="00DF2ABC"/>
    <w:rsid w:val="00DF4753"/>
    <w:rsid w:val="00E61D35"/>
    <w:rsid w:val="00E87E80"/>
    <w:rsid w:val="00EC7AA0"/>
    <w:rsid w:val="00F22FA4"/>
    <w:rsid w:val="00F25C14"/>
    <w:rsid w:val="00F34EF4"/>
    <w:rsid w:val="00F41269"/>
    <w:rsid w:val="00F57D37"/>
    <w:rsid w:val="00F816DA"/>
    <w:rsid w:val="00FA2365"/>
    <w:rsid w:val="00FA2643"/>
    <w:rsid w:val="00FF2146"/>
    <w:rsid w:val="00FF48A5"/>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5103B"/>
  <w15:chartTrackingRefBased/>
  <w15:docId w15:val="{C4395480-2148-834F-A6BC-2F202C013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C2F9B"/>
    <w:rPr>
      <w:sz w:val="16"/>
      <w:szCs w:val="16"/>
    </w:rPr>
  </w:style>
  <w:style w:type="paragraph" w:styleId="CommentText">
    <w:name w:val="annotation text"/>
    <w:basedOn w:val="Normal"/>
    <w:link w:val="CommentTextChar"/>
    <w:uiPriority w:val="99"/>
    <w:unhideWhenUsed/>
    <w:rsid w:val="005C2F9B"/>
    <w:rPr>
      <w:sz w:val="20"/>
      <w:szCs w:val="20"/>
    </w:rPr>
  </w:style>
  <w:style w:type="character" w:customStyle="1" w:styleId="CommentTextChar">
    <w:name w:val="Comment Text Char"/>
    <w:basedOn w:val="DefaultParagraphFont"/>
    <w:link w:val="CommentText"/>
    <w:uiPriority w:val="99"/>
    <w:rsid w:val="005C2F9B"/>
    <w:rPr>
      <w:sz w:val="20"/>
      <w:szCs w:val="20"/>
    </w:rPr>
  </w:style>
  <w:style w:type="paragraph" w:styleId="BalloonText">
    <w:name w:val="Balloon Text"/>
    <w:basedOn w:val="Normal"/>
    <w:link w:val="BalloonTextChar"/>
    <w:uiPriority w:val="99"/>
    <w:semiHidden/>
    <w:unhideWhenUsed/>
    <w:rsid w:val="005C2F9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C2F9B"/>
    <w:rPr>
      <w:rFonts w:ascii="Times New Roman" w:hAnsi="Times New Roman" w:cs="Times New Roman"/>
      <w:sz w:val="18"/>
      <w:szCs w:val="18"/>
    </w:rPr>
  </w:style>
  <w:style w:type="character" w:styleId="Hyperlink">
    <w:name w:val="Hyperlink"/>
    <w:basedOn w:val="DefaultParagraphFont"/>
    <w:uiPriority w:val="99"/>
    <w:unhideWhenUsed/>
    <w:rsid w:val="00CC732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3</Pages>
  <Words>704</Words>
  <Characters>4019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Veitch, Zachary</dc:creator>
  <cp:keywords/>
  <dc:description/>
  <cp:lastModifiedBy>Rachel Hughs</cp:lastModifiedBy>
  <cp:revision>14</cp:revision>
  <dcterms:created xsi:type="dcterms:W3CDTF">2019-03-13T16:03:00Z</dcterms:created>
  <dcterms:modified xsi:type="dcterms:W3CDTF">2019-06-20T13:12:00Z</dcterms:modified>
</cp:coreProperties>
</file>