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61C15" w14:textId="77777777" w:rsidR="004C30AC" w:rsidRPr="005F0D7D" w:rsidRDefault="00CC1A05">
      <w:pPr>
        <w:rPr>
          <w:rFonts w:ascii="Arial" w:hAnsi="Arial" w:cs="Arial"/>
          <w:b/>
          <w:sz w:val="28"/>
          <w:lang w:val="en-US"/>
        </w:rPr>
      </w:pPr>
      <w:r w:rsidRPr="005F0D7D">
        <w:rPr>
          <w:rFonts w:ascii="Arial" w:hAnsi="Arial" w:cs="Arial"/>
          <w:b/>
          <w:sz w:val="28"/>
          <w:lang w:val="en-US"/>
        </w:rPr>
        <w:t xml:space="preserve">Supplementary Materials and Methods </w:t>
      </w:r>
    </w:p>
    <w:p w14:paraId="42461C16" w14:textId="77777777" w:rsidR="00CC1A05" w:rsidRPr="005F0D7D" w:rsidRDefault="00CC1A05">
      <w:pPr>
        <w:rPr>
          <w:lang w:val="en-US"/>
        </w:rPr>
      </w:pPr>
    </w:p>
    <w:p w14:paraId="42461C17" w14:textId="29566854" w:rsidR="00CC1A05" w:rsidRPr="00CC1A05" w:rsidRDefault="005F3523">
      <w:pPr>
        <w:rPr>
          <w:lang w:val="en-US"/>
        </w:rPr>
      </w:pPr>
      <w:r>
        <w:rPr>
          <w:rFonts w:ascii="Times New Roman" w:hAnsi="Times New Roman" w:cs="Times New Roman"/>
          <w:lang w:val="en-US"/>
        </w:rPr>
        <w:t>List</w:t>
      </w:r>
      <w:r w:rsidR="00CC1A05">
        <w:rPr>
          <w:rFonts w:ascii="Times New Roman" w:hAnsi="Times New Roman" w:cs="Times New Roman"/>
          <w:lang w:val="en-US"/>
        </w:rPr>
        <w:t xml:space="preserve"> of monoclonal antibodies used for </w:t>
      </w:r>
      <w:r w:rsidR="003D4167">
        <w:rPr>
          <w:rFonts w:ascii="Times New Roman" w:hAnsi="Times New Roman" w:cs="Times New Roman"/>
          <w:lang w:val="en-US"/>
        </w:rPr>
        <w:t>flow cytometry</w:t>
      </w:r>
      <w:r w:rsidR="00CC1A05">
        <w:rPr>
          <w:rFonts w:ascii="Times New Roman" w:hAnsi="Times New Roman" w:cs="Times New Roman"/>
          <w:lang w:val="en-US"/>
        </w:rPr>
        <w:t xml:space="preserve">: </w:t>
      </w:r>
    </w:p>
    <w:p w14:paraId="42461C18" w14:textId="7319CCDC" w:rsidR="00CC1A05" w:rsidRDefault="00C5621E">
      <w:r w:rsidRPr="00C5621E">
        <w:rPr>
          <w:noProof/>
        </w:rPr>
        <w:drawing>
          <wp:inline distT="0" distB="0" distL="0" distR="0" wp14:anchorId="42461C1A" wp14:editId="42461C1B">
            <wp:extent cx="4276612" cy="34099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612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516AC" w14:textId="6CD39CF9" w:rsidR="003D4167" w:rsidRDefault="003D4167"/>
    <w:p w14:paraId="0D39EA28" w14:textId="01D8B104" w:rsidR="003D4167" w:rsidRDefault="003D4167"/>
    <w:p w14:paraId="710B8792" w14:textId="625CD0D1" w:rsidR="003D4167" w:rsidRDefault="003D4167"/>
    <w:p w14:paraId="1DC3DE89" w14:textId="7E3CE3DD" w:rsidR="003D4167" w:rsidRDefault="003D4167"/>
    <w:p w14:paraId="00FE9B09" w14:textId="428E6496" w:rsidR="003D4167" w:rsidRDefault="003D4167"/>
    <w:p w14:paraId="6BB5B0CC" w14:textId="344C7367" w:rsidR="003D4167" w:rsidRDefault="003D4167"/>
    <w:p w14:paraId="73F40278" w14:textId="730F9D71" w:rsidR="003D4167" w:rsidRDefault="003D4167"/>
    <w:p w14:paraId="3917EEF6" w14:textId="66373765" w:rsidR="003D4167" w:rsidRDefault="003D4167"/>
    <w:p w14:paraId="6F550A56" w14:textId="2C7A6D9E" w:rsidR="003D4167" w:rsidRDefault="003D4167"/>
    <w:p w14:paraId="6FCC2149" w14:textId="0525D406" w:rsidR="003D4167" w:rsidRDefault="003D4167"/>
    <w:p w14:paraId="1743B03E" w14:textId="1ACCE7A2" w:rsidR="003D4167" w:rsidRDefault="003D4167"/>
    <w:p w14:paraId="41DEF2AA" w14:textId="77777777" w:rsidR="003D4167" w:rsidRDefault="003D4167"/>
    <w:p w14:paraId="0F2808CC" w14:textId="0DE63921" w:rsidR="003D4167" w:rsidRDefault="003D4167"/>
    <w:p w14:paraId="3D3FB7F1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  <w:r w:rsidRPr="005F0D7D">
        <w:rPr>
          <w:rFonts w:ascii="Arial" w:hAnsi="Arial" w:cs="Arial"/>
          <w:b/>
          <w:sz w:val="28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sz w:val="28"/>
          <w:lang w:val="en-US"/>
        </w:rPr>
        <w:t xml:space="preserve">Table 1 </w:t>
      </w:r>
      <w:r w:rsidRPr="005F0D7D">
        <w:rPr>
          <w:rFonts w:ascii="Arial" w:hAnsi="Arial" w:cs="Arial"/>
          <w:b/>
          <w:sz w:val="28"/>
          <w:lang w:val="en-US"/>
        </w:rPr>
        <w:t xml:space="preserve"> </w:t>
      </w:r>
    </w:p>
    <w:p w14:paraId="50807696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B5230C1" w14:textId="77777777" w:rsidR="003D4167" w:rsidRPr="007C33D7" w:rsidRDefault="003D4167" w:rsidP="003D4167">
      <w:pPr>
        <w:rPr>
          <w:rFonts w:ascii="Arial" w:hAnsi="Arial" w:cs="Arial"/>
          <w:b/>
          <w:lang w:val="en-US"/>
        </w:rPr>
      </w:pPr>
      <w:r w:rsidRPr="007C33D7">
        <w:rPr>
          <w:rFonts w:ascii="Arial" w:hAnsi="Arial" w:cs="Arial"/>
          <w:b/>
          <w:lang w:val="en-US"/>
        </w:rPr>
        <w:t>Main clinical characteristics of NSCLC patients</w:t>
      </w:r>
    </w:p>
    <w:p w14:paraId="4B255B44" w14:textId="2110422B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  <w:r w:rsidRPr="007C33D7">
        <w:rPr>
          <w:noProof/>
        </w:rPr>
        <w:drawing>
          <wp:inline distT="0" distB="0" distL="0" distR="0" wp14:anchorId="58E9EADF" wp14:editId="20E4583C">
            <wp:extent cx="2705100" cy="38862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7405E" w14:textId="5DFD5FF2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C569DE8" w14:textId="01F4A2B4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21128991" w14:textId="5F343FAA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727B523E" w14:textId="000F0D89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C8701BB" w14:textId="425A4F48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DA0574C" w14:textId="2B41C5CB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54DC5A7" w14:textId="63A46764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51F4B5C" w14:textId="0C9ACEB5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0F75117" w14:textId="648D5D20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E3A82B2" w14:textId="45B4B9FC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6665D28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  <w:r w:rsidRPr="005F0D7D">
        <w:rPr>
          <w:rFonts w:ascii="Arial" w:hAnsi="Arial" w:cs="Arial"/>
          <w:b/>
          <w:sz w:val="28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sz w:val="28"/>
          <w:lang w:val="en-US"/>
        </w:rPr>
        <w:t xml:space="preserve">Table 2 </w:t>
      </w:r>
      <w:r w:rsidRPr="005F0D7D">
        <w:rPr>
          <w:rFonts w:ascii="Arial" w:hAnsi="Arial" w:cs="Arial"/>
          <w:b/>
          <w:sz w:val="28"/>
          <w:lang w:val="en-US"/>
        </w:rPr>
        <w:t xml:space="preserve"> </w:t>
      </w:r>
    </w:p>
    <w:p w14:paraId="0010C3D7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E35CFB2" w14:textId="77777777" w:rsidR="003D4167" w:rsidRPr="0084276A" w:rsidRDefault="003D4167" w:rsidP="003D4167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C</w:t>
      </w:r>
      <w:r w:rsidRPr="0084276A">
        <w:rPr>
          <w:rFonts w:ascii="Arial" w:hAnsi="Arial" w:cs="Arial"/>
          <w:b/>
          <w:lang w:val="en-US"/>
        </w:rPr>
        <w:t>irculating anti-TERT Th1 response</w:t>
      </w:r>
      <w:r>
        <w:rPr>
          <w:rFonts w:ascii="Arial" w:hAnsi="Arial" w:cs="Arial"/>
          <w:b/>
          <w:lang w:val="en-US"/>
        </w:rPr>
        <w:t>s</w:t>
      </w:r>
      <w:r w:rsidRPr="0084276A">
        <w:rPr>
          <w:rFonts w:ascii="Arial" w:hAnsi="Arial" w:cs="Arial"/>
          <w:b/>
          <w:lang w:val="en-US"/>
        </w:rPr>
        <w:t xml:space="preserve"> according to patients’ main clinical characteristics.</w:t>
      </w:r>
    </w:p>
    <w:p w14:paraId="116DA92C" w14:textId="77777777" w:rsidR="003D4167" w:rsidRPr="005F0D7D" w:rsidRDefault="003D4167" w:rsidP="003D4167">
      <w:pPr>
        <w:rPr>
          <w:rFonts w:ascii="Arial" w:hAnsi="Arial" w:cs="Arial"/>
          <w:b/>
          <w:sz w:val="28"/>
          <w:lang w:val="en-US"/>
        </w:rPr>
      </w:pPr>
      <w:r w:rsidRPr="0084276A">
        <w:rPr>
          <w:rFonts w:ascii="Arial" w:hAnsi="Arial" w:cs="Arial"/>
          <w:b/>
          <w:lang w:val="en-US"/>
        </w:rPr>
        <w:t xml:space="preserve"> </w:t>
      </w:r>
      <w:r w:rsidRPr="0084276A">
        <w:rPr>
          <w:noProof/>
        </w:rPr>
        <w:drawing>
          <wp:inline distT="0" distB="0" distL="0" distR="0" wp14:anchorId="0D436C76" wp14:editId="6EA49F04">
            <wp:extent cx="5172075" cy="353826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55"/>
                    <a:stretch/>
                  </pic:blipFill>
                  <pic:spPr bwMode="auto">
                    <a:xfrm>
                      <a:off x="0" y="0"/>
                      <a:ext cx="5175212" cy="354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FC55E" w14:textId="77777777" w:rsidR="003D4167" w:rsidRPr="0035774B" w:rsidRDefault="003D4167" w:rsidP="003D4167">
      <w:pPr>
        <w:rPr>
          <w:lang w:val="en-US"/>
        </w:rPr>
      </w:pPr>
    </w:p>
    <w:p w14:paraId="007D847C" w14:textId="3C75467A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7A1D910E" w14:textId="5B52C503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15CF8E8" w14:textId="36C59694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52E6B61" w14:textId="70DA4A3E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015F1CD8" w14:textId="38E248BC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C0D2BF6" w14:textId="005C759B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435B9D07" w14:textId="5C4D3F65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A85DA23" w14:textId="70917BEB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84BEBF9" w14:textId="33A85DD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D24C54A" w14:textId="66B18CF6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074207BB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  <w:r w:rsidRPr="005F0D7D">
        <w:rPr>
          <w:rFonts w:ascii="Arial" w:hAnsi="Arial" w:cs="Arial"/>
          <w:b/>
          <w:sz w:val="28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sz w:val="28"/>
          <w:lang w:val="en-US"/>
        </w:rPr>
        <w:t xml:space="preserve">Table 3 </w:t>
      </w:r>
      <w:r w:rsidRPr="005F0D7D">
        <w:rPr>
          <w:rFonts w:ascii="Arial" w:hAnsi="Arial" w:cs="Arial"/>
          <w:b/>
          <w:sz w:val="28"/>
          <w:lang w:val="en-US"/>
        </w:rPr>
        <w:t xml:space="preserve"> </w:t>
      </w:r>
    </w:p>
    <w:p w14:paraId="0B2F4AA2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04ED715" w14:textId="77777777" w:rsidR="003D4167" w:rsidRDefault="003D4167" w:rsidP="003D4167">
      <w:pPr>
        <w:rPr>
          <w:rFonts w:ascii="Arial" w:hAnsi="Arial" w:cs="Arial"/>
          <w:b/>
          <w:lang w:val="en-US"/>
        </w:rPr>
      </w:pPr>
      <w:r w:rsidRPr="00DF549A">
        <w:rPr>
          <w:rFonts w:ascii="Arial" w:hAnsi="Arial" w:cs="Arial"/>
          <w:b/>
          <w:lang w:val="en-US"/>
        </w:rPr>
        <w:t xml:space="preserve">Level of circulating exhausted </w:t>
      </w:r>
      <w:r>
        <w:rPr>
          <w:rFonts w:ascii="Arial" w:hAnsi="Arial" w:cs="Arial"/>
          <w:b/>
          <w:lang w:val="en-US"/>
        </w:rPr>
        <w:t>PD-1</w:t>
      </w:r>
      <w:r w:rsidRPr="0007470D">
        <w:rPr>
          <w:rFonts w:ascii="Arial" w:hAnsi="Arial" w:cs="Arial"/>
          <w:b/>
          <w:vertAlign w:val="superscript"/>
          <w:lang w:val="en-US"/>
        </w:rPr>
        <w:t>+</w:t>
      </w:r>
      <w:r>
        <w:rPr>
          <w:rFonts w:ascii="Arial" w:hAnsi="Arial" w:cs="Arial"/>
          <w:b/>
          <w:lang w:val="en-US"/>
        </w:rPr>
        <w:t>TIM-3</w:t>
      </w:r>
      <w:r w:rsidRPr="0007470D">
        <w:rPr>
          <w:rFonts w:ascii="Arial" w:hAnsi="Arial" w:cs="Arial"/>
          <w:b/>
          <w:vertAlign w:val="superscript"/>
          <w:lang w:val="en-US"/>
        </w:rPr>
        <w:t>+</w:t>
      </w:r>
      <w:r w:rsidRPr="00DF549A">
        <w:rPr>
          <w:rFonts w:ascii="Arial" w:hAnsi="Arial" w:cs="Arial"/>
          <w:b/>
          <w:lang w:val="en-US"/>
        </w:rPr>
        <w:t>T cells in NSCLC patients</w:t>
      </w:r>
    </w:p>
    <w:p w14:paraId="5B9E1D3D" w14:textId="77777777" w:rsidR="003D4167" w:rsidRDefault="003D4167" w:rsidP="003D4167">
      <w:pPr>
        <w:rPr>
          <w:rFonts w:ascii="Arial" w:hAnsi="Arial" w:cs="Arial"/>
          <w:b/>
          <w:lang w:val="en-US"/>
        </w:rPr>
      </w:pPr>
      <w:r w:rsidRPr="0084276A">
        <w:rPr>
          <w:rFonts w:ascii="Arial" w:hAnsi="Arial" w:cs="Arial"/>
          <w:b/>
          <w:lang w:val="en-US"/>
        </w:rPr>
        <w:t xml:space="preserve"> </w:t>
      </w:r>
      <w:r w:rsidRPr="00DF549A">
        <w:rPr>
          <w:noProof/>
          <w:lang w:eastAsia="fr-FR"/>
        </w:rPr>
        <w:drawing>
          <wp:inline distT="0" distB="0" distL="0" distR="0" wp14:anchorId="0FE11773" wp14:editId="494D5352">
            <wp:extent cx="5760720" cy="1212783"/>
            <wp:effectExtent l="0" t="0" r="0" b="698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49A7B" w14:textId="77777777" w:rsidR="003D4167" w:rsidRPr="00DF549A" w:rsidRDefault="003D4167" w:rsidP="003D4167">
      <w:pPr>
        <w:rPr>
          <w:rFonts w:ascii="Arial" w:hAnsi="Arial" w:cs="Arial"/>
          <w:sz w:val="16"/>
          <w:lang w:val="en-US"/>
        </w:rPr>
      </w:pPr>
      <w:r w:rsidRPr="00DF549A">
        <w:rPr>
          <w:rFonts w:ascii="Arial" w:hAnsi="Arial" w:cs="Arial"/>
          <w:i/>
          <w:iCs/>
          <w:sz w:val="16"/>
          <w:lang w:val="en-US"/>
        </w:rPr>
        <w:t>P</w:t>
      </w:r>
      <w:r w:rsidRPr="00DF549A">
        <w:rPr>
          <w:rFonts w:ascii="Arial" w:hAnsi="Arial" w:cs="Arial"/>
          <w:sz w:val="16"/>
          <w:lang w:val="en-US"/>
        </w:rPr>
        <w:t>, Mann &amp; Whitney test (Localized versus Metastatic)</w:t>
      </w:r>
    </w:p>
    <w:p w14:paraId="06373B0D" w14:textId="77777777" w:rsidR="003D4167" w:rsidRPr="005F0D7D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4479947B" w14:textId="368241A3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E1CE3AE" w14:textId="75575F6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3F3E06A" w14:textId="2DF50EDC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2D47EB49" w14:textId="3B1A0F6F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71CEECD6" w14:textId="2A60D3F1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FAF8450" w14:textId="6B73E101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78BCB70" w14:textId="29086D11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434CF5CC" w14:textId="7A7E7E0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1B5DA76" w14:textId="188ACDE4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20096252" w14:textId="230DAA00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E3F7D0B" w14:textId="44ACEDEE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930A29F" w14:textId="19DB7B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41C4592" w14:textId="1BA5B481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F0A70C3" w14:textId="0E94AFA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64B1C95" w14:textId="525E172C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7EABC733" w14:textId="1F05F60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06660CCB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  <w:r w:rsidRPr="005F0D7D">
        <w:rPr>
          <w:rFonts w:ascii="Arial" w:hAnsi="Arial" w:cs="Arial"/>
          <w:b/>
          <w:sz w:val="28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sz w:val="28"/>
          <w:lang w:val="en-US"/>
        </w:rPr>
        <w:t xml:space="preserve">Fig.1 </w:t>
      </w:r>
      <w:r w:rsidRPr="005F0D7D">
        <w:rPr>
          <w:rFonts w:ascii="Arial" w:hAnsi="Arial" w:cs="Arial"/>
          <w:b/>
          <w:sz w:val="28"/>
          <w:lang w:val="en-US"/>
        </w:rPr>
        <w:t xml:space="preserve"> </w:t>
      </w:r>
    </w:p>
    <w:p w14:paraId="14057FCC" w14:textId="77777777" w:rsidR="003D4167" w:rsidRPr="005F0D7D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204637E" w14:textId="77777777" w:rsidR="003D4167" w:rsidRPr="0035774B" w:rsidRDefault="003D4167" w:rsidP="003D4167">
      <w:pPr>
        <w:rPr>
          <w:lang w:val="en-US"/>
        </w:rPr>
      </w:pPr>
      <w:r w:rsidRPr="0035774B">
        <w:rPr>
          <w:noProof/>
        </w:rPr>
        <w:drawing>
          <wp:inline distT="0" distB="0" distL="0" distR="0" wp14:anchorId="07B74816" wp14:editId="1D5528D2">
            <wp:extent cx="3371850" cy="22764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99CF5" w14:textId="7D4D743C" w:rsidR="003D4167" w:rsidRPr="0035774B" w:rsidRDefault="003D4167" w:rsidP="003D4167">
      <w:pPr>
        <w:rPr>
          <w:lang w:val="en-US"/>
        </w:rPr>
      </w:pPr>
      <w:r w:rsidRPr="0035774B">
        <w:rPr>
          <w:b/>
          <w:bCs/>
          <w:lang w:val="en-US"/>
        </w:rPr>
        <w:t>Supplementary Figure 1</w:t>
      </w:r>
      <w:r w:rsidRPr="0035774B">
        <w:rPr>
          <w:lang w:val="en-US"/>
        </w:rPr>
        <w:t xml:space="preserve">: T cells responses against TERT and virus in age-matched healthy donors and NSCLC patients. </w:t>
      </w:r>
      <w:r>
        <w:rPr>
          <w:b/>
          <w:lang w:val="en-US"/>
        </w:rPr>
        <w:t>a</w:t>
      </w:r>
      <w:r w:rsidRPr="0035774B">
        <w:rPr>
          <w:lang w:val="en-US"/>
        </w:rPr>
        <w:t xml:space="preserve">, Frequency of anti-TERT and anti-viral T cell responses in </w:t>
      </w:r>
      <w:r>
        <w:rPr>
          <w:lang w:val="en-US"/>
        </w:rPr>
        <w:t xml:space="preserve">22 age-matched healthy donors. </w:t>
      </w:r>
      <w:r w:rsidRPr="0035774B">
        <w:rPr>
          <w:b/>
          <w:lang w:val="en-US"/>
        </w:rPr>
        <w:t>b</w:t>
      </w:r>
      <w:r w:rsidRPr="0035774B">
        <w:rPr>
          <w:lang w:val="en-US"/>
        </w:rPr>
        <w:t xml:space="preserve">, Frequency of anti-TERT </w:t>
      </w:r>
      <w:r>
        <w:rPr>
          <w:lang w:val="en-US"/>
        </w:rPr>
        <w:t>and anti-viral T cell responses</w:t>
      </w:r>
      <w:r>
        <w:rPr>
          <w:lang w:val="en-US"/>
        </w:rPr>
        <w:t xml:space="preserve"> in 170 NSCLC patients</w:t>
      </w:r>
      <w:r w:rsidRPr="0035774B">
        <w:rPr>
          <w:lang w:val="en-US"/>
        </w:rPr>
        <w:t xml:space="preserve">. </w:t>
      </w:r>
    </w:p>
    <w:p w14:paraId="42BC1FD1" w14:textId="1F711C88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1605543" w14:textId="77B3CC98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47BCDA94" w14:textId="331A473E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22BE972" w14:textId="39A77EAD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9B37887" w14:textId="2523D066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9FEAE79" w14:textId="6A78347E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2082AC21" w14:textId="5012261C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34CDBE2" w14:textId="169C5388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A801BDA" w14:textId="63188BA0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FB16A7E" w14:textId="144F36CC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DF5ED7A" w14:textId="1EA43218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1C229538" w14:textId="75C3384B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D5382DD" w14:textId="67D04E98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D641627" w14:textId="43B2B673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ED5E216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  <w:r w:rsidRPr="005F0D7D">
        <w:rPr>
          <w:rFonts w:ascii="Arial" w:hAnsi="Arial" w:cs="Arial"/>
          <w:b/>
          <w:sz w:val="28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sz w:val="28"/>
          <w:lang w:val="en-US"/>
        </w:rPr>
        <w:t xml:space="preserve">Fig.2 </w:t>
      </w:r>
      <w:r w:rsidRPr="005F0D7D">
        <w:rPr>
          <w:rFonts w:ascii="Arial" w:hAnsi="Arial" w:cs="Arial"/>
          <w:b/>
          <w:sz w:val="28"/>
          <w:lang w:val="en-US"/>
        </w:rPr>
        <w:t xml:space="preserve"> </w:t>
      </w:r>
    </w:p>
    <w:p w14:paraId="1E4F51BE" w14:textId="77777777" w:rsidR="003D4167" w:rsidRPr="005F0D7D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63FFA14A" w14:textId="77777777" w:rsidR="003D4167" w:rsidRPr="0035774B" w:rsidRDefault="003D4167" w:rsidP="003D4167">
      <w:pPr>
        <w:rPr>
          <w:lang w:val="en-US"/>
        </w:rPr>
      </w:pPr>
      <w:r w:rsidRPr="00D95498">
        <w:rPr>
          <w:noProof/>
        </w:rPr>
        <w:drawing>
          <wp:inline distT="0" distB="0" distL="0" distR="0" wp14:anchorId="60F29700" wp14:editId="5597D030">
            <wp:extent cx="5760720" cy="43296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B87B8" w14:textId="0EDB599F" w:rsidR="003D4167" w:rsidRPr="00D95498" w:rsidRDefault="003D4167" w:rsidP="003D4167">
      <w:pPr>
        <w:jc w:val="both"/>
        <w:rPr>
          <w:bCs/>
          <w:lang w:val="en-US"/>
        </w:rPr>
      </w:pPr>
      <w:r w:rsidRPr="00D95498">
        <w:rPr>
          <w:b/>
          <w:bCs/>
          <w:lang w:val="en-US"/>
        </w:rPr>
        <w:t xml:space="preserve">Supplementary Figure 2: </w:t>
      </w:r>
      <w:r w:rsidRPr="00D95498">
        <w:rPr>
          <w:bCs/>
          <w:lang w:val="en-US"/>
        </w:rPr>
        <w:t>Association between the leve</w:t>
      </w:r>
      <w:r>
        <w:rPr>
          <w:bCs/>
          <w:lang w:val="en-US"/>
        </w:rPr>
        <w:t>ls of circulating</w:t>
      </w:r>
      <w:r w:rsidRPr="00D95498">
        <w:rPr>
          <w:bCs/>
          <w:lang w:val="en-US"/>
        </w:rPr>
        <w:t xml:space="preserve"> exhausted PD1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and/or TIM-3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CD4</w:t>
      </w:r>
      <w:r w:rsidRPr="00D95498">
        <w:rPr>
          <w:bCs/>
          <w:vertAlign w:val="superscript"/>
          <w:lang w:val="en-US"/>
        </w:rPr>
        <w:t>+</w:t>
      </w:r>
      <w:r>
        <w:rPr>
          <w:bCs/>
          <w:lang w:val="en-US"/>
        </w:rPr>
        <w:t xml:space="preserve"> </w:t>
      </w:r>
      <w:r w:rsidRPr="00D95498">
        <w:rPr>
          <w:bCs/>
          <w:lang w:val="en-US"/>
        </w:rPr>
        <w:t>T-cell subsets and overall survival. Two groups were determined based on the median rate of PD-1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or TIM-3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CD4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T cell subset (see Supplementary Table 3). </w:t>
      </w:r>
      <w:r w:rsidRPr="00D95498">
        <w:rPr>
          <w:b/>
          <w:bCs/>
          <w:lang w:val="en-US"/>
        </w:rPr>
        <w:t>a and b</w:t>
      </w:r>
      <w:r w:rsidRPr="00D95498">
        <w:rPr>
          <w:bCs/>
          <w:lang w:val="en-US"/>
        </w:rPr>
        <w:t>, Kaplan–Meier curves a</w:t>
      </w:r>
      <w:r>
        <w:rPr>
          <w:bCs/>
          <w:lang w:val="en-US"/>
        </w:rPr>
        <w:t xml:space="preserve">ccording to the median rate of </w:t>
      </w:r>
      <w:r w:rsidRPr="00D95498">
        <w:rPr>
          <w:bCs/>
          <w:lang w:val="en-US"/>
        </w:rPr>
        <w:t>PD-1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>TIM-3</w:t>
      </w:r>
      <w:r w:rsidRPr="00D95498">
        <w:rPr>
          <w:bCs/>
          <w:vertAlign w:val="superscript"/>
          <w:lang w:val="en-US"/>
        </w:rPr>
        <w:t xml:space="preserve">+ </w:t>
      </w:r>
      <w:r>
        <w:rPr>
          <w:bCs/>
          <w:lang w:val="en-US"/>
        </w:rPr>
        <w:t>CD4 T cells</w:t>
      </w:r>
      <w:r w:rsidRPr="00D95498">
        <w:rPr>
          <w:bCs/>
          <w:lang w:val="en-US"/>
        </w:rPr>
        <w:t>: in localized stages (</w:t>
      </w:r>
      <w:r w:rsidRPr="00D95498">
        <w:rPr>
          <w:bCs/>
          <w:i/>
          <w:iCs/>
          <w:lang w:val="en-US"/>
        </w:rPr>
        <w:t>n</w:t>
      </w:r>
      <w:r w:rsidRPr="00D95498">
        <w:rPr>
          <w:bCs/>
          <w:lang w:val="en-US"/>
        </w:rPr>
        <w:t xml:space="preserve"> = 35) (</w:t>
      </w:r>
      <w:r w:rsidRPr="00D95498">
        <w:rPr>
          <w:b/>
          <w:bCs/>
          <w:lang w:val="en-US"/>
        </w:rPr>
        <w:t>a</w:t>
      </w:r>
      <w:r w:rsidRPr="00D95498">
        <w:rPr>
          <w:bCs/>
          <w:lang w:val="en-US"/>
        </w:rPr>
        <w:t>), and in me</w:t>
      </w:r>
      <w:r>
        <w:rPr>
          <w:bCs/>
          <w:lang w:val="en-US"/>
        </w:rPr>
        <w:t xml:space="preserve">tastatic stage </w:t>
      </w:r>
      <w:r w:rsidRPr="00D95498">
        <w:rPr>
          <w:bCs/>
          <w:lang w:val="en-US"/>
        </w:rPr>
        <w:t>(</w:t>
      </w:r>
      <w:r w:rsidRPr="00D95498">
        <w:rPr>
          <w:bCs/>
          <w:i/>
          <w:iCs/>
          <w:lang w:val="en-US"/>
        </w:rPr>
        <w:t>n</w:t>
      </w:r>
      <w:r w:rsidRPr="00D95498">
        <w:rPr>
          <w:bCs/>
          <w:lang w:val="en-US"/>
        </w:rPr>
        <w:t xml:space="preserve"> = 18) (</w:t>
      </w:r>
      <w:r w:rsidRPr="00D95498">
        <w:rPr>
          <w:b/>
          <w:bCs/>
          <w:lang w:val="en-US"/>
        </w:rPr>
        <w:t>b</w:t>
      </w:r>
      <w:r w:rsidRPr="00D95498">
        <w:rPr>
          <w:bCs/>
          <w:lang w:val="en-US"/>
        </w:rPr>
        <w:t xml:space="preserve">) (log-rank tests). </w:t>
      </w:r>
      <w:r w:rsidRPr="00D95498">
        <w:rPr>
          <w:b/>
          <w:bCs/>
          <w:lang w:val="en-US"/>
        </w:rPr>
        <w:t>c and d</w:t>
      </w:r>
      <w:r w:rsidRPr="00D95498">
        <w:rPr>
          <w:bCs/>
          <w:lang w:val="en-US"/>
        </w:rPr>
        <w:t>, Kaplan–Meier curves according to the level of PD-1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CD4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T-cell (c) or TIM-3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CD4</w:t>
      </w:r>
      <w:r w:rsidRPr="00D95498">
        <w:rPr>
          <w:bCs/>
          <w:vertAlign w:val="superscript"/>
          <w:lang w:val="en-US"/>
        </w:rPr>
        <w:t>+</w:t>
      </w:r>
      <w:r w:rsidRPr="00D95498">
        <w:rPr>
          <w:bCs/>
          <w:lang w:val="en-US"/>
        </w:rPr>
        <w:t xml:space="preserve"> T-cell (d) (log-rank tests).</w:t>
      </w:r>
      <w:bookmarkStart w:id="0" w:name="_GoBack"/>
      <w:bookmarkEnd w:id="0"/>
    </w:p>
    <w:p w14:paraId="3A0E4347" w14:textId="77777777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474F9420" w14:textId="52F26498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809F44F" w14:textId="70EE5369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0202E5C0" w14:textId="44349AF1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128DF21" w14:textId="0804BBB9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38A26DAB" w14:textId="4A55FB35" w:rsidR="003D4167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5F930209" w14:textId="77777777" w:rsidR="003D4167" w:rsidRPr="005F0D7D" w:rsidRDefault="003D4167" w:rsidP="003D4167">
      <w:pPr>
        <w:rPr>
          <w:rFonts w:ascii="Arial" w:hAnsi="Arial" w:cs="Arial"/>
          <w:b/>
          <w:sz w:val="28"/>
          <w:lang w:val="en-US"/>
        </w:rPr>
      </w:pPr>
    </w:p>
    <w:p w14:paraId="732B22FB" w14:textId="77777777" w:rsidR="003D4167" w:rsidRPr="0035774B" w:rsidRDefault="003D4167" w:rsidP="003D4167">
      <w:pPr>
        <w:rPr>
          <w:lang w:val="en-US"/>
        </w:rPr>
      </w:pPr>
    </w:p>
    <w:p w14:paraId="542A513F" w14:textId="77777777" w:rsidR="003D4167" w:rsidRDefault="003D4167"/>
    <w:p w14:paraId="42461C19" w14:textId="77777777" w:rsidR="00CC1A05" w:rsidRDefault="00CC1A05"/>
    <w:sectPr w:rsidR="00CC1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A05"/>
    <w:rsid w:val="002A27CF"/>
    <w:rsid w:val="003D4167"/>
    <w:rsid w:val="005F0D7D"/>
    <w:rsid w:val="005F3523"/>
    <w:rsid w:val="0061492A"/>
    <w:rsid w:val="00C5621E"/>
    <w:rsid w:val="00CC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61C15"/>
  <w15:docId w15:val="{5AD07AA8-4ED8-4035-8EDA-CD9D4F38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Caroline.Laheurte</dc:creator>
  <cp:lastModifiedBy>Rachel Hughs</cp:lastModifiedBy>
  <cp:revision>3</cp:revision>
  <dcterms:created xsi:type="dcterms:W3CDTF">2019-05-14T13:33:00Z</dcterms:created>
  <dcterms:modified xsi:type="dcterms:W3CDTF">2019-07-03T13:58:00Z</dcterms:modified>
</cp:coreProperties>
</file>