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F7A241" w14:textId="1DCC3444" w:rsidR="0064344B" w:rsidRDefault="0064344B" w:rsidP="0064344B">
      <w:pPr>
        <w:spacing w:line="480" w:lineRule="auto"/>
        <w:contextualSpacing/>
        <w:outlineLvl w:val="0"/>
        <w:rPr>
          <w:b/>
        </w:rPr>
      </w:pPr>
      <w:r>
        <w:rPr>
          <w:b/>
        </w:rPr>
        <w:t>Su</w:t>
      </w:r>
      <w:r w:rsidR="00FA0C2A">
        <w:rPr>
          <w:b/>
        </w:rPr>
        <w:t>pplementary Figures and Legends</w:t>
      </w:r>
      <w:bookmarkStart w:id="0" w:name="_GoBack"/>
      <w:bookmarkEnd w:id="0"/>
    </w:p>
    <w:p w14:paraId="101867CA" w14:textId="77777777" w:rsidR="0064344B" w:rsidRDefault="0064344B" w:rsidP="0064344B">
      <w:pPr>
        <w:spacing w:line="480" w:lineRule="auto"/>
        <w:contextualSpacing/>
        <w:outlineLvl w:val="0"/>
        <w:rPr>
          <w:b/>
        </w:rPr>
      </w:pPr>
      <w:r>
        <w:rPr>
          <w:b/>
          <w:noProof/>
        </w:rPr>
        <w:drawing>
          <wp:inline distT="0" distB="0" distL="0" distR="0" wp14:anchorId="763388A5" wp14:editId="320E24D8">
            <wp:extent cx="5731510" cy="8111490"/>
            <wp:effectExtent l="0" t="0" r="254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upplementary figure 1.tif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1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527180" w14:textId="77777777" w:rsidR="0064344B" w:rsidRPr="00431BA4" w:rsidRDefault="0064344B" w:rsidP="0064344B">
      <w:pPr>
        <w:spacing w:line="480" w:lineRule="auto"/>
        <w:contextualSpacing/>
        <w:outlineLvl w:val="0"/>
        <w:rPr>
          <w:b/>
        </w:rPr>
      </w:pPr>
      <w:r w:rsidRPr="00431BA4">
        <w:rPr>
          <w:b/>
        </w:rPr>
        <w:t>Figure 1.</w:t>
      </w:r>
      <w:r w:rsidRPr="00431BA4">
        <w:t xml:space="preserve"> (only available on-line): NVALT-8 study design.</w:t>
      </w:r>
    </w:p>
    <w:p w14:paraId="5CD8E90E" w14:textId="77777777" w:rsidR="0064344B" w:rsidRDefault="0064344B" w:rsidP="0064344B">
      <w:pPr>
        <w:tabs>
          <w:tab w:val="num" w:pos="720"/>
        </w:tabs>
        <w:spacing w:line="480" w:lineRule="auto"/>
        <w:contextualSpacing/>
        <w:rPr>
          <w:b/>
        </w:rPr>
      </w:pPr>
      <w:r>
        <w:rPr>
          <w:b/>
          <w:noProof/>
        </w:rPr>
        <w:lastRenderedPageBreak/>
        <w:drawing>
          <wp:inline distT="0" distB="0" distL="0" distR="0" wp14:anchorId="63A83288" wp14:editId="46A770DC">
            <wp:extent cx="5731510" cy="3538855"/>
            <wp:effectExtent l="0" t="0" r="2540" b="444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upplementary Figure 2.tif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538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71A8B6" w14:textId="77777777" w:rsidR="0064344B" w:rsidRPr="00431BA4" w:rsidRDefault="0064344B" w:rsidP="0064344B">
      <w:pPr>
        <w:tabs>
          <w:tab w:val="num" w:pos="720"/>
        </w:tabs>
        <w:spacing w:line="480" w:lineRule="auto"/>
        <w:contextualSpacing/>
      </w:pPr>
      <w:r w:rsidRPr="00431BA4">
        <w:rPr>
          <w:b/>
        </w:rPr>
        <w:t xml:space="preserve">Figure 2 </w:t>
      </w:r>
      <w:r w:rsidRPr="00431BA4">
        <w:t>(only available on line)</w:t>
      </w:r>
      <w:r w:rsidRPr="00431BA4">
        <w:rPr>
          <w:b/>
        </w:rPr>
        <w:t>.</w:t>
      </w:r>
      <w:r w:rsidRPr="00431BA4">
        <w:t xml:space="preserve"> Recurrence-free survival in patients with resectable NSCLC stratified into </w:t>
      </w:r>
      <w:proofErr w:type="spellStart"/>
      <w:r w:rsidRPr="00431BA4">
        <w:t>SUVmax</w:t>
      </w:r>
      <w:proofErr w:type="spellEnd"/>
      <w:r w:rsidRPr="00431BA4">
        <w:rPr>
          <w:rFonts w:eastAsia="Calibri"/>
        </w:rPr>
        <w:t>-</w:t>
      </w:r>
      <w:r w:rsidRPr="00431BA4">
        <w:t>based risk groups.</w:t>
      </w:r>
    </w:p>
    <w:p w14:paraId="0B6213CE" w14:textId="77777777" w:rsidR="0064344B" w:rsidRPr="00431BA4" w:rsidRDefault="0064344B" w:rsidP="0064344B">
      <w:pPr>
        <w:spacing w:line="480" w:lineRule="auto"/>
        <w:contextualSpacing/>
        <w:rPr>
          <w:color w:val="000000" w:themeColor="text1"/>
        </w:rPr>
      </w:pPr>
      <w:r w:rsidRPr="00431BA4">
        <w:t xml:space="preserve">High risk was defined as </w:t>
      </w:r>
      <w:proofErr w:type="spellStart"/>
      <w:r w:rsidRPr="00431BA4">
        <w:t>SUVmax</w:t>
      </w:r>
      <w:proofErr w:type="spellEnd"/>
      <w:r w:rsidRPr="00431BA4">
        <w:t xml:space="preserve"> ≥ 10 in the primary tumour, while low risk was defined as </w:t>
      </w:r>
      <w:proofErr w:type="spellStart"/>
      <w:r w:rsidRPr="00431BA4">
        <w:t>SUVmax</w:t>
      </w:r>
      <w:proofErr w:type="spellEnd"/>
      <w:r w:rsidRPr="00431BA4">
        <w:t xml:space="preserve"> &lt; 10.</w:t>
      </w:r>
      <w:r w:rsidRPr="00431BA4">
        <w:rPr>
          <w:rFonts w:eastAsia="Times New Roman"/>
          <w:color w:val="333333"/>
          <w:lang w:eastAsia="nl-NL"/>
        </w:rPr>
        <w:t xml:space="preserve"> Patients with high versus low </w:t>
      </w:r>
      <w:proofErr w:type="spellStart"/>
      <w:r w:rsidRPr="00431BA4">
        <w:rPr>
          <w:rFonts w:eastAsia="Times New Roman"/>
          <w:color w:val="333333"/>
          <w:lang w:eastAsia="nl-NL"/>
        </w:rPr>
        <w:t>SUVmax</w:t>
      </w:r>
      <w:proofErr w:type="spellEnd"/>
      <w:r w:rsidRPr="00431BA4">
        <w:rPr>
          <w:rFonts w:eastAsia="Times New Roman"/>
          <w:color w:val="333333"/>
          <w:lang w:eastAsia="nl-NL"/>
        </w:rPr>
        <w:t xml:space="preserve"> values had different recurrence-free survival rates in the first year </w:t>
      </w:r>
      <w:r w:rsidRPr="00431BA4">
        <w:rPr>
          <w:rFonts w:eastAsia="Times New Roman"/>
          <w:color w:val="000000" w:themeColor="text1"/>
          <w:lang w:eastAsia="nl-NL"/>
        </w:rPr>
        <w:t xml:space="preserve">(HR </w:t>
      </w:r>
      <w:r w:rsidRPr="00431BA4">
        <w:rPr>
          <w:color w:val="000000" w:themeColor="text1"/>
        </w:rPr>
        <w:t xml:space="preserve">0.48, 95% CI 0.22 – 0.9, </w:t>
      </w:r>
      <w:r w:rsidRPr="00431BA4">
        <w:rPr>
          <w:i/>
        </w:rPr>
        <w:t>P</w:t>
      </w:r>
      <w:r w:rsidRPr="00431BA4">
        <w:rPr>
          <w:color w:val="000000" w:themeColor="text1"/>
        </w:rPr>
        <w:t xml:space="preserve"> = 0.05); thereafter, there were no differences. Crossing of the curves occurred at 20 months.</w:t>
      </w:r>
    </w:p>
    <w:p w14:paraId="4C9E7677" w14:textId="77777777" w:rsidR="009B173C" w:rsidRDefault="009B173C"/>
    <w:sectPr w:rsidR="009B173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344B"/>
    <w:rsid w:val="0064344B"/>
    <w:rsid w:val="009B173C"/>
    <w:rsid w:val="00FA0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00DD3A"/>
  <w15:chartTrackingRefBased/>
  <w15:docId w15:val="{708D2D55-CB53-4362-8A9F-BF929EEAD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4344B"/>
    <w:pPr>
      <w:spacing w:after="0" w:line="240" w:lineRule="auto"/>
    </w:pPr>
    <w:rPr>
      <w:rFonts w:ascii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tiff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84</Words>
  <Characters>484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Cancer Research UK</Company>
  <LinksUpToDate>false</LinksUpToDate>
  <CharactersWithSpaces>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Hughs</dc:creator>
  <cp:keywords/>
  <dc:description/>
  <cp:lastModifiedBy>Rachel Hughs</cp:lastModifiedBy>
  <cp:revision>2</cp:revision>
  <dcterms:created xsi:type="dcterms:W3CDTF">2019-07-04T09:36:00Z</dcterms:created>
  <dcterms:modified xsi:type="dcterms:W3CDTF">2019-07-04T09:39:00Z</dcterms:modified>
</cp:coreProperties>
</file>