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7C141" w14:textId="77777777" w:rsidR="00090C05" w:rsidRPr="00E24FE4" w:rsidRDefault="00090C05" w:rsidP="00090C05">
      <w:pPr>
        <w:pStyle w:val="C-BodyText"/>
        <w:spacing w:before="0" w:after="0" w:line="48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E24FE4">
        <w:rPr>
          <w:rFonts w:ascii="Arial" w:hAnsi="Arial" w:cs="Arial"/>
          <w:b/>
          <w:sz w:val="20"/>
          <w:szCs w:val="20"/>
          <w:u w:val="single"/>
        </w:rPr>
        <w:t xml:space="preserve">Supplementary information: </w:t>
      </w:r>
    </w:p>
    <w:p w14:paraId="529DC576" w14:textId="77777777" w:rsidR="00090C05" w:rsidRPr="00E24FE4" w:rsidRDefault="00090C05" w:rsidP="00090C05">
      <w:pPr>
        <w:pStyle w:val="C-BodyText"/>
        <w:spacing w:before="0" w:after="0" w:line="480" w:lineRule="auto"/>
        <w:rPr>
          <w:rFonts w:ascii="Arial" w:hAnsi="Arial" w:cs="Arial"/>
          <w:sz w:val="20"/>
          <w:szCs w:val="20"/>
        </w:rPr>
      </w:pPr>
    </w:p>
    <w:p w14:paraId="09AD1A76" w14:textId="77777777" w:rsidR="00090C05" w:rsidRPr="00E24FE4" w:rsidRDefault="00090C05" w:rsidP="00090C05">
      <w:pPr>
        <w:pStyle w:val="C-BodyText"/>
        <w:numPr>
          <w:ilvl w:val="0"/>
          <w:numId w:val="1"/>
        </w:numPr>
        <w:spacing w:before="0" w:after="0" w:line="480" w:lineRule="auto"/>
        <w:rPr>
          <w:rFonts w:ascii="Arial" w:hAnsi="Arial" w:cs="Arial"/>
          <w:sz w:val="20"/>
          <w:szCs w:val="20"/>
        </w:rPr>
      </w:pPr>
      <w:r w:rsidRPr="00E24FE4">
        <w:rPr>
          <w:rFonts w:ascii="Arial" w:hAnsi="Arial" w:cs="Arial"/>
          <w:sz w:val="20"/>
          <w:szCs w:val="20"/>
        </w:rPr>
        <w:t xml:space="preserve">Supplementary table </w:t>
      </w:r>
      <w:proofErr w:type="gramStart"/>
      <w:r w:rsidRPr="00E24FE4">
        <w:rPr>
          <w:rFonts w:ascii="Arial" w:hAnsi="Arial" w:cs="Arial"/>
          <w:sz w:val="20"/>
          <w:szCs w:val="20"/>
        </w:rPr>
        <w:t>1.xlxs</w:t>
      </w:r>
      <w:proofErr w:type="gramEnd"/>
    </w:p>
    <w:p w14:paraId="50DCC522" w14:textId="77777777" w:rsidR="00090C05" w:rsidRDefault="00090C05" w:rsidP="00090C05">
      <w:pPr>
        <w:pStyle w:val="C-BodyText"/>
        <w:spacing w:before="0" w:after="0" w:line="480" w:lineRule="auto"/>
        <w:ind w:left="720"/>
        <w:rPr>
          <w:rFonts w:ascii="Arial" w:hAnsi="Arial" w:cs="Arial"/>
          <w:sz w:val="20"/>
          <w:szCs w:val="20"/>
        </w:rPr>
      </w:pPr>
      <w:r w:rsidRPr="00E24FE4">
        <w:rPr>
          <w:rFonts w:ascii="Arial" w:hAnsi="Arial" w:cs="Arial"/>
          <w:sz w:val="20"/>
          <w:szCs w:val="20"/>
        </w:rPr>
        <w:t>Table containing information on patient disposition in the dose escalation phase</w:t>
      </w:r>
    </w:p>
    <w:p w14:paraId="40837FE5" w14:textId="77777777" w:rsidR="00090C05" w:rsidRDefault="00090C05" w:rsidP="00090C05">
      <w:pPr>
        <w:pStyle w:val="C-BodyText"/>
        <w:spacing w:before="0" w:after="0" w:line="480" w:lineRule="auto"/>
        <w:ind w:left="720"/>
        <w:rPr>
          <w:rFonts w:ascii="Arial" w:hAnsi="Arial" w:cs="Arial"/>
          <w:sz w:val="20"/>
          <w:szCs w:val="20"/>
        </w:rPr>
      </w:pPr>
    </w:p>
    <w:p w14:paraId="0FCE462B" w14:textId="77777777" w:rsidR="00090C05" w:rsidRDefault="00090C05" w:rsidP="00090C05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E24FE4">
        <w:rPr>
          <w:rFonts w:ascii="Arial" w:hAnsi="Arial" w:cs="Arial"/>
          <w:b/>
          <w:sz w:val="20"/>
          <w:szCs w:val="20"/>
        </w:rPr>
        <w:t>Supplementary table 1. Patient disposition in the dose escalation phase</w:t>
      </w:r>
    </w:p>
    <w:tbl>
      <w:tblPr>
        <w:tblW w:w="87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00"/>
        <w:gridCol w:w="1080"/>
        <w:gridCol w:w="1080"/>
        <w:gridCol w:w="1500"/>
        <w:gridCol w:w="1060"/>
        <w:gridCol w:w="1060"/>
      </w:tblGrid>
      <w:tr w:rsidR="00090C05" w:rsidRPr="00090C05" w14:paraId="0B4E56B0" w14:textId="77777777" w:rsidTr="000850E2">
        <w:trPr>
          <w:trHeight w:val="300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668827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24AA3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DL 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61C78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DL 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EE57C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DL 2.1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6A13C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DL 2.1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456CF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DL 2.2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31F23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DL 3</w:t>
            </w:r>
          </w:p>
        </w:tc>
      </w:tr>
      <w:tr w:rsidR="00090C05" w:rsidRPr="00090C05" w14:paraId="7E59CFDE" w14:textId="77777777" w:rsidTr="000850E2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6050AA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3627A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70 mg BID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59832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150 mg BID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C80A5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200 mg BID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0028C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200 mg BID cont.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E8F12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250 mg BID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39A0D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300 mg BID</w:t>
            </w:r>
          </w:p>
        </w:tc>
      </w:tr>
      <w:tr w:rsidR="00090C05" w:rsidRPr="00090C05" w14:paraId="5A5C9249" w14:textId="77777777" w:rsidTr="000850E2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886E42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AC87F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n (%)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A86E8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n (%)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632CB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n (%)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77EA5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n (%)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2652B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n (%)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00BAC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n (%)</w:t>
            </w:r>
          </w:p>
        </w:tc>
      </w:tr>
      <w:tr w:rsidR="00090C05" w:rsidRPr="00090C05" w14:paraId="4DBC1F02" w14:textId="77777777" w:rsidTr="000850E2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64DB54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treated patients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EF311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FACF0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A6442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4EF33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94C5A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2BD7C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090C05" w:rsidRPr="00090C05" w14:paraId="6BEFA71C" w14:textId="77777777" w:rsidTr="000850E2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FE5BDB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DLT evaluable patients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6A903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3 (75.0)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ECABC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10 (100.0)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43E79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6 (85.7)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DA04B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5 (83.3)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B2C25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4 (80.0)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96B8D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2 (100.0)</w:t>
            </w:r>
          </w:p>
        </w:tc>
      </w:tr>
      <w:tr w:rsidR="00090C05" w:rsidRPr="00090C05" w14:paraId="2EDA6225" w14:textId="77777777" w:rsidTr="000850E2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EAC16D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 xml:space="preserve">DLT occurence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B4DF0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9B3C7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286A0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37DD7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F9984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132E6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090C05" w:rsidRPr="00090C05" w14:paraId="0BAD20B5" w14:textId="77777777" w:rsidTr="000850E2">
        <w:trPr>
          <w:trHeight w:val="300"/>
        </w:trPr>
        <w:tc>
          <w:tcPr>
            <w:tcW w:w="768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EEF3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The DLT Population comprised 30 patients; 4 (11.8%) were excluded because they received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2A8A8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</w:tr>
      <w:tr w:rsidR="00090C05" w:rsidRPr="00090C05" w14:paraId="4D22B130" w14:textId="77777777" w:rsidTr="000850E2">
        <w:trPr>
          <w:trHeight w:val="300"/>
        </w:trPr>
        <w:tc>
          <w:tcPr>
            <w:tcW w:w="512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73E8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&lt; 80% of the planned dose in Cycle 1 without a DLT.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4EF1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4E38" w14:textId="77777777" w:rsidR="00090C05" w:rsidRPr="00090C05" w:rsidRDefault="00090C05" w:rsidP="0008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16594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</w:tr>
      <w:tr w:rsidR="00090C05" w:rsidRPr="00090C05" w14:paraId="1AE0D0C4" w14:textId="77777777" w:rsidTr="000850E2">
        <w:trPr>
          <w:trHeight w:val="315"/>
        </w:trPr>
        <w:tc>
          <w:tcPr>
            <w:tcW w:w="51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450C9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DLT = dose-limiting toxicity, cont. </w:t>
            </w: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= continuous schedule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BFA66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1EA8E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018B5" w14:textId="77777777" w:rsidR="00090C05" w:rsidRPr="00090C05" w:rsidRDefault="00090C05" w:rsidP="0008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090C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</w:tr>
    </w:tbl>
    <w:p w14:paraId="3DB5B017" w14:textId="77777777" w:rsidR="00090C05" w:rsidRDefault="00090C05" w:rsidP="00090C05">
      <w:pPr>
        <w:pStyle w:val="C-BodyText"/>
        <w:spacing w:before="0" w:after="0" w:line="480" w:lineRule="auto"/>
        <w:ind w:left="720"/>
        <w:rPr>
          <w:rFonts w:ascii="Arial" w:hAnsi="Arial" w:cs="Arial"/>
          <w:sz w:val="20"/>
          <w:szCs w:val="20"/>
        </w:rPr>
      </w:pPr>
    </w:p>
    <w:p w14:paraId="7E3147BB" w14:textId="77777777" w:rsidR="00090C05" w:rsidRPr="00E24FE4" w:rsidRDefault="00090C05" w:rsidP="00090C05">
      <w:pPr>
        <w:pStyle w:val="C-BodyText"/>
        <w:spacing w:before="0" w:after="0" w:line="480" w:lineRule="auto"/>
        <w:ind w:left="720"/>
        <w:rPr>
          <w:rFonts w:ascii="Arial" w:hAnsi="Arial" w:cs="Arial"/>
          <w:sz w:val="20"/>
          <w:szCs w:val="20"/>
        </w:rPr>
      </w:pPr>
    </w:p>
    <w:p w14:paraId="4399C7EB" w14:textId="77777777" w:rsidR="00090C05" w:rsidRPr="00E24FE4" w:rsidRDefault="00090C05" w:rsidP="00090C05">
      <w:pPr>
        <w:pStyle w:val="C-BodyText"/>
        <w:numPr>
          <w:ilvl w:val="0"/>
          <w:numId w:val="1"/>
        </w:numPr>
        <w:spacing w:before="0" w:after="0" w:line="480" w:lineRule="auto"/>
        <w:rPr>
          <w:rFonts w:ascii="Arial" w:hAnsi="Arial" w:cs="Arial"/>
          <w:sz w:val="20"/>
          <w:szCs w:val="20"/>
        </w:rPr>
      </w:pPr>
      <w:r w:rsidRPr="00E24FE4">
        <w:rPr>
          <w:rFonts w:ascii="Arial" w:hAnsi="Arial" w:cs="Arial"/>
          <w:sz w:val="20"/>
          <w:szCs w:val="20"/>
        </w:rPr>
        <w:t>Supplementary text.docx</w:t>
      </w:r>
    </w:p>
    <w:p w14:paraId="7D976D4A" w14:textId="77777777" w:rsidR="00090C05" w:rsidRDefault="00090C05" w:rsidP="00090C05">
      <w:pPr>
        <w:pStyle w:val="C-BodyText"/>
        <w:spacing w:before="0" w:after="0" w:line="480" w:lineRule="auto"/>
        <w:rPr>
          <w:rFonts w:ascii="Arial" w:hAnsi="Arial" w:cs="Arial"/>
          <w:sz w:val="20"/>
          <w:szCs w:val="20"/>
        </w:rPr>
      </w:pPr>
    </w:p>
    <w:p w14:paraId="3548B7CE" w14:textId="77777777" w:rsidR="00090C05" w:rsidRPr="00090C05" w:rsidRDefault="00090C05" w:rsidP="00090C05">
      <w:pPr>
        <w:pStyle w:val="C-BodyText"/>
        <w:spacing w:before="0" w:after="0" w:line="480" w:lineRule="auto"/>
        <w:rPr>
          <w:rFonts w:ascii="Arial" w:hAnsi="Arial" w:cs="Arial"/>
          <w:b/>
          <w:sz w:val="20"/>
          <w:szCs w:val="20"/>
        </w:rPr>
      </w:pPr>
      <w:r w:rsidRPr="00090C05">
        <w:rPr>
          <w:rFonts w:ascii="Arial" w:hAnsi="Arial" w:cs="Arial"/>
          <w:b/>
          <w:sz w:val="20"/>
          <w:szCs w:val="20"/>
        </w:rPr>
        <w:t>Inclusion and exclusion criteria of the trial</w:t>
      </w:r>
    </w:p>
    <w:p w14:paraId="41C0207E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A33771">
        <w:rPr>
          <w:rFonts w:ascii="Arial" w:hAnsi="Arial" w:cs="Arial"/>
          <w:b/>
          <w:bCs/>
          <w:sz w:val="20"/>
          <w:szCs w:val="20"/>
          <w:lang w:val="en-GB"/>
        </w:rPr>
        <w:t>Inclusion Criteria</w:t>
      </w:r>
    </w:p>
    <w:p w14:paraId="02AB66A2" w14:textId="77777777" w:rsidR="00090C05" w:rsidRDefault="00090C05" w:rsidP="00090C0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1. </w:t>
      </w:r>
      <w:r w:rsidRPr="00A33771">
        <w:rPr>
          <w:rFonts w:ascii="Arial" w:hAnsi="Arial" w:cs="Arial"/>
          <w:sz w:val="20"/>
          <w:szCs w:val="20"/>
          <w:lang w:val="en-GB"/>
        </w:rPr>
        <w:t xml:space="preserve">Is a </w:t>
      </w:r>
      <w:r w:rsidRPr="00A33771">
        <w:rPr>
          <w:rFonts w:ascii="Arial" w:eastAsia="TimesNewRomanPSMT" w:hAnsi="Arial" w:cs="Arial"/>
          <w:sz w:val="20"/>
          <w:szCs w:val="20"/>
          <w:lang w:val="en-GB"/>
        </w:rPr>
        <w:t>male or female ≥18 years of age, who has p</w:t>
      </w:r>
      <w:r w:rsidRPr="00A33771">
        <w:rPr>
          <w:rFonts w:ascii="Arial" w:hAnsi="Arial" w:cs="Arial"/>
          <w:sz w:val="20"/>
          <w:szCs w:val="20"/>
          <w:lang w:val="en-GB"/>
        </w:rPr>
        <w:t>rovided written informed consent</w:t>
      </w:r>
    </w:p>
    <w:p w14:paraId="048CF4B3" w14:textId="77777777" w:rsidR="00090C05" w:rsidRDefault="00090C05" w:rsidP="00090C05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2. Has histologically or cytologically confirmed advanced, unresectable, and/or metastatic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>solid tumour(s) for which the patient has no available therapy likely to provide clinical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benefit. </w:t>
      </w:r>
    </w:p>
    <w:p w14:paraId="2E943213" w14:textId="77777777" w:rsidR="00090C05" w:rsidRPr="00A33771" w:rsidRDefault="00090C05" w:rsidP="00090C0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3. 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>Has Eastern Cooperative Oncology Group (ECOG) performance status 0 or 1 on Cycle 1,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>Day 1.</w:t>
      </w:r>
    </w:p>
    <w:p w14:paraId="0651D278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4. Must have available an archival formalin-free, paraffin-embedded (FFPE) tumour sample</w:t>
      </w:r>
    </w:p>
    <w:p w14:paraId="0C040C71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to be provided upon Sponsor request.</w:t>
      </w:r>
    </w:p>
    <w:p w14:paraId="125E07C9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C5D52BE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5. In the Expansion Phase: patients should be willing to undergo optional core tumour</w:t>
      </w:r>
    </w:p>
    <w:p w14:paraId="633C255D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biopsy procedure (on or before </w:t>
      </w:r>
      <w:proofErr w:type="spellStart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Day</w:t>
      </w:r>
      <w:proofErr w:type="spellEnd"/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 1, Cycle 1) and on Day 4, Cycle 1 (6 hours ± 2 hours</w:t>
      </w:r>
    </w:p>
    <w:p w14:paraId="15725D52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proofErr w:type="spellStart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postdose</w:t>
      </w:r>
      <w:proofErr w:type="spellEnd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) if, in the judgment of the investigator, it is considered clinically safe and</w:t>
      </w:r>
    </w:p>
    <w:p w14:paraId="5F72C1E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appropriate to do so. This requirement is optional but preferred for patients in Dose</w:t>
      </w:r>
    </w:p>
    <w:p w14:paraId="508637E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Escalation.</w:t>
      </w:r>
    </w:p>
    <w:p w14:paraId="481A6E9B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9120F2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6. Should be willing to undergo </w:t>
      </w:r>
      <w:proofErr w:type="spellStart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pretreatment</w:t>
      </w:r>
      <w:proofErr w:type="spellEnd"/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 sampling of non-tumour surrogate tissue for</w:t>
      </w:r>
    </w:p>
    <w:p w14:paraId="04DCBCD1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pharmacodynamic assessments (</w:t>
      </w:r>
      <w:proofErr w:type="spellStart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ie</w:t>
      </w:r>
      <w:proofErr w:type="spellEnd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, a 3 mm punch biopsy of skin from either the arm or</w:t>
      </w:r>
    </w:p>
    <w:p w14:paraId="23444963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the back of the scalp) if, in the judgment of the investigator, it is considered clinically</w:t>
      </w:r>
    </w:p>
    <w:p w14:paraId="0DC01BEE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safe and appropriate to do so.</w:t>
      </w:r>
    </w:p>
    <w:p w14:paraId="1DFC3F72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711AC4EA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7. Is able to take medications orally (</w:t>
      </w:r>
      <w:proofErr w:type="spellStart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eg</w:t>
      </w:r>
      <w:proofErr w:type="spellEnd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, no feeding tube).</w:t>
      </w:r>
    </w:p>
    <w:p w14:paraId="2B01304F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67A6FE5E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8. Has adequate organ function as defined by the following criteria:</w:t>
      </w:r>
    </w:p>
    <w:p w14:paraId="0C795AC8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a. Aspartate aminotransferase (AST/serum glutamic oxaloacetic transaminase [SGOT])</w:t>
      </w:r>
    </w:p>
    <w:p w14:paraId="269C5D16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lastRenderedPageBreak/>
        <w:t>and alanine aminotransferase (ALT/serum glutamic pyruvic transaminase [SGPT])</w:t>
      </w:r>
    </w:p>
    <w:p w14:paraId="57ABD1D5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 xml:space="preserve">≤ 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>3.0 × upper limit of normal (ULN).</w:t>
      </w:r>
    </w:p>
    <w:p w14:paraId="759DC519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b. Total serum bilirubin within normal limits. Patients with Gilbert's Syndrome could be</w:t>
      </w:r>
    </w:p>
    <w:p w14:paraId="409F3F6D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 xml:space="preserve">considered eligible if bilirubin is ≥ 1 × 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>ULN, but serum bilirubin ratio of</w:t>
      </w:r>
    </w:p>
    <w:p w14:paraId="38510F71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unconjugated/conjugated is greater than 1 or most of serum bilirubin fraction should</w:t>
      </w:r>
    </w:p>
    <w:p w14:paraId="18CA2989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be unconjugated.</w:t>
      </w:r>
    </w:p>
    <w:p w14:paraId="1EA82B3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c. Absolute neutrophil </w:t>
      </w: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>count of ≥ 1,500/mm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3 </w:t>
      </w: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>(</w:t>
      </w:r>
      <w:proofErr w:type="spellStart"/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>ie</w:t>
      </w:r>
      <w:proofErr w:type="spellEnd"/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>, ≥ 1.5 × 10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>9/L by International Units</w:t>
      </w:r>
    </w:p>
    <w:p w14:paraId="348D8FAE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[IU]).</w:t>
      </w:r>
    </w:p>
    <w:p w14:paraId="35CDC56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d. </w:t>
      </w: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 xml:space="preserve">Platelet count ≥ 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100,000/mm3 (IU: </w:t>
      </w: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>≥ 100 × 10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>9/L). Transfusion of whole blood,</w:t>
      </w:r>
    </w:p>
    <w:p w14:paraId="3219D27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platelets, or RBCs is prohibited within 1 month prior to initiation of study treatment.</w:t>
      </w:r>
    </w:p>
    <w:p w14:paraId="23AACF02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NewRomanPSMT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e. </w:t>
      </w:r>
      <w:proofErr w:type="spellStart"/>
      <w:r w:rsidRPr="00A33771">
        <w:rPr>
          <w:rFonts w:ascii="Arial" w:hAnsi="Arial" w:cs="Arial"/>
          <w:color w:val="000000"/>
          <w:sz w:val="20"/>
          <w:szCs w:val="20"/>
          <w:lang w:val="en-GB"/>
        </w:rPr>
        <w:t>Hemoglobin</w:t>
      </w:r>
      <w:proofErr w:type="spellEnd"/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 value </w:t>
      </w: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>of ≥ 9.0 g/dL.</w:t>
      </w:r>
    </w:p>
    <w:p w14:paraId="6AD43BA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NewRomanPSMT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f. Total serum creatinine </w:t>
      </w: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>of ≤ 1.5 × ULN.</w:t>
      </w:r>
    </w:p>
    <w:p w14:paraId="6B01F4F2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 xml:space="preserve">g. </w:t>
      </w:r>
      <w:r w:rsidRPr="00A33771">
        <w:rPr>
          <w:rFonts w:ascii="Arial" w:eastAsia="TimesNewRomanPSMT" w:hAnsi="Arial" w:cs="Arial"/>
          <w:color w:val="000000"/>
          <w:sz w:val="20"/>
          <w:szCs w:val="20"/>
          <w:lang w:val="en-GB"/>
        </w:rPr>
        <w:t>Serum albumin ≥ 2.5 g/dL</w:t>
      </w:r>
      <w:r w:rsidRPr="00A33771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451EE26C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4CE12279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9. Women of childbearing potential must have a negative pregnancy test (urine or serum)</w:t>
      </w:r>
    </w:p>
    <w:p w14:paraId="73F4629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within 7 days prior to starting the study drug. Both males and females and must agree to</w:t>
      </w:r>
    </w:p>
    <w:p w14:paraId="0177CEAC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use effective birth control during the study [prior to the first dose and for 6 months after</w:t>
      </w:r>
    </w:p>
    <w:p w14:paraId="6C40416C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the last dose if conception is possible during this interval] if conception is possible during</w:t>
      </w:r>
    </w:p>
    <w:p w14:paraId="781ABB2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this interval. Female patients are considered to not be of childbearing potential if they</w:t>
      </w:r>
    </w:p>
    <w:p w14:paraId="3489BFC6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have a history of tubal ligation or hysterectomy or are post-menopausal with a minimum</w:t>
      </w:r>
    </w:p>
    <w:p w14:paraId="238EE03B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of 1 year without menses.</w:t>
      </w:r>
    </w:p>
    <w:p w14:paraId="3B3CEDF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B829904" w14:textId="77777777" w:rsidR="00090C05" w:rsidRPr="00A33771" w:rsidRDefault="00090C05" w:rsidP="00090C05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A33771">
        <w:rPr>
          <w:rFonts w:ascii="Arial" w:hAnsi="Arial" w:cs="Arial"/>
          <w:color w:val="000000"/>
          <w:sz w:val="20"/>
          <w:szCs w:val="20"/>
          <w:lang w:val="en-GB"/>
        </w:rPr>
        <w:t>10. Is willing and able to comply with scheduled visits and study procedures.</w:t>
      </w:r>
    </w:p>
    <w:p w14:paraId="4C34F855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Exclusion </w:t>
      </w:r>
      <w:r w:rsidRPr="00A33771">
        <w:rPr>
          <w:rFonts w:ascii="Arial" w:hAnsi="Arial" w:cs="Arial"/>
          <w:b/>
          <w:bCs/>
          <w:sz w:val="20"/>
          <w:szCs w:val="20"/>
          <w:lang w:val="en-GB"/>
        </w:rPr>
        <w:t>Criteria</w:t>
      </w:r>
    </w:p>
    <w:p w14:paraId="2727B277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1. Has received prior treatment with TAS-119.</w:t>
      </w:r>
    </w:p>
    <w:p w14:paraId="38F6540D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5D0341E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2. Has received treatment with any of the following within the specified time frame prior to</w:t>
      </w:r>
    </w:p>
    <w:p w14:paraId="61030F55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study drug administration:</w:t>
      </w:r>
    </w:p>
    <w:p w14:paraId="4D700B5E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a. Major surgery within prior 4 weeks (the surgical incision should be fully healed prior</w:t>
      </w:r>
    </w:p>
    <w:p w14:paraId="5E70E6A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to study drug administration).</w:t>
      </w:r>
    </w:p>
    <w:p w14:paraId="2C4E1FF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b. Radiotherapy for extended field within 4 weeks prior to study drug administration or</w:t>
      </w:r>
    </w:p>
    <w:p w14:paraId="4C2C10A8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limited field radiotherapy within 2 weeks prior to study drug administration.</w:t>
      </w:r>
    </w:p>
    <w:p w14:paraId="5187C809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 xml:space="preserve">c. Previous cytotoxic chemotherapy for advanced or metastatic solid </w:t>
      </w:r>
      <w:proofErr w:type="spellStart"/>
      <w:r w:rsidRPr="00A33771">
        <w:rPr>
          <w:rFonts w:ascii="Arial" w:hAnsi="Arial" w:cs="Arial"/>
          <w:sz w:val="20"/>
          <w:szCs w:val="20"/>
          <w:lang w:val="en-GB"/>
        </w:rPr>
        <w:t>tumors</w:t>
      </w:r>
      <w:proofErr w:type="spellEnd"/>
      <w:r w:rsidRPr="00A33771">
        <w:rPr>
          <w:rFonts w:ascii="Arial" w:hAnsi="Arial" w:cs="Arial"/>
          <w:sz w:val="20"/>
          <w:szCs w:val="20"/>
          <w:lang w:val="en-GB"/>
        </w:rPr>
        <w:t xml:space="preserve"> consisting</w:t>
      </w:r>
    </w:p>
    <w:p w14:paraId="6111D44A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of more than 5 different regimens in total.</w:t>
      </w:r>
    </w:p>
    <w:p w14:paraId="0409FE9E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d. Any anticancer therapy within 3 weeks prior to study drug administration (mitomycin</w:t>
      </w:r>
    </w:p>
    <w:p w14:paraId="0E799DD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within prior 5 weeks). Patients with metastatic prostate cancer receiving luteinizing</w:t>
      </w:r>
    </w:p>
    <w:p w14:paraId="6AA7E0B1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 xml:space="preserve">hormone-releasing (LHRH) </w:t>
      </w:r>
      <w:proofErr w:type="spellStart"/>
      <w:r w:rsidRPr="00A33771">
        <w:rPr>
          <w:rFonts w:ascii="Arial" w:hAnsi="Arial" w:cs="Arial"/>
          <w:sz w:val="20"/>
          <w:szCs w:val="20"/>
          <w:lang w:val="en-GB"/>
        </w:rPr>
        <w:t>analogs</w:t>
      </w:r>
      <w:proofErr w:type="spellEnd"/>
      <w:r w:rsidRPr="00A33771">
        <w:rPr>
          <w:rFonts w:ascii="Arial" w:hAnsi="Arial" w:cs="Arial"/>
          <w:sz w:val="20"/>
          <w:szCs w:val="20"/>
          <w:lang w:val="en-GB"/>
        </w:rPr>
        <w:t xml:space="preserve"> will be eligible.</w:t>
      </w:r>
    </w:p>
    <w:p w14:paraId="4563E5F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e. Any investigational agent received either concurrently or within the last 30 days.</w:t>
      </w:r>
    </w:p>
    <w:p w14:paraId="247A9571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f. Transfusion of whole blood, platelets, or packed red blood cells is prohibited within 1</w:t>
      </w:r>
    </w:p>
    <w:p w14:paraId="0DC3DFED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month prior to initiation of study treatment.*</w:t>
      </w:r>
    </w:p>
    <w:p w14:paraId="2E7252B4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72DB816E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3. Has a serious illness or medical condition(s) including, but not limited to, the following:</w:t>
      </w:r>
    </w:p>
    <w:p w14:paraId="6A014215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a. Known brain metastasis unless the lesions have been previously treated with surgery</w:t>
      </w:r>
    </w:p>
    <w:p w14:paraId="4D5119D6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NewRomanPSMT" w:hAnsi="Arial" w:cs="Arial"/>
          <w:sz w:val="20"/>
          <w:szCs w:val="20"/>
          <w:lang w:val="en-GB"/>
        </w:rPr>
      </w:pPr>
      <w:r w:rsidRPr="00A33771">
        <w:rPr>
          <w:rFonts w:ascii="Arial" w:eastAsia="TimesNewRomanPSMT" w:hAnsi="Arial" w:cs="Arial"/>
          <w:sz w:val="20"/>
          <w:szCs w:val="20"/>
          <w:lang w:val="en-GB"/>
        </w:rPr>
        <w:t xml:space="preserve">or </w:t>
      </w:r>
      <w:proofErr w:type="gramStart"/>
      <w:r w:rsidRPr="00A33771">
        <w:rPr>
          <w:rFonts w:ascii="Arial" w:eastAsia="TimesNewRomanPSMT" w:hAnsi="Arial" w:cs="Arial"/>
          <w:sz w:val="20"/>
          <w:szCs w:val="20"/>
          <w:lang w:val="en-GB"/>
        </w:rPr>
        <w:t>radiotherapy, and</w:t>
      </w:r>
      <w:proofErr w:type="gramEnd"/>
      <w:r w:rsidRPr="00A33771">
        <w:rPr>
          <w:rFonts w:ascii="Arial" w:eastAsia="TimesNewRomanPSMT" w:hAnsi="Arial" w:cs="Arial"/>
          <w:sz w:val="20"/>
          <w:szCs w:val="20"/>
          <w:lang w:val="en-GB"/>
        </w:rPr>
        <w:t xml:space="preserve"> have been stable off steroids for ≥ 2 months.</w:t>
      </w:r>
    </w:p>
    <w:p w14:paraId="3B590A66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b. Known leptomeningeal metastasis.</w:t>
      </w:r>
    </w:p>
    <w:p w14:paraId="61F0B4D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c. Known acute systemic infection.</w:t>
      </w:r>
    </w:p>
    <w:p w14:paraId="6A573289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d. Myocardial infarction, severe/unstable angina, symptomatic congestive heart failure</w:t>
      </w:r>
    </w:p>
    <w:p w14:paraId="2E3AB113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(New York Heart Association [NYHA] class III or IV) within the previous 6 months;</w:t>
      </w:r>
    </w:p>
    <w:p w14:paraId="1CA7F0AF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eastAsia="TimesNewRomanPSMT" w:hAnsi="Arial" w:cs="Arial"/>
          <w:sz w:val="20"/>
          <w:szCs w:val="20"/>
          <w:lang w:val="en-GB"/>
        </w:rPr>
        <w:t>if &gt; 6 months cardiac function must be within normal limits (ejection fraction ≥ 50</w:t>
      </w:r>
      <w:r w:rsidRPr="00A33771">
        <w:rPr>
          <w:rFonts w:ascii="Arial" w:hAnsi="Arial" w:cs="Arial"/>
          <w:sz w:val="20"/>
          <w:szCs w:val="20"/>
          <w:lang w:val="en-GB"/>
        </w:rPr>
        <w:t>%)</w:t>
      </w:r>
    </w:p>
    <w:p w14:paraId="71C927B0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and the patient must be free of cardiac-related symptoms.</w:t>
      </w:r>
    </w:p>
    <w:p w14:paraId="4D047B08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e. Chronic nausea, vomiting, or diarrhoea, considered to be clinically significant in the</w:t>
      </w:r>
    </w:p>
    <w:p w14:paraId="3FF0B18E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opinion of the Investigator.</w:t>
      </w:r>
    </w:p>
    <w:p w14:paraId="0FD871A6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f. Known human immunodeficiency virus (HIV) or acquired immunodeficiency</w:t>
      </w:r>
    </w:p>
    <w:p w14:paraId="7D8CB7B4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syndrome (AIDS)-related illness, or a history of serum positivity to hepatitis B or C.</w:t>
      </w:r>
    </w:p>
    <w:p w14:paraId="1A7082C2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g. Other severe acute or chronic medical or psychiatric condition or laboratory</w:t>
      </w:r>
    </w:p>
    <w:p w14:paraId="69550472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abnormality that may increase the risk associated with study participation or study</w:t>
      </w:r>
    </w:p>
    <w:p w14:paraId="7D987D8D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drug administration, or may interfere with the interpretation of study results, and in</w:t>
      </w:r>
    </w:p>
    <w:p w14:paraId="5E1578E4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the judgment of the Investigator would make the patient inappropriate for entry into</w:t>
      </w:r>
    </w:p>
    <w:p w14:paraId="78CBA79B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this study.</w:t>
      </w:r>
    </w:p>
    <w:p w14:paraId="37E9CAEA" w14:textId="77777777" w:rsidR="00090C05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1F1A322D" w14:textId="77777777" w:rsidR="00090C05" w:rsidRPr="00A33771" w:rsidRDefault="00090C05" w:rsidP="00090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4. Has known hypersensitivity to TAS-119 or any of its components.</w:t>
      </w:r>
    </w:p>
    <w:p w14:paraId="4B03A08B" w14:textId="77777777" w:rsidR="00090C05" w:rsidRDefault="00090C05" w:rsidP="00090C05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6532D72D" w14:textId="77777777" w:rsidR="00090C05" w:rsidRPr="00A33771" w:rsidRDefault="00090C05" w:rsidP="00090C05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A33771">
        <w:rPr>
          <w:rFonts w:ascii="Arial" w:hAnsi="Arial" w:cs="Arial"/>
          <w:sz w:val="20"/>
          <w:szCs w:val="20"/>
          <w:lang w:val="en-GB"/>
        </w:rPr>
        <w:t>5. Is a pregnant or lactating female.</w:t>
      </w:r>
    </w:p>
    <w:p w14:paraId="6A75BBA7" w14:textId="77777777" w:rsidR="00090C05" w:rsidRPr="00A33771" w:rsidRDefault="00090C05" w:rsidP="00090C05">
      <w:pPr>
        <w:ind w:left="360"/>
        <w:rPr>
          <w:rFonts w:ascii="Arial" w:hAnsi="Arial" w:cs="Arial"/>
          <w:sz w:val="20"/>
          <w:szCs w:val="20"/>
          <w:lang w:val="en-GB"/>
        </w:rPr>
      </w:pPr>
    </w:p>
    <w:p w14:paraId="41ACDB7F" w14:textId="77777777" w:rsidR="00090C05" w:rsidRPr="00090C05" w:rsidRDefault="00090C05">
      <w:pPr>
        <w:rPr>
          <w:lang w:val="en-GB"/>
        </w:rPr>
      </w:pPr>
    </w:p>
    <w:sectPr w:rsidR="00090C05" w:rsidRPr="00090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66CC3"/>
    <w:multiLevelType w:val="hybridMultilevel"/>
    <w:tmpl w:val="B2448AC0"/>
    <w:lvl w:ilvl="0" w:tplc="E9A05A9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05"/>
    <w:rsid w:val="00090C05"/>
    <w:rsid w:val="006D43B6"/>
    <w:rsid w:val="00E1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79B5F"/>
  <w15:chartTrackingRefBased/>
  <w15:docId w15:val="{802B7400-8F3C-4445-BA7B-F269B298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C05"/>
    <w:pPr>
      <w:spacing w:after="160" w:line="312" w:lineRule="auto"/>
    </w:pPr>
    <w:rPr>
      <w:rFonts w:eastAsiaTheme="minorEastAsia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90C05"/>
    <w:pPr>
      <w:autoSpaceDE w:val="0"/>
      <w:autoSpaceDN w:val="0"/>
      <w:adjustRightInd w:val="0"/>
      <w:spacing w:after="160" w:line="312" w:lineRule="auto"/>
    </w:pPr>
    <w:rPr>
      <w:rFonts w:ascii="Verdana" w:eastAsiaTheme="minorEastAsia" w:hAnsi="Verdana" w:cs="Verdana"/>
      <w:color w:val="000000"/>
      <w:sz w:val="24"/>
      <w:szCs w:val="24"/>
      <w:lang w:eastAsia="nl-NL"/>
    </w:rPr>
  </w:style>
  <w:style w:type="paragraph" w:customStyle="1" w:styleId="C-BodyText">
    <w:name w:val="C-Body Text"/>
    <w:link w:val="C-BodyTextChar"/>
    <w:rsid w:val="00090C05"/>
    <w:pPr>
      <w:spacing w:before="120" w:after="120" w:line="280" w:lineRule="atLeast"/>
    </w:pPr>
    <w:rPr>
      <w:rFonts w:ascii="Times New Roman" w:eastAsia="Times New Roman" w:hAnsi="Times New Roman"/>
      <w:sz w:val="24"/>
      <w:szCs w:val="21"/>
      <w:lang w:val="en-US"/>
    </w:rPr>
  </w:style>
  <w:style w:type="character" w:customStyle="1" w:styleId="C-BodyTextChar">
    <w:name w:val="C-Body Text Char"/>
    <w:link w:val="C-BodyText"/>
    <w:rsid w:val="00090C05"/>
    <w:rPr>
      <w:rFonts w:ascii="Times New Roman" w:eastAsia="Times New Roman" w:hAnsi="Times New Roman"/>
      <w:sz w:val="24"/>
      <w:szCs w:val="21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90C05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3B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D.G.J. Robbrecht</dc:creator>
  <cp:keywords/>
  <dc:description/>
  <cp:lastModifiedBy>Natalie Edwards</cp:lastModifiedBy>
  <cp:revision>2</cp:revision>
  <dcterms:created xsi:type="dcterms:W3CDTF">2020-09-03T14:58:00Z</dcterms:created>
  <dcterms:modified xsi:type="dcterms:W3CDTF">2020-09-09T10:20:00Z</dcterms:modified>
</cp:coreProperties>
</file>