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2BDBD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/>
          <w:b/>
          <w:highlight w:val="yellow"/>
          <w:lang w:val="en-US"/>
        </w:rPr>
      </w:pPr>
      <w:bookmarkStart w:id="0" w:name="_GoBack"/>
      <w:bookmarkEnd w:id="0"/>
      <w:r>
        <w:rPr>
          <w:rFonts w:asciiTheme="majorHAnsi" w:hAnsiTheme="majorHAnsi"/>
          <w:b/>
          <w:noProof/>
          <w:lang w:eastAsia="en-GB"/>
        </w:rPr>
        <w:drawing>
          <wp:inline distT="0" distB="0" distL="0" distR="0" wp14:anchorId="63EB07FD" wp14:editId="4A9E5B69">
            <wp:extent cx="6065822" cy="60658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nelPlot_red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156" cy="608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5E1CA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/>
        </w:rPr>
      </w:pPr>
      <w:r w:rsidRPr="00693A18">
        <w:rPr>
          <w:rFonts w:asciiTheme="majorHAnsi" w:hAnsiTheme="majorHAnsi"/>
          <w:b/>
          <w:lang w:val="en-US"/>
        </w:rPr>
        <w:t>Supplementary Figure 1: Funnel plot of causal effect estimates for gallstone disease on colorectal cancer risk, with all 26 valid instrumental variables</w:t>
      </w:r>
      <w:r>
        <w:rPr>
          <w:rFonts w:asciiTheme="majorHAnsi" w:hAnsiTheme="majorHAnsi"/>
          <w:b/>
          <w:lang w:val="en-US"/>
        </w:rPr>
        <w:t>.</w:t>
      </w:r>
      <w:r w:rsidRPr="00F35F42">
        <w:rPr>
          <w:rFonts w:asciiTheme="majorHAnsi" w:hAnsiTheme="majorHAnsi" w:cstheme="majorHAnsi"/>
        </w:rPr>
        <w:t xml:space="preserve"> R</w:t>
      </w:r>
      <w:r w:rsidRPr="00F35F42">
        <w:rPr>
          <w:rFonts w:asciiTheme="majorHAnsi" w:hAnsiTheme="majorHAnsi"/>
        </w:rPr>
        <w:t xml:space="preserve">ed line shows </w:t>
      </w:r>
      <w:r w:rsidRPr="00693A18">
        <w:rPr>
          <w:rFonts w:asciiTheme="majorHAnsi" w:hAnsiTheme="majorHAnsi" w:cstheme="majorHAnsi"/>
        </w:rPr>
        <w:t xml:space="preserve">multiplicative random effects inverse variance weighted </w:t>
      </w:r>
      <w:r w:rsidRPr="00F35F42">
        <w:rPr>
          <w:rFonts w:asciiTheme="majorHAnsi" w:hAnsiTheme="majorHAnsi"/>
        </w:rPr>
        <w:t>causal effect estimate</w:t>
      </w:r>
      <w:r w:rsidRPr="002B47A2">
        <w:rPr>
          <w:rFonts w:asciiTheme="majorHAnsi" w:hAnsiTheme="majorHAnsi"/>
        </w:rPr>
        <w:t xml:space="preserve">. </w:t>
      </w:r>
      <m:oMath>
        <m:r>
          <m:rPr>
            <m:nor/>
          </m:rPr>
          <w:rPr>
            <w:rFonts w:asciiTheme="majorHAnsi" w:hAnsiTheme="majorHAnsi" w:cstheme="majorHAnsi"/>
          </w:rPr>
          <m:t>log</m:t>
        </m:r>
        <m:r>
          <w:rPr>
            <w:rFonts w:ascii="Cambria Math" w:hAnsi="Cambria Math" w:cstheme="majorHAnsi"/>
          </w:rPr>
          <m:t>(</m:t>
        </m:r>
        <m:sSub>
          <m:sSubPr>
            <m:ctrlPr>
              <w:rPr>
                <w:rFonts w:ascii="Cambria Math" w:hAnsi="Cambria Math" w:cstheme="majorHAnsi"/>
                <w:b/>
                <w:bCs/>
                <w:i/>
              </w:rPr>
            </m:ctrlPr>
          </m:sSubPr>
          <m:e>
            <m:r>
              <m:rPr>
                <m:nor/>
              </m:rPr>
              <w:rPr>
                <w:rFonts w:asciiTheme="majorHAnsi" w:hAnsiTheme="majorHAnsi" w:cstheme="majorHAnsi"/>
                <w:bCs/>
              </w:rPr>
              <m:t>OR</m:t>
            </m:r>
          </m:e>
          <m:sub>
            <m:r>
              <m:rPr>
                <m:sty m:val="bi"/>
              </m:rPr>
              <w:rPr>
                <w:rFonts w:ascii="Cambria Math" w:hAnsi="Cambria Math" w:cstheme="majorHAnsi"/>
              </w:rPr>
              <m:t>*</m:t>
            </m:r>
          </m:sub>
        </m:sSub>
        <m:r>
          <w:rPr>
            <w:rFonts w:ascii="Cambria Math" w:hAnsi="Cambria Math" w:cstheme="majorHAnsi"/>
          </w:rPr>
          <m:t>)</m:t>
        </m:r>
      </m:oMath>
      <w:r w:rsidRPr="002B47A2">
        <w:rPr>
          <w:rFonts w:asciiTheme="majorHAnsi" w:hAnsiTheme="majorHAnsi" w:cstheme="majorHAnsi"/>
        </w:rPr>
        <w:t xml:space="preserve">, </w:t>
      </w:r>
      <w:r w:rsidRPr="002B47A2">
        <w:rPr>
          <w:rFonts w:asciiTheme="majorHAnsi" w:hAnsiTheme="majorHAnsi"/>
        </w:rPr>
        <w:t xml:space="preserve">log </w:t>
      </w:r>
      <w:r w:rsidRPr="002B47A2">
        <w:rPr>
          <w:rFonts w:asciiTheme="majorHAnsi" w:hAnsiTheme="majorHAnsi" w:cstheme="majorHAnsi"/>
        </w:rPr>
        <w:t xml:space="preserve">odds ratio </w:t>
      </w:r>
      <w:bookmarkStart w:id="1" w:name="_Hlk46213469"/>
      <w:r w:rsidRPr="00B54383">
        <w:rPr>
          <w:rFonts w:asciiTheme="majorHAnsi" w:hAnsiTheme="majorHAnsi" w:cstheme="majorHAnsi"/>
        </w:rPr>
        <w:t>per genetically predicted standard deviation (</w:t>
      </w:r>
      <w:r w:rsidRPr="002B47A2">
        <w:rPr>
          <w:rFonts w:asciiTheme="majorHAnsi" w:hAnsiTheme="majorHAnsi" w:cstheme="majorHAnsi"/>
        </w:rPr>
        <w:t xml:space="preserve">of the log odds of </w:t>
      </w:r>
      <w:bookmarkEnd w:id="1"/>
      <w:r w:rsidRPr="002B47A2">
        <w:rPr>
          <w:rFonts w:asciiTheme="majorHAnsi" w:hAnsiTheme="majorHAnsi" w:cstheme="majorHAnsi"/>
        </w:rPr>
        <w:t>gallstone disease</w:t>
      </w:r>
      <w:r w:rsidRPr="00EB1433">
        <w:rPr>
          <w:rFonts w:asciiTheme="majorHAnsi" w:hAnsiTheme="majorHAnsi" w:cstheme="majorHAnsi"/>
        </w:rPr>
        <w:t>) log unit increase of the risk of gallstone disease</w:t>
      </w:r>
      <w:r w:rsidRPr="002B47A2">
        <w:rPr>
          <w:rFonts w:asciiTheme="majorHAnsi" w:hAnsiTheme="majorHAnsi" w:cstheme="majorHAnsi"/>
        </w:rPr>
        <w:t xml:space="preserve">; </w:t>
      </w:r>
      <m:oMath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r>
              <w:rPr>
                <w:rFonts w:ascii="Cambria Math" w:hAnsi="Cambria Math" w:cstheme="majorHAnsi"/>
              </w:rPr>
              <m:t>σ</m:t>
            </m:r>
          </m:e>
          <m:sup>
            <m:r>
              <w:rPr>
                <w:rFonts w:ascii="Cambria Math" w:hAnsi="Cambria Math" w:cstheme="majorHAnsi"/>
              </w:rPr>
              <m:t>-2</m:t>
            </m:r>
          </m:sup>
        </m:sSup>
      </m:oMath>
      <w:r w:rsidRPr="002B47A2">
        <w:rPr>
          <w:rFonts w:asciiTheme="majorHAnsi" w:hAnsiTheme="majorHAnsi" w:cstheme="majorHAnsi"/>
        </w:rPr>
        <w:t>, Wald ratio estimate precision.</w:t>
      </w:r>
      <w:r w:rsidRPr="002B47A2">
        <w:rPr>
          <w:rFonts w:asciiTheme="majorHAnsi" w:hAnsiTheme="majorHAnsi"/>
        </w:rPr>
        <w:t xml:space="preserve"> </w:t>
      </w:r>
    </w:p>
    <w:p w14:paraId="4F0A57D0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/>
          <w:highlight w:val="lightGray"/>
        </w:rPr>
      </w:pPr>
      <w:r w:rsidRPr="002B47A2">
        <w:rPr>
          <w:rFonts w:asciiTheme="majorHAnsi" w:hAnsiTheme="majorHAnsi"/>
          <w:highlight w:val="lightGray"/>
        </w:rPr>
        <w:br w:type="page"/>
      </w:r>
    </w:p>
    <w:p w14:paraId="5AD797B5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/>
          <w:b/>
          <w:bCs/>
        </w:rPr>
      </w:pPr>
    </w:p>
    <w:p w14:paraId="1BE3F018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/>
          <w:b/>
          <w:highlight w:val="yellow"/>
          <w:lang w:val="en-US"/>
        </w:rPr>
      </w:pPr>
      <w:r>
        <w:rPr>
          <w:rFonts w:asciiTheme="majorHAnsi" w:hAnsiTheme="majorHAnsi"/>
          <w:b/>
          <w:noProof/>
          <w:lang w:eastAsia="en-GB"/>
        </w:rPr>
        <w:drawing>
          <wp:inline distT="0" distB="0" distL="0" distR="0" wp14:anchorId="3825B791" wp14:editId="1A000926">
            <wp:extent cx="6011501" cy="6011501"/>
            <wp:effectExtent l="0" t="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nnelPlot_AfterMRPress_red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7228" cy="6017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8D6E" w14:textId="77777777" w:rsidR="00B46CC7" w:rsidRDefault="00B46CC7" w:rsidP="00B46CC7">
      <w:pPr>
        <w:spacing w:line="360" w:lineRule="auto"/>
        <w:jc w:val="both"/>
        <w:rPr>
          <w:rFonts w:asciiTheme="majorHAnsi" w:hAnsiTheme="majorHAnsi"/>
          <w:b/>
          <w:highlight w:val="yellow"/>
          <w:lang w:val="en-US"/>
        </w:rPr>
      </w:pPr>
      <w:r w:rsidRPr="00693A18">
        <w:rPr>
          <w:rFonts w:asciiTheme="majorHAnsi" w:hAnsiTheme="majorHAnsi"/>
          <w:b/>
          <w:lang w:val="en-US"/>
        </w:rPr>
        <w:t>Supplementary Figure 2: Funnel plot of causal effect estimates for gallstone disease on colorectal cancer risk</w:t>
      </w:r>
      <w:r>
        <w:rPr>
          <w:rFonts w:asciiTheme="majorHAnsi" w:hAnsiTheme="majorHAnsi"/>
          <w:b/>
          <w:lang w:val="en-US"/>
        </w:rPr>
        <w:t xml:space="preserve"> excluding six </w:t>
      </w:r>
      <w:r w:rsidRPr="00693A18">
        <w:rPr>
          <w:rFonts w:asciiTheme="majorHAnsi" w:hAnsiTheme="majorHAnsi"/>
          <w:b/>
          <w:lang w:val="en-US"/>
        </w:rPr>
        <w:t>single nucleotide polymorphisms showing heterogeneity excluded.</w:t>
      </w:r>
      <w:r w:rsidRPr="00F35F42">
        <w:rPr>
          <w:rFonts w:asciiTheme="majorHAnsi" w:hAnsiTheme="majorHAnsi" w:cstheme="majorHAnsi"/>
        </w:rPr>
        <w:t xml:space="preserve"> R</w:t>
      </w:r>
      <w:r w:rsidRPr="00F35F42">
        <w:rPr>
          <w:rFonts w:asciiTheme="majorHAnsi" w:hAnsiTheme="majorHAnsi"/>
        </w:rPr>
        <w:t>ed line shows</w:t>
      </w:r>
      <w:r w:rsidRPr="002B47A2">
        <w:rPr>
          <w:rFonts w:asciiTheme="majorHAnsi" w:hAnsiTheme="majorHAnsi"/>
        </w:rPr>
        <w:t xml:space="preserve"> </w:t>
      </w:r>
      <w:r w:rsidRPr="001F6A58">
        <w:rPr>
          <w:rFonts w:asciiTheme="majorHAnsi" w:hAnsiTheme="majorHAnsi" w:cstheme="majorHAnsi"/>
        </w:rPr>
        <w:t>multiplicative random effects inverse variance weighted</w:t>
      </w:r>
      <w:r w:rsidRPr="002B47A2" w:rsidDel="00F35F42">
        <w:rPr>
          <w:rFonts w:asciiTheme="majorHAnsi" w:hAnsiTheme="majorHAnsi"/>
        </w:rPr>
        <w:t xml:space="preserve"> </w:t>
      </w:r>
      <w:r w:rsidRPr="002B47A2">
        <w:rPr>
          <w:rFonts w:asciiTheme="majorHAnsi" w:hAnsiTheme="majorHAnsi"/>
        </w:rPr>
        <w:t xml:space="preserve">causal effect estimate. </w:t>
      </w:r>
      <m:oMath>
        <m:r>
          <m:rPr>
            <m:nor/>
          </m:rPr>
          <w:rPr>
            <w:rFonts w:asciiTheme="majorHAnsi" w:hAnsiTheme="majorHAnsi" w:cstheme="majorHAnsi"/>
          </w:rPr>
          <m:t>log</m:t>
        </m:r>
        <m:r>
          <w:rPr>
            <w:rFonts w:ascii="Cambria Math" w:hAnsi="Cambria Math" w:cstheme="majorHAnsi"/>
          </w:rPr>
          <m:t>(</m:t>
        </m:r>
        <m:sSub>
          <m:sSubPr>
            <m:ctrlPr>
              <w:rPr>
                <w:rFonts w:ascii="Cambria Math" w:hAnsi="Cambria Math" w:cstheme="majorHAnsi"/>
                <w:b/>
                <w:bCs/>
                <w:i/>
              </w:rPr>
            </m:ctrlPr>
          </m:sSubPr>
          <m:e>
            <m:r>
              <m:rPr>
                <m:nor/>
              </m:rPr>
              <w:rPr>
                <w:rFonts w:asciiTheme="majorHAnsi" w:hAnsiTheme="majorHAnsi" w:cstheme="majorHAnsi"/>
                <w:bCs/>
              </w:rPr>
              <m:t>OR</m:t>
            </m:r>
          </m:e>
          <m:sub>
            <m:r>
              <m:rPr>
                <m:sty m:val="bi"/>
              </m:rPr>
              <w:rPr>
                <w:rFonts w:ascii="Cambria Math" w:hAnsi="Cambria Math" w:cstheme="majorHAnsi"/>
              </w:rPr>
              <m:t>*</m:t>
            </m:r>
          </m:sub>
        </m:sSub>
        <m:r>
          <w:rPr>
            <w:rFonts w:ascii="Cambria Math" w:hAnsi="Cambria Math" w:cstheme="majorHAnsi"/>
          </w:rPr>
          <m:t>)</m:t>
        </m:r>
      </m:oMath>
      <w:r w:rsidRPr="002B47A2">
        <w:rPr>
          <w:rFonts w:asciiTheme="majorHAnsi" w:hAnsiTheme="majorHAnsi" w:cstheme="majorHAnsi"/>
        </w:rPr>
        <w:t xml:space="preserve">, </w:t>
      </w:r>
      <w:r w:rsidRPr="002B47A2">
        <w:rPr>
          <w:rFonts w:asciiTheme="majorHAnsi" w:hAnsiTheme="majorHAnsi"/>
        </w:rPr>
        <w:t xml:space="preserve">log </w:t>
      </w:r>
      <w:r w:rsidRPr="002B47A2">
        <w:rPr>
          <w:rFonts w:asciiTheme="majorHAnsi" w:hAnsiTheme="majorHAnsi" w:cstheme="majorHAnsi"/>
        </w:rPr>
        <w:t xml:space="preserve">odds ratio </w:t>
      </w:r>
      <w:r w:rsidRPr="00512C06">
        <w:rPr>
          <w:rFonts w:asciiTheme="majorHAnsi" w:hAnsiTheme="majorHAnsi" w:cstheme="majorHAnsi"/>
        </w:rPr>
        <w:t xml:space="preserve">per genetically predicted standard deviation </w:t>
      </w:r>
      <w:r>
        <w:rPr>
          <w:rFonts w:asciiTheme="majorHAnsi" w:hAnsiTheme="majorHAnsi" w:cstheme="majorHAnsi"/>
        </w:rPr>
        <w:t>(</w:t>
      </w:r>
      <w:r w:rsidRPr="002B47A2">
        <w:rPr>
          <w:rFonts w:asciiTheme="majorHAnsi" w:hAnsiTheme="majorHAnsi" w:cstheme="majorHAnsi"/>
        </w:rPr>
        <w:t>of the log odds of gallstone disease</w:t>
      </w:r>
      <w:r w:rsidRPr="0044578E">
        <w:rPr>
          <w:rFonts w:asciiTheme="majorHAnsi" w:hAnsiTheme="majorHAnsi" w:cstheme="majorHAnsi"/>
        </w:rPr>
        <w:t>) log unit increase of the risk of gallstone disease</w:t>
      </w:r>
      <w:r w:rsidRPr="002B47A2">
        <w:rPr>
          <w:rFonts w:asciiTheme="majorHAnsi" w:hAnsiTheme="majorHAnsi" w:cstheme="majorHAnsi"/>
        </w:rPr>
        <w:t xml:space="preserve">; </w:t>
      </w:r>
      <m:oMath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r>
              <w:rPr>
                <w:rFonts w:ascii="Cambria Math" w:hAnsi="Cambria Math" w:cstheme="majorHAnsi"/>
              </w:rPr>
              <m:t>σ</m:t>
            </m:r>
          </m:e>
          <m:sup>
            <m:r>
              <w:rPr>
                <w:rFonts w:ascii="Cambria Math" w:hAnsi="Cambria Math" w:cstheme="majorHAnsi"/>
              </w:rPr>
              <m:t>-2</m:t>
            </m:r>
          </m:sup>
        </m:sSup>
      </m:oMath>
      <w:r w:rsidRPr="002B47A2">
        <w:rPr>
          <w:rFonts w:asciiTheme="majorHAnsi" w:hAnsiTheme="majorHAnsi" w:cstheme="majorHAnsi"/>
        </w:rPr>
        <w:t>, Wald ratio estimate precision.</w:t>
      </w:r>
      <w:r w:rsidRPr="002B47A2">
        <w:rPr>
          <w:rFonts w:asciiTheme="majorHAnsi" w:hAnsiTheme="majorHAnsi"/>
          <w:b/>
          <w:highlight w:val="yellow"/>
          <w:lang w:val="en-US"/>
        </w:rPr>
        <w:t xml:space="preserve"> </w:t>
      </w:r>
    </w:p>
    <w:p w14:paraId="358AE453" w14:textId="77777777" w:rsidR="00B46CC7" w:rsidRDefault="00B46CC7" w:rsidP="004433E6">
      <w:pPr>
        <w:spacing w:after="200" w:line="276" w:lineRule="auto"/>
        <w:rPr>
          <w:rFonts w:asciiTheme="majorHAnsi" w:hAnsiTheme="majorHAnsi" w:cstheme="majorHAnsi"/>
          <w:b/>
          <w:u w:val="single"/>
        </w:rPr>
      </w:pPr>
      <w:r>
        <w:rPr>
          <w:rFonts w:asciiTheme="majorHAnsi" w:hAnsiTheme="majorHAnsi" w:cstheme="majorHAnsi"/>
          <w:b/>
          <w:u w:val="single"/>
        </w:rPr>
        <w:br w:type="page"/>
      </w:r>
    </w:p>
    <w:p w14:paraId="2C660903" w14:textId="77777777" w:rsidR="00B46CC7" w:rsidRDefault="00B46CC7" w:rsidP="00B46CC7">
      <w:pPr>
        <w:spacing w:line="360" w:lineRule="auto"/>
        <w:jc w:val="both"/>
        <w:rPr>
          <w:rFonts w:asciiTheme="majorHAnsi" w:hAnsiTheme="majorHAnsi" w:cstheme="majorHAnsi"/>
          <w:b/>
          <w:u w:val="single"/>
        </w:rPr>
      </w:pPr>
      <w:r w:rsidRPr="002B47A2">
        <w:rPr>
          <w:rFonts w:asciiTheme="majorHAnsi" w:hAnsiTheme="majorHAnsi" w:cstheme="majorHAnsi"/>
          <w:b/>
          <w:u w:val="single"/>
        </w:rPr>
        <w:lastRenderedPageBreak/>
        <w:t>Supplementary Tables Legend</w:t>
      </w:r>
      <w:r>
        <w:rPr>
          <w:rFonts w:asciiTheme="majorHAnsi" w:hAnsiTheme="majorHAnsi" w:cstheme="majorHAnsi"/>
          <w:b/>
          <w:u w:val="single"/>
        </w:rPr>
        <w:t>s</w:t>
      </w:r>
      <w:r w:rsidRPr="002B47A2">
        <w:rPr>
          <w:rFonts w:asciiTheme="majorHAnsi" w:hAnsiTheme="majorHAnsi" w:cstheme="majorHAnsi"/>
          <w:b/>
          <w:u w:val="single"/>
        </w:rPr>
        <w:t>:</w:t>
      </w:r>
    </w:p>
    <w:p w14:paraId="61748F28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 w:cstheme="majorHAnsi"/>
          <w:b/>
          <w:u w:val="single"/>
        </w:rPr>
      </w:pPr>
    </w:p>
    <w:p w14:paraId="4FA4CDEB" w14:textId="77777777" w:rsidR="00BC781D" w:rsidRPr="002B47A2" w:rsidRDefault="00BC781D" w:rsidP="00BC781D">
      <w:pPr>
        <w:spacing w:line="360" w:lineRule="auto"/>
        <w:jc w:val="both"/>
        <w:rPr>
          <w:rFonts w:asciiTheme="majorHAnsi" w:hAnsiTheme="majorHAnsi" w:cstheme="majorHAnsi"/>
        </w:rPr>
      </w:pPr>
      <w:r w:rsidRPr="008E0829">
        <w:rPr>
          <w:rFonts w:asciiTheme="majorHAnsi" w:hAnsiTheme="majorHAnsi" w:cstheme="majorHAnsi"/>
          <w:b/>
        </w:rPr>
        <w:t xml:space="preserve">Supplementary Table </w:t>
      </w:r>
      <w:r>
        <w:rPr>
          <w:rFonts w:asciiTheme="majorHAnsi" w:hAnsiTheme="majorHAnsi" w:cstheme="majorHAnsi"/>
          <w:b/>
        </w:rPr>
        <w:t>1</w:t>
      </w:r>
      <w:r w:rsidRPr="008E0829">
        <w:rPr>
          <w:rFonts w:asciiTheme="majorHAnsi" w:hAnsiTheme="majorHAnsi" w:cstheme="majorHAnsi"/>
          <w:b/>
        </w:rPr>
        <w:t>:</w:t>
      </w:r>
      <w:r w:rsidRPr="002B47A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G</w:t>
      </w:r>
      <w:r w:rsidRPr="002B47A2">
        <w:rPr>
          <w:rFonts w:asciiTheme="majorHAnsi" w:hAnsiTheme="majorHAnsi" w:cstheme="majorHAnsi"/>
        </w:rPr>
        <w:t>allstone disease GWAS</w:t>
      </w:r>
      <w:r>
        <w:rPr>
          <w:rFonts w:asciiTheme="majorHAnsi" w:hAnsiTheme="majorHAnsi" w:cstheme="majorHAnsi"/>
        </w:rPr>
        <w:t xml:space="preserve"> demographic summary.</w:t>
      </w:r>
    </w:p>
    <w:p w14:paraId="007C88CA" w14:textId="77777777" w:rsidR="00BC781D" w:rsidRPr="002B47A2" w:rsidRDefault="00BC781D" w:rsidP="00BC781D">
      <w:pPr>
        <w:spacing w:line="360" w:lineRule="auto"/>
        <w:jc w:val="both"/>
        <w:rPr>
          <w:rFonts w:asciiTheme="majorHAnsi" w:hAnsiTheme="majorHAnsi" w:cstheme="majorHAnsi"/>
        </w:rPr>
      </w:pPr>
    </w:p>
    <w:p w14:paraId="44986DBF" w14:textId="77777777" w:rsidR="00BC781D" w:rsidRDefault="00BC781D" w:rsidP="00BC781D">
      <w:pPr>
        <w:spacing w:line="360" w:lineRule="auto"/>
        <w:jc w:val="both"/>
        <w:rPr>
          <w:rFonts w:asciiTheme="majorHAnsi" w:hAnsiTheme="majorHAnsi" w:cstheme="majorHAnsi"/>
        </w:rPr>
      </w:pPr>
      <w:r w:rsidRPr="008E0829">
        <w:rPr>
          <w:rFonts w:asciiTheme="majorHAnsi" w:hAnsiTheme="majorHAnsi" w:cstheme="majorHAnsi"/>
          <w:b/>
        </w:rPr>
        <w:t xml:space="preserve">Supplementary Table </w:t>
      </w:r>
      <w:r>
        <w:rPr>
          <w:rFonts w:asciiTheme="majorHAnsi" w:hAnsiTheme="majorHAnsi" w:cstheme="majorHAnsi"/>
          <w:b/>
        </w:rPr>
        <w:t>2</w:t>
      </w:r>
      <w:r w:rsidRPr="008E0829">
        <w:rPr>
          <w:rFonts w:asciiTheme="majorHAnsi" w:hAnsiTheme="majorHAnsi" w:cstheme="majorHAnsi"/>
          <w:b/>
        </w:rPr>
        <w:t>:</w:t>
      </w:r>
      <w:r w:rsidRPr="002B47A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Circulating </w:t>
      </w:r>
      <w:r w:rsidRPr="002B47A2">
        <w:rPr>
          <w:rFonts w:asciiTheme="majorHAnsi" w:hAnsiTheme="majorHAnsi" w:cstheme="majorHAnsi"/>
        </w:rPr>
        <w:t>bilirubin</w:t>
      </w:r>
      <w:r>
        <w:rPr>
          <w:rFonts w:asciiTheme="majorHAnsi" w:hAnsiTheme="majorHAnsi" w:cstheme="majorHAnsi"/>
        </w:rPr>
        <w:t xml:space="preserve"> levels</w:t>
      </w:r>
      <w:r w:rsidRPr="002B47A2">
        <w:rPr>
          <w:rFonts w:asciiTheme="majorHAnsi" w:hAnsiTheme="majorHAnsi" w:cstheme="majorHAnsi"/>
        </w:rPr>
        <w:t xml:space="preserve"> GWAS</w:t>
      </w:r>
      <w:r>
        <w:rPr>
          <w:rFonts w:asciiTheme="majorHAnsi" w:hAnsiTheme="majorHAnsi" w:cstheme="majorHAnsi"/>
        </w:rPr>
        <w:t xml:space="preserve"> demographic summary. </w:t>
      </w:r>
    </w:p>
    <w:p w14:paraId="26B7135A" w14:textId="77777777" w:rsidR="00BC781D" w:rsidRDefault="00BC781D" w:rsidP="00B46CC7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586E3644" w14:textId="77777777" w:rsidR="00BC781D" w:rsidRPr="002B47A2" w:rsidRDefault="00BC781D" w:rsidP="00BC781D">
      <w:pPr>
        <w:spacing w:line="360" w:lineRule="auto"/>
        <w:jc w:val="both"/>
        <w:rPr>
          <w:rFonts w:asciiTheme="majorHAnsi" w:hAnsiTheme="majorHAnsi" w:cstheme="majorHAnsi"/>
        </w:rPr>
      </w:pPr>
      <w:r w:rsidRPr="008E0829">
        <w:rPr>
          <w:rFonts w:asciiTheme="majorHAnsi" w:hAnsiTheme="majorHAnsi" w:cstheme="majorHAnsi"/>
          <w:b/>
        </w:rPr>
        <w:t xml:space="preserve">Supplementary Table </w:t>
      </w:r>
      <w:r>
        <w:rPr>
          <w:rFonts w:asciiTheme="majorHAnsi" w:hAnsiTheme="majorHAnsi" w:cstheme="majorHAnsi"/>
          <w:b/>
        </w:rPr>
        <w:t>3</w:t>
      </w:r>
      <w:r w:rsidRPr="008E0829">
        <w:rPr>
          <w:rFonts w:asciiTheme="majorHAnsi" w:hAnsiTheme="majorHAnsi" w:cstheme="majorHAnsi"/>
          <w:b/>
        </w:rPr>
        <w:t>:</w:t>
      </w:r>
      <w:r w:rsidRPr="002B47A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Summary of the 14 CRC GWAS in the meta-analysis.</w:t>
      </w:r>
    </w:p>
    <w:p w14:paraId="1724AEFD" w14:textId="77777777" w:rsidR="00BC781D" w:rsidRDefault="00BC781D" w:rsidP="00B46CC7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7559E30B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 w:cstheme="majorHAnsi"/>
        </w:rPr>
      </w:pPr>
      <w:r w:rsidRPr="008E0829">
        <w:rPr>
          <w:rFonts w:asciiTheme="majorHAnsi" w:hAnsiTheme="majorHAnsi" w:cstheme="majorHAnsi"/>
          <w:b/>
        </w:rPr>
        <w:t xml:space="preserve">Supplementary Table </w:t>
      </w:r>
      <w:r w:rsidR="00BC781D">
        <w:rPr>
          <w:rFonts w:asciiTheme="majorHAnsi" w:hAnsiTheme="majorHAnsi" w:cstheme="majorHAnsi"/>
          <w:b/>
        </w:rPr>
        <w:t>4</w:t>
      </w:r>
      <w:r w:rsidRPr="008E0829">
        <w:rPr>
          <w:rFonts w:asciiTheme="majorHAnsi" w:hAnsiTheme="majorHAnsi" w:cstheme="majorHAnsi"/>
          <w:b/>
        </w:rPr>
        <w:t>:</w:t>
      </w:r>
      <w:r w:rsidRPr="002B47A2">
        <w:rPr>
          <w:rFonts w:asciiTheme="majorHAnsi" w:hAnsiTheme="majorHAnsi"/>
        </w:rPr>
        <w:t xml:space="preserve"> </w:t>
      </w:r>
      <w:r>
        <w:rPr>
          <w:rFonts w:asciiTheme="majorHAnsi" w:hAnsiTheme="majorHAnsi" w:cstheme="majorHAnsi"/>
        </w:rPr>
        <w:t>S</w:t>
      </w:r>
      <w:r w:rsidRPr="002B47A2">
        <w:rPr>
          <w:rFonts w:asciiTheme="majorHAnsi" w:hAnsiTheme="majorHAnsi" w:cstheme="majorHAnsi"/>
        </w:rPr>
        <w:t>ingle nucleotide polymorphisms (SNPs) used</w:t>
      </w:r>
      <w:r>
        <w:rPr>
          <w:rFonts w:asciiTheme="majorHAnsi" w:hAnsiTheme="majorHAnsi" w:cstheme="majorHAnsi"/>
        </w:rPr>
        <w:t xml:space="preserve"> as instrumental variables </w:t>
      </w:r>
      <w:r w:rsidRPr="002B47A2">
        <w:rPr>
          <w:rFonts w:asciiTheme="majorHAnsi" w:hAnsiTheme="majorHAnsi" w:cstheme="majorHAnsi"/>
        </w:rPr>
        <w:t xml:space="preserve">in the Mendelian </w:t>
      </w:r>
      <w:r>
        <w:rPr>
          <w:rFonts w:asciiTheme="majorHAnsi" w:hAnsiTheme="majorHAnsi" w:cstheme="majorHAnsi"/>
        </w:rPr>
        <w:t>r</w:t>
      </w:r>
      <w:r w:rsidRPr="002B47A2">
        <w:rPr>
          <w:rFonts w:asciiTheme="majorHAnsi" w:hAnsiTheme="majorHAnsi" w:cstheme="majorHAnsi"/>
        </w:rPr>
        <w:t>andomisation analysis</w:t>
      </w:r>
      <w:r>
        <w:rPr>
          <w:rFonts w:asciiTheme="majorHAnsi" w:hAnsiTheme="majorHAnsi" w:cstheme="majorHAnsi"/>
        </w:rPr>
        <w:t>.</w:t>
      </w:r>
    </w:p>
    <w:p w14:paraId="1468139C" w14:textId="77777777" w:rsidR="00B46CC7" w:rsidRPr="002B47A2" w:rsidRDefault="00B46CC7" w:rsidP="00B46CC7">
      <w:pPr>
        <w:spacing w:line="360" w:lineRule="auto"/>
        <w:jc w:val="both"/>
        <w:rPr>
          <w:rFonts w:asciiTheme="majorHAnsi" w:hAnsiTheme="majorHAnsi" w:cstheme="majorHAnsi"/>
        </w:rPr>
      </w:pPr>
    </w:p>
    <w:p w14:paraId="77C50FD3" w14:textId="77777777" w:rsidR="00B46CC7" w:rsidRDefault="00B46CC7" w:rsidP="00B46CC7">
      <w:pPr>
        <w:spacing w:line="360" w:lineRule="auto"/>
        <w:jc w:val="both"/>
        <w:rPr>
          <w:rFonts w:asciiTheme="majorHAnsi" w:hAnsiTheme="majorHAnsi" w:cstheme="majorHAnsi"/>
        </w:rPr>
      </w:pPr>
      <w:r w:rsidRPr="008E0829">
        <w:rPr>
          <w:rFonts w:asciiTheme="majorHAnsi" w:hAnsiTheme="majorHAnsi" w:cstheme="majorHAnsi"/>
          <w:b/>
        </w:rPr>
        <w:t xml:space="preserve">Supplementary Table </w:t>
      </w:r>
      <w:r w:rsidR="00BC781D">
        <w:rPr>
          <w:rFonts w:asciiTheme="majorHAnsi" w:hAnsiTheme="majorHAnsi" w:cstheme="majorHAnsi"/>
          <w:b/>
        </w:rPr>
        <w:t>5</w:t>
      </w:r>
      <w:r w:rsidRPr="008E0829">
        <w:rPr>
          <w:rFonts w:asciiTheme="majorHAnsi" w:hAnsiTheme="majorHAnsi" w:cstheme="majorHAnsi"/>
          <w:b/>
        </w:rPr>
        <w:t>:</w:t>
      </w:r>
      <w:r w:rsidRPr="002B47A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Assessing the suitability of IVs for each exposure for use in Mendelian randomisation analysis.</w:t>
      </w:r>
    </w:p>
    <w:p w14:paraId="5DFD0EC8" w14:textId="77777777" w:rsidR="00B46CC7" w:rsidRDefault="00B46CC7" w:rsidP="00B46CC7">
      <w:pPr>
        <w:spacing w:line="360" w:lineRule="auto"/>
        <w:jc w:val="both"/>
        <w:rPr>
          <w:rFonts w:asciiTheme="majorHAnsi" w:hAnsiTheme="majorHAnsi" w:cstheme="majorHAnsi"/>
        </w:rPr>
      </w:pPr>
    </w:p>
    <w:p w14:paraId="502CF5AF" w14:textId="77777777" w:rsidR="00B46CC7" w:rsidRDefault="00B46CC7" w:rsidP="00B46CC7">
      <w:pPr>
        <w:spacing w:line="360" w:lineRule="auto"/>
        <w:jc w:val="both"/>
        <w:rPr>
          <w:rFonts w:asciiTheme="majorHAnsi" w:hAnsiTheme="majorHAnsi" w:cstheme="majorHAnsi"/>
        </w:rPr>
      </w:pPr>
      <w:r w:rsidRPr="008E0829">
        <w:rPr>
          <w:rFonts w:asciiTheme="majorHAnsi" w:hAnsiTheme="majorHAnsi" w:cstheme="majorHAnsi"/>
          <w:b/>
        </w:rPr>
        <w:t xml:space="preserve">Supplementary Table </w:t>
      </w:r>
      <w:r w:rsidR="00BC781D">
        <w:rPr>
          <w:rFonts w:asciiTheme="majorHAnsi" w:hAnsiTheme="majorHAnsi" w:cstheme="majorHAnsi"/>
          <w:b/>
        </w:rPr>
        <w:t>6</w:t>
      </w:r>
      <w:r w:rsidRPr="008E0829">
        <w:rPr>
          <w:rFonts w:asciiTheme="majorHAnsi" w:hAnsiTheme="majorHAnsi" w:cstheme="majorHAnsi"/>
          <w:b/>
        </w:rPr>
        <w:t>:</w:t>
      </w:r>
      <w:r w:rsidRPr="002B47A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Causal estimates from each Mendelian randomisation method for each exposure and CRC risk. </w:t>
      </w:r>
    </w:p>
    <w:p w14:paraId="67DA0B0C" w14:textId="77777777" w:rsidR="00B46CC7" w:rsidRDefault="00B46CC7" w:rsidP="00B46CC7">
      <w:pPr>
        <w:spacing w:line="360" w:lineRule="auto"/>
        <w:jc w:val="both"/>
        <w:rPr>
          <w:rFonts w:asciiTheme="majorHAnsi" w:hAnsiTheme="majorHAnsi" w:cstheme="majorHAnsi"/>
        </w:rPr>
      </w:pPr>
    </w:p>
    <w:p w14:paraId="32E6A859" w14:textId="77777777" w:rsidR="00B46CC7" w:rsidRPr="008E0829" w:rsidRDefault="00B46CC7" w:rsidP="00B46CC7">
      <w:pPr>
        <w:spacing w:line="360" w:lineRule="auto"/>
        <w:jc w:val="both"/>
        <w:rPr>
          <w:rFonts w:asciiTheme="majorHAnsi" w:hAnsiTheme="majorHAnsi" w:cstheme="majorHAnsi"/>
          <w:b/>
          <w:u w:val="single"/>
        </w:rPr>
      </w:pPr>
      <w:r w:rsidRPr="008E0829">
        <w:rPr>
          <w:rFonts w:asciiTheme="majorHAnsi" w:hAnsiTheme="majorHAnsi" w:cstheme="majorHAnsi"/>
          <w:b/>
          <w:u w:val="single"/>
        </w:rPr>
        <w:t>Supplementary Figure Legends:</w:t>
      </w:r>
    </w:p>
    <w:p w14:paraId="55D521C4" w14:textId="77777777" w:rsidR="00B46CC7" w:rsidRPr="00DE3474" w:rsidRDefault="00B46CC7" w:rsidP="00B46CC7">
      <w:pPr>
        <w:spacing w:line="360" w:lineRule="auto"/>
        <w:jc w:val="both"/>
        <w:rPr>
          <w:rFonts w:asciiTheme="majorHAnsi" w:hAnsiTheme="majorHAnsi" w:cstheme="majorHAnsi"/>
          <w:b/>
        </w:rPr>
      </w:pPr>
    </w:p>
    <w:p w14:paraId="6C7D4852" w14:textId="77777777" w:rsidR="00B46CC7" w:rsidRDefault="00B46CC7" w:rsidP="00B46CC7">
      <w:pPr>
        <w:spacing w:line="360" w:lineRule="auto"/>
        <w:jc w:val="both"/>
        <w:rPr>
          <w:rFonts w:asciiTheme="majorHAnsi" w:hAnsiTheme="majorHAnsi"/>
        </w:rPr>
      </w:pPr>
      <w:r w:rsidRPr="00693A18">
        <w:rPr>
          <w:rFonts w:asciiTheme="majorHAnsi" w:hAnsiTheme="majorHAnsi"/>
          <w:b/>
          <w:lang w:val="en-US"/>
        </w:rPr>
        <w:t>Supplementary Figure 1: Funnel plot of causal effect estimates for gallstone disease on colorectal cancer risk, with all 26 valid instrumental variables</w:t>
      </w:r>
      <w:r>
        <w:rPr>
          <w:rFonts w:asciiTheme="majorHAnsi" w:hAnsiTheme="majorHAnsi"/>
          <w:b/>
          <w:lang w:val="en-US"/>
        </w:rPr>
        <w:t>.</w:t>
      </w:r>
      <w:r w:rsidRPr="00F35F42">
        <w:rPr>
          <w:rFonts w:asciiTheme="majorHAnsi" w:hAnsiTheme="majorHAnsi" w:cstheme="majorHAnsi"/>
        </w:rPr>
        <w:t xml:space="preserve"> R</w:t>
      </w:r>
      <w:r w:rsidRPr="00F35F42">
        <w:rPr>
          <w:rFonts w:asciiTheme="majorHAnsi" w:hAnsiTheme="majorHAnsi"/>
        </w:rPr>
        <w:t xml:space="preserve">ed line shows </w:t>
      </w:r>
      <w:r w:rsidRPr="00693A18">
        <w:rPr>
          <w:rFonts w:asciiTheme="majorHAnsi" w:hAnsiTheme="majorHAnsi" w:cstheme="majorHAnsi"/>
        </w:rPr>
        <w:t xml:space="preserve">multiplicative random effects inverse variance weighted </w:t>
      </w:r>
      <w:r w:rsidRPr="00F35F42">
        <w:rPr>
          <w:rFonts w:asciiTheme="majorHAnsi" w:hAnsiTheme="majorHAnsi"/>
        </w:rPr>
        <w:t>causal effect estimate</w:t>
      </w:r>
      <w:r w:rsidRPr="002B47A2">
        <w:rPr>
          <w:rFonts w:asciiTheme="majorHAnsi" w:hAnsiTheme="majorHAnsi"/>
        </w:rPr>
        <w:t xml:space="preserve">. </w:t>
      </w:r>
      <m:oMath>
        <m:r>
          <m:rPr>
            <m:nor/>
          </m:rPr>
          <w:rPr>
            <w:rFonts w:asciiTheme="majorHAnsi" w:hAnsiTheme="majorHAnsi" w:cstheme="majorHAnsi"/>
          </w:rPr>
          <m:t>log</m:t>
        </m:r>
        <m:r>
          <w:rPr>
            <w:rFonts w:ascii="Cambria Math" w:hAnsi="Cambria Math" w:cstheme="majorHAnsi"/>
          </w:rPr>
          <m:t>(</m:t>
        </m:r>
        <m:sSub>
          <m:sSubPr>
            <m:ctrlPr>
              <w:rPr>
                <w:rFonts w:ascii="Cambria Math" w:hAnsi="Cambria Math" w:cstheme="majorHAnsi"/>
                <w:b/>
                <w:bCs/>
                <w:i/>
              </w:rPr>
            </m:ctrlPr>
          </m:sSubPr>
          <m:e>
            <m:r>
              <m:rPr>
                <m:nor/>
              </m:rPr>
              <w:rPr>
                <w:rFonts w:asciiTheme="majorHAnsi" w:hAnsiTheme="majorHAnsi" w:cstheme="majorHAnsi"/>
                <w:bCs/>
              </w:rPr>
              <m:t>OR</m:t>
            </m:r>
          </m:e>
          <m:sub>
            <m:r>
              <m:rPr>
                <m:sty m:val="bi"/>
              </m:rPr>
              <w:rPr>
                <w:rFonts w:ascii="Cambria Math" w:hAnsi="Cambria Math" w:cstheme="majorHAnsi"/>
              </w:rPr>
              <m:t>*</m:t>
            </m:r>
          </m:sub>
        </m:sSub>
        <m:r>
          <w:rPr>
            <w:rFonts w:ascii="Cambria Math" w:hAnsi="Cambria Math" w:cstheme="majorHAnsi"/>
          </w:rPr>
          <m:t>)</m:t>
        </m:r>
      </m:oMath>
      <w:r w:rsidRPr="002B47A2">
        <w:rPr>
          <w:rFonts w:asciiTheme="majorHAnsi" w:hAnsiTheme="majorHAnsi" w:cstheme="majorHAnsi"/>
        </w:rPr>
        <w:t xml:space="preserve">, </w:t>
      </w:r>
      <w:r w:rsidRPr="002B47A2">
        <w:rPr>
          <w:rFonts w:asciiTheme="majorHAnsi" w:hAnsiTheme="majorHAnsi"/>
        </w:rPr>
        <w:t xml:space="preserve">log </w:t>
      </w:r>
      <w:r w:rsidRPr="002B47A2">
        <w:rPr>
          <w:rFonts w:asciiTheme="majorHAnsi" w:hAnsiTheme="majorHAnsi" w:cstheme="majorHAnsi"/>
        </w:rPr>
        <w:t xml:space="preserve">odds ratio </w:t>
      </w:r>
      <w:r w:rsidRPr="00B54383">
        <w:rPr>
          <w:rFonts w:asciiTheme="majorHAnsi" w:hAnsiTheme="majorHAnsi" w:cstheme="majorHAnsi"/>
        </w:rPr>
        <w:t>per genetically predicted standard deviation (</w:t>
      </w:r>
      <w:r w:rsidRPr="002B47A2">
        <w:rPr>
          <w:rFonts w:asciiTheme="majorHAnsi" w:hAnsiTheme="majorHAnsi" w:cstheme="majorHAnsi"/>
        </w:rPr>
        <w:t>of the log odds of gallstone disease</w:t>
      </w:r>
      <w:r>
        <w:rPr>
          <w:rFonts w:asciiTheme="majorHAnsi" w:hAnsiTheme="majorHAnsi" w:cstheme="majorHAnsi"/>
        </w:rPr>
        <w:t xml:space="preserve">) </w:t>
      </w:r>
      <w:r w:rsidRPr="00BB0C4D">
        <w:rPr>
          <w:rFonts w:asciiTheme="majorHAnsi" w:hAnsiTheme="majorHAnsi" w:cstheme="majorHAnsi"/>
        </w:rPr>
        <w:t>log unit increase of the risk of gallstone disease</w:t>
      </w:r>
      <w:r w:rsidRPr="002B47A2">
        <w:rPr>
          <w:rFonts w:asciiTheme="majorHAnsi" w:hAnsiTheme="majorHAnsi" w:cstheme="majorHAnsi"/>
        </w:rPr>
        <w:t xml:space="preserve">; </w:t>
      </w:r>
      <m:oMath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r>
              <w:rPr>
                <w:rFonts w:ascii="Cambria Math" w:hAnsi="Cambria Math" w:cstheme="majorHAnsi"/>
              </w:rPr>
              <m:t>σ</m:t>
            </m:r>
          </m:e>
          <m:sup>
            <m:r>
              <w:rPr>
                <w:rFonts w:ascii="Cambria Math" w:hAnsi="Cambria Math" w:cstheme="majorHAnsi"/>
              </w:rPr>
              <m:t>-2</m:t>
            </m:r>
          </m:sup>
        </m:sSup>
      </m:oMath>
      <w:r w:rsidRPr="002B47A2">
        <w:rPr>
          <w:rFonts w:asciiTheme="majorHAnsi" w:hAnsiTheme="majorHAnsi" w:cstheme="majorHAnsi"/>
        </w:rPr>
        <w:t>, Wald ratio estimate precision.</w:t>
      </w:r>
      <w:r w:rsidRPr="002B47A2">
        <w:rPr>
          <w:rFonts w:asciiTheme="majorHAnsi" w:hAnsiTheme="majorHAnsi"/>
        </w:rPr>
        <w:t xml:space="preserve"> </w:t>
      </w:r>
    </w:p>
    <w:p w14:paraId="17505544" w14:textId="77777777" w:rsidR="00B46CC7" w:rsidRDefault="00B46CC7" w:rsidP="00B46CC7">
      <w:pPr>
        <w:spacing w:line="360" w:lineRule="auto"/>
        <w:jc w:val="both"/>
        <w:rPr>
          <w:rFonts w:asciiTheme="majorHAnsi" w:hAnsiTheme="majorHAnsi"/>
        </w:rPr>
      </w:pPr>
    </w:p>
    <w:p w14:paraId="7FE3CA58" w14:textId="77777777" w:rsidR="00D83E15" w:rsidRPr="007C35E9" w:rsidRDefault="00B46CC7" w:rsidP="007C35E9">
      <w:pPr>
        <w:spacing w:line="360" w:lineRule="auto"/>
        <w:jc w:val="both"/>
        <w:rPr>
          <w:rFonts w:asciiTheme="majorHAnsi" w:hAnsiTheme="majorHAnsi"/>
          <w:b/>
          <w:highlight w:val="yellow"/>
          <w:lang w:val="en-US"/>
        </w:rPr>
      </w:pPr>
      <w:r w:rsidRPr="00693A18">
        <w:rPr>
          <w:rFonts w:asciiTheme="majorHAnsi" w:hAnsiTheme="majorHAnsi"/>
          <w:b/>
          <w:lang w:val="en-US"/>
        </w:rPr>
        <w:t>Supplementary Figure 2: Funnel plot of causal effect estimates for gallstone disease on colorectal cancer risk</w:t>
      </w:r>
      <w:r>
        <w:rPr>
          <w:rFonts w:asciiTheme="majorHAnsi" w:hAnsiTheme="majorHAnsi"/>
          <w:b/>
          <w:lang w:val="en-US"/>
        </w:rPr>
        <w:t xml:space="preserve"> excluding six </w:t>
      </w:r>
      <w:r w:rsidRPr="00693A18">
        <w:rPr>
          <w:rFonts w:asciiTheme="majorHAnsi" w:hAnsiTheme="majorHAnsi"/>
          <w:b/>
          <w:lang w:val="en-US"/>
        </w:rPr>
        <w:t>single nucleotide polymorphisms showing heterogeneity excluded.</w:t>
      </w:r>
      <w:r w:rsidRPr="00F35F42">
        <w:rPr>
          <w:rFonts w:asciiTheme="majorHAnsi" w:hAnsiTheme="majorHAnsi" w:cstheme="majorHAnsi"/>
        </w:rPr>
        <w:t xml:space="preserve"> R</w:t>
      </w:r>
      <w:r w:rsidRPr="00F35F42">
        <w:rPr>
          <w:rFonts w:asciiTheme="majorHAnsi" w:hAnsiTheme="majorHAnsi"/>
        </w:rPr>
        <w:t>ed line shows</w:t>
      </w:r>
      <w:r w:rsidRPr="002B47A2">
        <w:rPr>
          <w:rFonts w:asciiTheme="majorHAnsi" w:hAnsiTheme="majorHAnsi"/>
        </w:rPr>
        <w:t xml:space="preserve"> </w:t>
      </w:r>
      <w:r w:rsidRPr="001F6A58">
        <w:rPr>
          <w:rFonts w:asciiTheme="majorHAnsi" w:hAnsiTheme="majorHAnsi" w:cstheme="majorHAnsi"/>
        </w:rPr>
        <w:t>multiplicative random effects inverse variance weighted</w:t>
      </w:r>
      <w:r w:rsidRPr="002B47A2" w:rsidDel="00F35F42">
        <w:rPr>
          <w:rFonts w:asciiTheme="majorHAnsi" w:hAnsiTheme="majorHAnsi"/>
        </w:rPr>
        <w:t xml:space="preserve"> </w:t>
      </w:r>
      <w:r w:rsidRPr="002B47A2">
        <w:rPr>
          <w:rFonts w:asciiTheme="majorHAnsi" w:hAnsiTheme="majorHAnsi"/>
        </w:rPr>
        <w:t xml:space="preserve">causal effect estimate. </w:t>
      </w:r>
      <m:oMath>
        <m:r>
          <m:rPr>
            <m:nor/>
          </m:rPr>
          <w:rPr>
            <w:rFonts w:asciiTheme="majorHAnsi" w:hAnsiTheme="majorHAnsi" w:cstheme="majorHAnsi"/>
          </w:rPr>
          <m:t>log</m:t>
        </m:r>
        <m:r>
          <w:rPr>
            <w:rFonts w:ascii="Cambria Math" w:hAnsi="Cambria Math" w:cstheme="majorHAnsi"/>
          </w:rPr>
          <m:t>(</m:t>
        </m:r>
        <m:sSub>
          <m:sSubPr>
            <m:ctrlPr>
              <w:rPr>
                <w:rFonts w:ascii="Cambria Math" w:hAnsi="Cambria Math" w:cstheme="majorHAnsi"/>
                <w:b/>
                <w:bCs/>
                <w:i/>
              </w:rPr>
            </m:ctrlPr>
          </m:sSubPr>
          <m:e>
            <m:r>
              <m:rPr>
                <m:nor/>
              </m:rPr>
              <w:rPr>
                <w:rFonts w:asciiTheme="majorHAnsi" w:hAnsiTheme="majorHAnsi" w:cstheme="majorHAnsi"/>
                <w:bCs/>
              </w:rPr>
              <m:t>OR</m:t>
            </m:r>
          </m:e>
          <m:sub>
            <m:r>
              <m:rPr>
                <m:sty m:val="bi"/>
              </m:rPr>
              <w:rPr>
                <w:rFonts w:ascii="Cambria Math" w:hAnsi="Cambria Math" w:cstheme="majorHAnsi"/>
              </w:rPr>
              <m:t>*</m:t>
            </m:r>
          </m:sub>
        </m:sSub>
        <m:r>
          <w:rPr>
            <w:rFonts w:ascii="Cambria Math" w:hAnsi="Cambria Math" w:cstheme="majorHAnsi"/>
          </w:rPr>
          <m:t>)</m:t>
        </m:r>
      </m:oMath>
      <w:r w:rsidRPr="002B47A2">
        <w:rPr>
          <w:rFonts w:asciiTheme="majorHAnsi" w:hAnsiTheme="majorHAnsi" w:cstheme="majorHAnsi"/>
        </w:rPr>
        <w:t xml:space="preserve">, </w:t>
      </w:r>
      <w:r w:rsidRPr="002B47A2">
        <w:rPr>
          <w:rFonts w:asciiTheme="majorHAnsi" w:hAnsiTheme="majorHAnsi"/>
        </w:rPr>
        <w:t xml:space="preserve">log </w:t>
      </w:r>
      <w:r w:rsidRPr="002B47A2">
        <w:rPr>
          <w:rFonts w:asciiTheme="majorHAnsi" w:hAnsiTheme="majorHAnsi" w:cstheme="majorHAnsi"/>
        </w:rPr>
        <w:t xml:space="preserve">odds ratio </w:t>
      </w:r>
      <w:r w:rsidRPr="00512C06">
        <w:rPr>
          <w:rFonts w:asciiTheme="majorHAnsi" w:hAnsiTheme="majorHAnsi" w:cstheme="majorHAnsi"/>
        </w:rPr>
        <w:t xml:space="preserve">per genetically predicted standard deviation </w:t>
      </w:r>
      <w:r>
        <w:rPr>
          <w:rFonts w:asciiTheme="majorHAnsi" w:hAnsiTheme="majorHAnsi" w:cstheme="majorHAnsi"/>
        </w:rPr>
        <w:t>(</w:t>
      </w:r>
      <w:r w:rsidRPr="002B47A2">
        <w:rPr>
          <w:rFonts w:asciiTheme="majorHAnsi" w:hAnsiTheme="majorHAnsi" w:cstheme="majorHAnsi"/>
        </w:rPr>
        <w:t>of the log odds of gallstone disease</w:t>
      </w:r>
      <w:r>
        <w:rPr>
          <w:rFonts w:asciiTheme="majorHAnsi" w:hAnsiTheme="majorHAnsi" w:cstheme="majorHAnsi"/>
        </w:rPr>
        <w:t xml:space="preserve">) </w:t>
      </w:r>
      <w:r w:rsidRPr="00BB0C4D">
        <w:rPr>
          <w:rFonts w:asciiTheme="majorHAnsi" w:hAnsiTheme="majorHAnsi" w:cstheme="majorHAnsi"/>
        </w:rPr>
        <w:t>log unit increase of the risk of gallstone disease</w:t>
      </w:r>
      <w:r w:rsidRPr="002B47A2">
        <w:rPr>
          <w:rFonts w:asciiTheme="majorHAnsi" w:hAnsiTheme="majorHAnsi" w:cstheme="majorHAnsi"/>
        </w:rPr>
        <w:t xml:space="preserve">; </w:t>
      </w:r>
      <m:oMath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r>
              <w:rPr>
                <w:rFonts w:ascii="Cambria Math" w:hAnsi="Cambria Math" w:cstheme="majorHAnsi"/>
              </w:rPr>
              <m:t>σ</m:t>
            </m:r>
          </m:e>
          <m:sup>
            <m:r>
              <w:rPr>
                <w:rFonts w:ascii="Cambria Math" w:hAnsi="Cambria Math" w:cstheme="majorHAnsi"/>
              </w:rPr>
              <m:t>-2</m:t>
            </m:r>
          </m:sup>
        </m:sSup>
      </m:oMath>
      <w:r w:rsidRPr="002B47A2">
        <w:rPr>
          <w:rFonts w:asciiTheme="majorHAnsi" w:hAnsiTheme="majorHAnsi" w:cstheme="majorHAnsi"/>
        </w:rPr>
        <w:t>, Wald ratio estimate precision.</w:t>
      </w:r>
      <w:r w:rsidRPr="002B47A2">
        <w:rPr>
          <w:rFonts w:asciiTheme="majorHAnsi" w:hAnsiTheme="majorHAnsi"/>
          <w:b/>
          <w:highlight w:val="yellow"/>
          <w:lang w:val="en-US"/>
        </w:rPr>
        <w:t xml:space="preserve"> </w:t>
      </w:r>
    </w:p>
    <w:sectPr w:rsidR="00D83E15" w:rsidRPr="007C35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C04"/>
    <w:rsid w:val="00165C04"/>
    <w:rsid w:val="002F23BD"/>
    <w:rsid w:val="004433E6"/>
    <w:rsid w:val="0048724B"/>
    <w:rsid w:val="007C35E9"/>
    <w:rsid w:val="00841C5C"/>
    <w:rsid w:val="00B46CC7"/>
    <w:rsid w:val="00BC781D"/>
    <w:rsid w:val="00D83E15"/>
    <w:rsid w:val="00EB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11B88"/>
  <w15:chartTrackingRefBased/>
  <w15:docId w15:val="{AAD3EA52-B3B8-491E-9B5C-4A807E1F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C7"/>
    <w:pPr>
      <w:spacing w:after="0" w:line="240" w:lineRule="auto"/>
    </w:pPr>
    <w:rPr>
      <w:rFonts w:asciiTheme="minorHAnsi" w:eastAsiaTheme="minorEastAsia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C35E9"/>
    <w:pPr>
      <w:spacing w:after="0" w:line="240" w:lineRule="auto"/>
    </w:pPr>
    <w:rPr>
      <w:rFonts w:asciiTheme="minorHAnsi" w:eastAsiaTheme="minorEastAsia" w:hAnsi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C3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Cancer Research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Culliford</dc:creator>
  <cp:keywords/>
  <dc:description/>
  <cp:lastModifiedBy>Natalie Edwards</cp:lastModifiedBy>
  <cp:revision>8</cp:revision>
  <dcterms:created xsi:type="dcterms:W3CDTF">2020-10-09T13:26:00Z</dcterms:created>
  <dcterms:modified xsi:type="dcterms:W3CDTF">2020-11-25T11:59:00Z</dcterms:modified>
</cp:coreProperties>
</file>