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915" w:rsidRPr="009D425D" w:rsidRDefault="00C77915" w:rsidP="00C77915">
      <w:pPr>
        <w:pStyle w:val="NoSpacing"/>
        <w:spacing w:line="360" w:lineRule="auto"/>
        <w:jc w:val="both"/>
        <w:rPr>
          <w:rFonts w:ascii="Times New Roman" w:hAnsi="Times New Roman" w:cs="Times New Roman"/>
          <w:b/>
          <w:sz w:val="24"/>
        </w:rPr>
      </w:pPr>
      <w:r w:rsidRPr="009D425D">
        <w:rPr>
          <w:rFonts w:ascii="Times New Roman" w:hAnsi="Times New Roman" w:cs="Times New Roman"/>
          <w:b/>
          <w:sz w:val="24"/>
        </w:rPr>
        <w:t xml:space="preserve">Supplementary </w:t>
      </w:r>
      <w:r w:rsidR="009D425D">
        <w:rPr>
          <w:rFonts w:ascii="Times New Roman" w:hAnsi="Times New Roman" w:cs="Times New Roman"/>
          <w:b/>
          <w:sz w:val="24"/>
        </w:rPr>
        <w:t>Information</w:t>
      </w:r>
    </w:p>
    <w:p w:rsidR="00C77915" w:rsidRDefault="00C77915" w:rsidP="00C77915">
      <w:pPr>
        <w:pStyle w:val="NoSpacing"/>
        <w:spacing w:line="360" w:lineRule="auto"/>
        <w:jc w:val="both"/>
        <w:rPr>
          <w:rFonts w:ascii="Times New Roman" w:hAnsi="Times New Roman" w:cs="Times New Roman"/>
          <w:sz w:val="24"/>
        </w:rPr>
      </w:pPr>
    </w:p>
    <w:p w:rsidR="00C77915" w:rsidRDefault="00C77915" w:rsidP="00C77915">
      <w:pPr>
        <w:pStyle w:val="NoSpacing"/>
        <w:spacing w:line="360" w:lineRule="auto"/>
        <w:jc w:val="both"/>
        <w:rPr>
          <w:rFonts w:ascii="Times New Roman" w:hAnsi="Times New Roman" w:cs="Times New Roman"/>
          <w:sz w:val="24"/>
        </w:rPr>
      </w:pPr>
      <w:r>
        <w:rPr>
          <w:rFonts w:ascii="Times New Roman" w:hAnsi="Times New Roman" w:cs="Times New Roman"/>
          <w:b/>
          <w:color w:val="000000" w:themeColor="text1"/>
          <w:sz w:val="24"/>
        </w:rPr>
        <w:t>Pre</w:t>
      </w:r>
      <w:r w:rsidR="009D425D">
        <w:rPr>
          <w:rFonts w:ascii="Times New Roman" w:hAnsi="Times New Roman" w:cs="Times New Roman"/>
          <w:b/>
          <w:color w:val="000000" w:themeColor="text1"/>
          <w:sz w:val="24"/>
        </w:rPr>
        <w:t>-</w:t>
      </w:r>
      <w:r>
        <w:rPr>
          <w:rFonts w:ascii="Times New Roman" w:hAnsi="Times New Roman" w:cs="Times New Roman"/>
          <w:b/>
          <w:color w:val="000000" w:themeColor="text1"/>
          <w:sz w:val="24"/>
        </w:rPr>
        <w:t xml:space="preserve">amplification conditions for </w:t>
      </w:r>
      <w:r w:rsidR="009D425D">
        <w:rPr>
          <w:rFonts w:ascii="Times New Roman" w:hAnsi="Times New Roman" w:cs="Times New Roman"/>
          <w:b/>
          <w:color w:val="000000" w:themeColor="text1"/>
          <w:sz w:val="24"/>
        </w:rPr>
        <w:t>droplet digital PCR for CTC score calculation</w:t>
      </w:r>
    </w:p>
    <w:p w:rsidR="00C77915" w:rsidRDefault="009D425D" w:rsidP="00C77915">
      <w:pPr>
        <w:pStyle w:val="NoSpacing"/>
        <w:spacing w:line="360" w:lineRule="auto"/>
        <w:jc w:val="both"/>
        <w:rPr>
          <w:rFonts w:ascii="Times New Roman" w:hAnsi="Times New Roman" w:cs="Times New Roman"/>
          <w:sz w:val="24"/>
        </w:rPr>
      </w:pPr>
      <w:r>
        <w:rPr>
          <w:rFonts w:ascii="Times New Roman" w:hAnsi="Times New Roman" w:cs="Times New Roman"/>
          <w:sz w:val="24"/>
        </w:rPr>
        <w:t xml:space="preserve">We adapted the protocol from Hong </w:t>
      </w:r>
      <w:r w:rsidRPr="009D425D">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color w:val="000000" w:themeColor="text1"/>
          <w:sz w:val="24"/>
        </w:rPr>
        <w:fldChar w:fldCharType="begin">
          <w:fldData xml:space="preserve">PEVuZE5vdGU+PENpdGU+PEF1dGhvcj5Ib25nPC9BdXRob3I+PFllYXI+MjAxODwvWWVhcj48UmVj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aXRlZCBTdGF0ZXMgb2YgQW1lcmljYTwvYWJici0xPjwvcGVyaW9kaWNhbD48cGFnZXM+MjQ2Ny0y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PEVuZE5vdGU+PENpdGU+PEF1dGhvcj5Ib25nPC9BdXRob3I+PFllYXI+MjAxODwvWWVhcj48UmVj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aXRlZCBTdGF0ZXMgb2YgQW1lcmljYTwvYWJici0xPjwvcGVyaW9kaWNhbD48cGFnZXM+MjQ2Ny0y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(10)</w:t>
      </w:r>
      <w:r>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for CTC scores calculation. </w:t>
      </w:r>
      <w:r w:rsidR="00C77915">
        <w:rPr>
          <w:rFonts w:ascii="Times New Roman" w:hAnsi="Times New Roman" w:cs="Times New Roman"/>
          <w:sz w:val="24"/>
        </w:rPr>
        <w:t xml:space="preserve">Given the differences in the microfluidic devices used for CTC isolation between the </w:t>
      </w:r>
      <w:r w:rsidR="00C77915" w:rsidRPr="00AF50D2">
        <w:rPr>
          <w:rFonts w:ascii="Times New Roman" w:hAnsi="Times New Roman" w:cs="Times New Roman"/>
          <w:sz w:val="24"/>
        </w:rPr>
        <w:t>CTC-</w:t>
      </w:r>
      <w:proofErr w:type="spellStart"/>
      <w:r w:rsidR="00C77915" w:rsidRPr="00AF50D2">
        <w:rPr>
          <w:rFonts w:ascii="Times New Roman" w:hAnsi="Times New Roman" w:cs="Times New Roman"/>
          <w:sz w:val="24"/>
        </w:rPr>
        <w:t>iChip</w:t>
      </w:r>
      <w:proofErr w:type="spellEnd"/>
      <w:r>
        <w:rPr>
          <w:rFonts w:ascii="Times New Roman" w:hAnsi="Times New Roman" w:cs="Times New Roman"/>
          <w:sz w:val="24"/>
        </w:rPr>
        <w:t xml:space="preserve"> used by Hong </w:t>
      </w:r>
      <w:r w:rsidRPr="009D425D">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color w:val="000000" w:themeColor="text1"/>
          <w:sz w:val="24"/>
        </w:rPr>
        <w:fldChar w:fldCharType="begin">
          <w:fldData xml:space="preserve">PEVuZE5vdGU+PENpdGU+PEF1dGhvcj5Ib25nPC9BdXRob3I+PFllYXI+MjAxODwvWWVhcj48UmVj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aXRlZCBTdGF0ZXMgb2YgQW1lcmljYTwvYWJici0xPjwvcGVyaW9kaWNhbD48cGFnZXM+MjQ2Ny0y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</w:fldData>
        </w:fldChar>
      </w:r>
      <w:r>
        <w:rPr>
          <w:rFonts w:ascii="Times New Roman" w:hAnsi="Times New Roman" w:cs="Times New Roman"/>
          <w:color w:val="000000" w:themeColor="text1"/>
          <w:sz w:val="24"/>
        </w:rPr>
        <w:instrText xml:space="preserve"> ADDIN EN.CITE </w:instrText>
      </w:r>
      <w:r>
        <w:rPr>
          <w:rFonts w:ascii="Times New Roman" w:hAnsi="Times New Roman" w:cs="Times New Roman"/>
          <w:color w:val="000000" w:themeColor="text1"/>
          <w:sz w:val="24"/>
        </w:rPr>
        <w:fldChar w:fldCharType="begin">
          <w:fldData xml:space="preserve">PEVuZE5vdGU+PENpdGU+PEF1dGhvcj5Ib25nPC9BdXRob3I+PFllYXI+MjAxODwvWWVhcj48UmVj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</w:fldData>
        </w:fldChar>
      </w:r>
      <w:r>
        <w:rPr>
          <w:rFonts w:ascii="Times New Roman" w:hAnsi="Times New Roman" w:cs="Times New Roman"/>
          <w:color w:val="000000" w:themeColor="text1"/>
          <w:sz w:val="24"/>
        </w:rPr>
        <w:instrText xml:space="preserve"> ADDIN EN.CITE.DATA </w:instrText>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r>
      <w:r>
        <w:rPr>
          <w:rFonts w:ascii="Times New Roman" w:hAnsi="Times New Roman" w:cs="Times New Roman"/>
          <w:color w:val="000000" w:themeColor="text1"/>
          <w:sz w:val="24"/>
        </w:rPr>
        <w:fldChar w:fldCharType="separate"/>
      </w:r>
      <w:r>
        <w:rPr>
          <w:rFonts w:ascii="Times New Roman" w:hAnsi="Times New Roman" w:cs="Times New Roman"/>
          <w:noProof/>
          <w:color w:val="000000" w:themeColor="text1"/>
          <w:sz w:val="24"/>
        </w:rPr>
        <w:t>(</w:t>
      </w:r>
      <w:r w:rsidR="00F84BA4">
        <w:rPr>
          <w:rFonts w:ascii="Times New Roman" w:hAnsi="Times New Roman" w:cs="Times New Roman"/>
          <w:noProof/>
          <w:color w:val="000000" w:themeColor="text1"/>
          <w:sz w:val="24"/>
        </w:rPr>
        <w:t>13</w:t>
      </w:r>
      <w:r>
        <w:rPr>
          <w:rFonts w:ascii="Times New Roman" w:hAnsi="Times New Roman" w:cs="Times New Roman"/>
          <w:noProof/>
          <w:color w:val="000000" w:themeColor="text1"/>
          <w:sz w:val="24"/>
        </w:rPr>
        <w:t>)</w:t>
      </w:r>
      <w:r>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w:t>
      </w:r>
      <w:proofErr w:type="gramStart"/>
      <w:r w:rsidR="00C77915">
        <w:rPr>
          <w:rFonts w:ascii="Times New Roman" w:hAnsi="Times New Roman" w:cs="Times New Roman"/>
          <w:sz w:val="24"/>
        </w:rPr>
        <w:t>and</w:t>
      </w:r>
      <w:proofErr w:type="gramEnd"/>
      <w:r w:rsidR="00C77915">
        <w:rPr>
          <w:rFonts w:ascii="Times New Roman" w:hAnsi="Times New Roman" w:cs="Times New Roman"/>
          <w:sz w:val="24"/>
        </w:rPr>
        <w:t xml:space="preserve"> the </w:t>
      </w:r>
      <w:proofErr w:type="spellStart"/>
      <w:r w:rsidR="00C77915">
        <w:rPr>
          <w:rFonts w:ascii="Times New Roman" w:hAnsi="Times New Roman" w:cs="Times New Roman"/>
          <w:sz w:val="24"/>
        </w:rPr>
        <w:t>Parsortix</w:t>
      </w:r>
      <w:proofErr w:type="spellEnd"/>
      <w:r w:rsidR="00C77915">
        <w:rPr>
          <w:rFonts w:ascii="Times New Roman" w:hAnsi="Times New Roman" w:cs="Times New Roman"/>
          <w:sz w:val="24"/>
        </w:rPr>
        <w:t xml:space="preserve"> platform, we evaluated a cohort of healthy controls through the </w:t>
      </w:r>
      <w:proofErr w:type="spellStart"/>
      <w:r w:rsidR="00C77915">
        <w:rPr>
          <w:rFonts w:ascii="Times New Roman" w:hAnsi="Times New Roman" w:cs="Times New Roman"/>
          <w:sz w:val="24"/>
        </w:rPr>
        <w:t>Parsortix</w:t>
      </w:r>
      <w:proofErr w:type="spellEnd"/>
      <w:r w:rsidR="00C77915">
        <w:rPr>
          <w:rFonts w:ascii="Times New Roman" w:hAnsi="Times New Roman" w:cs="Times New Roman"/>
          <w:sz w:val="24"/>
        </w:rPr>
        <w:t xml:space="preserve"> platform to determine the background signal. Blood samples from 12 healthy volunteers </w:t>
      </w:r>
      <w:proofErr w:type="gramStart"/>
      <w:r w:rsidR="00C77915">
        <w:rPr>
          <w:rFonts w:ascii="Times New Roman" w:hAnsi="Times New Roman" w:cs="Times New Roman"/>
          <w:sz w:val="24"/>
        </w:rPr>
        <w:t>were processed</w:t>
      </w:r>
      <w:proofErr w:type="gramEnd"/>
      <w:r w:rsidR="00C77915">
        <w:rPr>
          <w:rFonts w:ascii="Times New Roman" w:hAnsi="Times New Roman" w:cs="Times New Roman"/>
          <w:sz w:val="24"/>
        </w:rPr>
        <w:t xml:space="preserve"> through the </w:t>
      </w:r>
      <w:proofErr w:type="spellStart"/>
      <w:r w:rsidR="00C77915">
        <w:rPr>
          <w:rFonts w:ascii="Times New Roman" w:hAnsi="Times New Roman" w:cs="Times New Roman"/>
          <w:sz w:val="24"/>
        </w:rPr>
        <w:t>Parsortix</w:t>
      </w:r>
      <w:proofErr w:type="spellEnd"/>
      <w:r w:rsidR="00C77915">
        <w:rPr>
          <w:rFonts w:ascii="Times New Roman" w:hAnsi="Times New Roman" w:cs="Times New Roman"/>
          <w:sz w:val="24"/>
        </w:rPr>
        <w:t xml:space="preserve"> and the enriched fractions, henceforth known as “CTC fractions”, were subjected to RNA isolation, cDNA synthesis and gene-specific pre-amplification. The number of pre-amplification cycles for each gene was determined by comparison of the transcript counts per mL of processed blood between 10 and 14 cycles to reduce background in healthy controls and oversaturation in patients’ samples. Consequently, genes with lower transcript counts per mL at pre-amplification cycle 10, or with no transcript counts at cycle 14, in healthy controls </w:t>
      </w:r>
      <w:proofErr w:type="gramStart"/>
      <w:r w:rsidR="00C77915">
        <w:rPr>
          <w:rFonts w:ascii="Times New Roman" w:hAnsi="Times New Roman" w:cs="Times New Roman"/>
          <w:sz w:val="24"/>
        </w:rPr>
        <w:t xml:space="preserve">were subsequently </w:t>
      </w:r>
      <w:proofErr w:type="spellStart"/>
      <w:r w:rsidR="00C77915">
        <w:rPr>
          <w:rFonts w:ascii="Times New Roman" w:hAnsi="Times New Roman" w:cs="Times New Roman"/>
          <w:sz w:val="24"/>
        </w:rPr>
        <w:t>preamplified</w:t>
      </w:r>
      <w:proofErr w:type="spellEnd"/>
      <w:proofErr w:type="gramEnd"/>
      <w:r w:rsidR="00C77915">
        <w:rPr>
          <w:rFonts w:ascii="Times New Roman" w:hAnsi="Times New Roman" w:cs="Times New Roman"/>
          <w:sz w:val="24"/>
        </w:rPr>
        <w:t xml:space="preserve">, at same number of cycles, in patients’ samples (Table S2). In healthy donors, all the genes pre-amplified with 14 cycles had little or no background noise, whilst </w:t>
      </w:r>
      <w:r w:rsidR="00C77915" w:rsidRPr="00457F00">
        <w:rPr>
          <w:rFonts w:ascii="Times New Roman" w:hAnsi="Times New Roman" w:cs="Times New Roman"/>
          <w:i/>
          <w:sz w:val="24"/>
        </w:rPr>
        <w:t>FAT2</w:t>
      </w:r>
      <w:r w:rsidR="00C77915">
        <w:rPr>
          <w:rFonts w:ascii="Times New Roman" w:hAnsi="Times New Roman" w:cs="Times New Roman"/>
          <w:sz w:val="24"/>
        </w:rPr>
        <w:t xml:space="preserve">, </w:t>
      </w:r>
      <w:r w:rsidR="00C77915" w:rsidRPr="00457F00">
        <w:rPr>
          <w:rFonts w:ascii="Times New Roman" w:hAnsi="Times New Roman" w:cs="Times New Roman"/>
          <w:i/>
          <w:sz w:val="24"/>
        </w:rPr>
        <w:t>PMEL</w:t>
      </w:r>
      <w:r w:rsidR="00C77915">
        <w:rPr>
          <w:rFonts w:ascii="Times New Roman" w:hAnsi="Times New Roman" w:cs="Times New Roman"/>
          <w:sz w:val="24"/>
        </w:rPr>
        <w:t xml:space="preserve"> and </w:t>
      </w:r>
      <w:r w:rsidR="00C77915" w:rsidRPr="00457F00">
        <w:rPr>
          <w:rFonts w:ascii="Times New Roman" w:hAnsi="Times New Roman" w:cs="Times New Roman"/>
          <w:i/>
          <w:sz w:val="24"/>
        </w:rPr>
        <w:t>SFRP1</w:t>
      </w:r>
      <w:r w:rsidR="00C77915">
        <w:rPr>
          <w:rFonts w:ascii="Times New Roman" w:hAnsi="Times New Roman" w:cs="Times New Roman"/>
          <w:sz w:val="24"/>
        </w:rPr>
        <w:t xml:space="preserve">, </w:t>
      </w:r>
      <w:proofErr w:type="gramStart"/>
      <w:r w:rsidR="00C77915">
        <w:rPr>
          <w:rFonts w:ascii="Times New Roman" w:hAnsi="Times New Roman" w:cs="Times New Roman"/>
          <w:sz w:val="24"/>
        </w:rPr>
        <w:t>were commonly detected</w:t>
      </w:r>
      <w:proofErr w:type="gramEnd"/>
      <w:r w:rsidR="00C77915">
        <w:rPr>
          <w:rFonts w:ascii="Times New Roman" w:hAnsi="Times New Roman" w:cs="Times New Roman"/>
          <w:sz w:val="24"/>
        </w:rPr>
        <w:t xml:space="preserve"> in more than half of healthy controls. </w:t>
      </w:r>
    </w:p>
    <w:p w:rsidR="00F773E1" w:rsidRDefault="00F773E1">
      <w:r>
        <w:br w:type="page"/>
      </w:r>
    </w:p>
    <w:tbl>
      <w:tblPr>
        <w:tblW w:w="6658" w:type="dxa"/>
        <w:tblLook w:val="04A0" w:firstRow="1" w:lastRow="0" w:firstColumn="1" w:lastColumn="0" w:noHBand="0" w:noVBand="1"/>
      </w:tblPr>
      <w:tblGrid>
        <w:gridCol w:w="3137"/>
        <w:gridCol w:w="910"/>
        <w:gridCol w:w="1051"/>
        <w:gridCol w:w="1560"/>
      </w:tblGrid>
      <w:tr w:rsidR="00F773E1" w:rsidRPr="00F773E1" w:rsidTr="009000D0">
        <w:trPr>
          <w:trHeight w:val="315"/>
        </w:trPr>
        <w:tc>
          <w:tcPr>
            <w:tcW w:w="6658" w:type="dxa"/>
            <w:gridSpan w:val="4"/>
            <w:tcBorders>
              <w:top w:val="single" w:sz="4" w:space="0" w:color="FFFFFF"/>
              <w:left w:val="single" w:sz="4" w:space="0" w:color="FFFFFF"/>
              <w:bottom w:val="single" w:sz="4" w:space="0" w:color="auto"/>
              <w:right w:val="single" w:sz="4" w:space="0" w:color="FFFFFF"/>
            </w:tcBorders>
            <w:shd w:val="clear" w:color="auto" w:fill="auto"/>
            <w:vAlign w:val="center"/>
            <w:hideMark/>
          </w:tcPr>
          <w:p w:rsidR="00F773E1" w:rsidRPr="00F773E1" w:rsidRDefault="00F773E1" w:rsidP="009000D0">
            <w:pPr>
              <w:spacing w:after="0" w:line="240" w:lineRule="auto"/>
              <w:rPr>
                <w:rFonts w:ascii="Times New Roman" w:eastAsia="Times New Roman" w:hAnsi="Times New Roman" w:cs="Times New Roman"/>
                <w:b/>
                <w:bCs/>
                <w:color w:val="000000"/>
                <w:sz w:val="24"/>
                <w:szCs w:val="24"/>
                <w:lang w:eastAsia="en-AU"/>
              </w:rPr>
            </w:pPr>
            <w:r>
              <w:rPr>
                <w:rFonts w:ascii="Times New Roman" w:eastAsia="Times New Roman" w:hAnsi="Times New Roman" w:cs="Times New Roman"/>
                <w:b/>
                <w:bCs/>
                <w:color w:val="000000"/>
                <w:sz w:val="24"/>
                <w:szCs w:val="24"/>
                <w:lang w:eastAsia="en-AU"/>
              </w:rPr>
              <w:lastRenderedPageBreak/>
              <w:t>Supplementary Table 2</w:t>
            </w:r>
            <w:r w:rsidRPr="00F773E1">
              <w:rPr>
                <w:rFonts w:ascii="Times New Roman" w:eastAsia="Times New Roman" w:hAnsi="Times New Roman" w:cs="Times New Roman"/>
                <w:b/>
                <w:bCs/>
                <w:color w:val="000000"/>
                <w:sz w:val="24"/>
                <w:szCs w:val="24"/>
                <w:lang w:eastAsia="en-AU"/>
              </w:rPr>
              <w:t xml:space="preserve">. </w:t>
            </w:r>
            <w:r w:rsidRPr="00F773E1">
              <w:rPr>
                <w:rFonts w:ascii="Times New Roman" w:eastAsia="Times New Roman" w:hAnsi="Times New Roman" w:cs="Times New Roman"/>
                <w:color w:val="000000"/>
                <w:sz w:val="24"/>
                <w:szCs w:val="24"/>
                <w:lang w:eastAsia="en-AU"/>
              </w:rPr>
              <w:t>Demographic and clinical information of metastatic melanoma patients</w:t>
            </w:r>
          </w:p>
        </w:tc>
      </w:tr>
      <w:tr w:rsidR="00F773E1" w:rsidRPr="00F773E1" w:rsidTr="009000D0">
        <w:trPr>
          <w:trHeight w:val="315"/>
        </w:trPr>
        <w:tc>
          <w:tcPr>
            <w:tcW w:w="3137" w:type="dxa"/>
            <w:tcBorders>
              <w:top w:val="nil"/>
              <w:left w:val="single" w:sz="4" w:space="0" w:color="FFFFFF"/>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xml:space="preserve">Characteristic </w:t>
            </w:r>
          </w:p>
        </w:tc>
        <w:tc>
          <w:tcPr>
            <w:tcW w:w="910"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1051"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N</w:t>
            </w:r>
          </w:p>
        </w:tc>
        <w:tc>
          <w:tcPr>
            <w:tcW w:w="1560"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of total</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xml:space="preserve">Total patients enrolled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37</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Age at enrolment (years)</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sz w:val="24"/>
                <w:szCs w:val="24"/>
                <w:lang w:eastAsia="en-AU"/>
              </w:rPr>
            </w:pPr>
            <w:r w:rsidRPr="00F773E1">
              <w:rPr>
                <w:rFonts w:ascii="Times New Roman" w:eastAsia="Times New Roman" w:hAnsi="Times New Roman" w:cs="Times New Roman"/>
                <w:b/>
                <w:bCs/>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Median</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66</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Range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30 - 82</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Gender</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Male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27</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73%</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Female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10</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27%</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Melanoma type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xml:space="preserve">Cutaneous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33</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Uveal</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3</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proofErr w:type="spellStart"/>
            <w:r w:rsidRPr="00F773E1">
              <w:rPr>
                <w:rFonts w:ascii="Times New Roman" w:eastAsia="Times New Roman" w:hAnsi="Times New Roman" w:cs="Times New Roman"/>
                <w:color w:val="000000"/>
                <w:sz w:val="24"/>
                <w:szCs w:val="24"/>
                <w:lang w:eastAsia="en-AU"/>
              </w:rPr>
              <w:t>Acral</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Stage of disease at baseline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Stage IV</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M1a</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3%</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M1b</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6</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16%</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M1c</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22</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59%</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M1d</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8</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22%</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Mutational status of tumour</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i/>
                <w:iCs/>
                <w:color w:val="000000"/>
                <w:sz w:val="24"/>
                <w:szCs w:val="24"/>
                <w:lang w:eastAsia="en-AU"/>
              </w:rPr>
            </w:pPr>
            <w:r w:rsidRPr="00F773E1">
              <w:rPr>
                <w:rFonts w:ascii="Times New Roman" w:eastAsia="Times New Roman" w:hAnsi="Times New Roman" w:cs="Times New Roman"/>
                <w:b/>
                <w:bCs/>
                <w:i/>
                <w:iCs/>
                <w:color w:val="000000"/>
                <w:sz w:val="24"/>
                <w:szCs w:val="24"/>
                <w:lang w:eastAsia="en-AU"/>
              </w:rPr>
              <w:t xml:space="preserve">BRAF </w:t>
            </w:r>
            <w:proofErr w:type="spellStart"/>
            <w:r w:rsidRPr="00F773E1">
              <w:rPr>
                <w:rFonts w:ascii="Times New Roman" w:eastAsia="Times New Roman" w:hAnsi="Times New Roman" w:cs="Times New Roman"/>
                <w:b/>
                <w:bCs/>
                <w:color w:val="000000"/>
                <w:sz w:val="24"/>
                <w:szCs w:val="24"/>
                <w:lang w:eastAsia="en-AU"/>
              </w:rPr>
              <w:t>Mut</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18</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49%</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xml:space="preserve">V600E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12</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32%</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V600K</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5</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14%</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K601E</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1</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3%</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i/>
                <w:iCs/>
                <w:color w:val="000000"/>
                <w:sz w:val="24"/>
                <w:szCs w:val="24"/>
                <w:lang w:eastAsia="en-AU"/>
              </w:rPr>
            </w:pPr>
            <w:r w:rsidRPr="00F773E1">
              <w:rPr>
                <w:rFonts w:ascii="Times New Roman" w:eastAsia="Times New Roman" w:hAnsi="Times New Roman" w:cs="Times New Roman"/>
                <w:b/>
                <w:bCs/>
                <w:i/>
                <w:iCs/>
                <w:color w:val="000000"/>
                <w:sz w:val="24"/>
                <w:szCs w:val="24"/>
                <w:lang w:eastAsia="en-AU"/>
              </w:rPr>
              <w:t>NRAS</w:t>
            </w:r>
            <w:r w:rsidRPr="00F773E1">
              <w:rPr>
                <w:rFonts w:ascii="Times New Roman" w:eastAsia="Times New Roman" w:hAnsi="Times New Roman" w:cs="Times New Roman"/>
                <w:b/>
                <w:bCs/>
                <w:color w:val="000000"/>
                <w:sz w:val="24"/>
                <w:szCs w:val="24"/>
                <w:lang w:eastAsia="en-AU"/>
              </w:rPr>
              <w:t xml:space="preserve"> </w:t>
            </w:r>
            <w:proofErr w:type="spellStart"/>
            <w:r w:rsidRPr="00F773E1">
              <w:rPr>
                <w:rFonts w:ascii="Times New Roman" w:eastAsia="Times New Roman" w:hAnsi="Times New Roman" w:cs="Times New Roman"/>
                <w:b/>
                <w:bCs/>
                <w:color w:val="000000"/>
                <w:sz w:val="24"/>
                <w:szCs w:val="24"/>
                <w:lang w:eastAsia="en-AU"/>
              </w:rPr>
              <w:t>Mut</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3</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8%</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Q61K</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2</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5%</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Q61R</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3%</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i/>
                <w:iCs/>
                <w:color w:val="000000"/>
                <w:sz w:val="24"/>
                <w:szCs w:val="24"/>
                <w:lang w:eastAsia="en-AU"/>
              </w:rPr>
            </w:pPr>
            <w:r w:rsidRPr="00F773E1">
              <w:rPr>
                <w:rFonts w:ascii="Times New Roman" w:eastAsia="Times New Roman" w:hAnsi="Times New Roman" w:cs="Times New Roman"/>
                <w:b/>
                <w:bCs/>
                <w:i/>
                <w:i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i/>
                <w:iCs/>
                <w:color w:val="000000"/>
                <w:sz w:val="24"/>
                <w:szCs w:val="24"/>
                <w:lang w:eastAsia="en-AU"/>
              </w:rPr>
            </w:pPr>
            <w:r w:rsidRPr="00F773E1">
              <w:rPr>
                <w:rFonts w:ascii="Times New Roman" w:eastAsia="Times New Roman" w:hAnsi="Times New Roman" w:cs="Times New Roman"/>
                <w:b/>
                <w:bCs/>
                <w:i/>
                <w:iCs/>
                <w:color w:val="000000"/>
                <w:sz w:val="24"/>
                <w:szCs w:val="24"/>
                <w:lang w:eastAsia="en-AU"/>
              </w:rPr>
              <w:t>BRAF/NRAS</w:t>
            </w:r>
            <w:r w:rsidRPr="00F773E1">
              <w:rPr>
                <w:rFonts w:ascii="Times New Roman" w:eastAsia="Times New Roman" w:hAnsi="Times New Roman" w:cs="Times New Roman"/>
                <w:b/>
                <w:bCs/>
                <w:color w:val="000000"/>
                <w:sz w:val="24"/>
                <w:szCs w:val="24"/>
                <w:lang w:eastAsia="en-AU"/>
              </w:rPr>
              <w:t xml:space="preserve"> WT</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16</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43%</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i/>
                <w:iCs/>
                <w:color w:val="000000"/>
                <w:sz w:val="24"/>
                <w:szCs w:val="24"/>
                <w:lang w:eastAsia="en-AU"/>
              </w:rPr>
            </w:pPr>
            <w:r w:rsidRPr="00F773E1">
              <w:rPr>
                <w:rFonts w:ascii="Times New Roman" w:eastAsia="Times New Roman" w:hAnsi="Times New Roman" w:cs="Times New Roman"/>
                <w:b/>
                <w:bCs/>
                <w:i/>
                <w:iCs/>
                <w:color w:val="000000"/>
                <w:sz w:val="24"/>
                <w:szCs w:val="24"/>
                <w:lang w:eastAsia="en-AU"/>
              </w:rPr>
              <w:t>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b/>
                <w:bCs/>
                <w:color w:val="000000"/>
                <w:sz w:val="24"/>
                <w:szCs w:val="24"/>
                <w:lang w:eastAsia="en-AU"/>
              </w:rPr>
            </w:pPr>
            <w:r w:rsidRPr="00F773E1">
              <w:rPr>
                <w:rFonts w:ascii="Times New Roman" w:eastAsia="Times New Roman" w:hAnsi="Times New Roman" w:cs="Times New Roman"/>
                <w:b/>
                <w:bCs/>
                <w:color w:val="000000"/>
                <w:sz w:val="24"/>
                <w:szCs w:val="24"/>
                <w:lang w:eastAsia="en-AU"/>
              </w:rPr>
              <w:t xml:space="preserve">Baseline for: </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proofErr w:type="spellStart"/>
            <w:r w:rsidRPr="00F773E1">
              <w:rPr>
                <w:rFonts w:ascii="Times New Roman" w:eastAsia="Times New Roman" w:hAnsi="Times New Roman" w:cs="Times New Roman"/>
                <w:color w:val="000000"/>
                <w:sz w:val="24"/>
                <w:szCs w:val="24"/>
                <w:lang w:eastAsia="en-AU"/>
              </w:rPr>
              <w:t>Dabrafenib</w:t>
            </w:r>
            <w:proofErr w:type="spellEnd"/>
            <w:r w:rsidRPr="00F773E1">
              <w:rPr>
                <w:rFonts w:ascii="Times New Roman" w:eastAsia="Times New Roman" w:hAnsi="Times New Roman" w:cs="Times New Roman"/>
                <w:color w:val="000000"/>
                <w:sz w:val="24"/>
                <w:szCs w:val="24"/>
                <w:lang w:eastAsia="en-AU"/>
              </w:rPr>
              <w:t>/</w:t>
            </w:r>
            <w:proofErr w:type="spellStart"/>
            <w:r w:rsidRPr="00F773E1">
              <w:rPr>
                <w:rFonts w:ascii="Times New Roman" w:eastAsia="Times New Roman" w:hAnsi="Times New Roman" w:cs="Times New Roman"/>
                <w:color w:val="000000"/>
                <w:sz w:val="24"/>
                <w:szCs w:val="24"/>
                <w:lang w:eastAsia="en-AU"/>
              </w:rPr>
              <w:t>Trametinib</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14</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38%</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Ipilimumab/</w:t>
            </w:r>
            <w:proofErr w:type="spellStart"/>
            <w:r w:rsidRPr="00F773E1">
              <w:rPr>
                <w:rFonts w:ascii="Times New Roman" w:eastAsia="Times New Roman" w:hAnsi="Times New Roman" w:cs="Times New Roman"/>
                <w:color w:val="000000"/>
                <w:sz w:val="24"/>
                <w:szCs w:val="24"/>
                <w:lang w:eastAsia="en-AU"/>
              </w:rPr>
              <w:t>Nivolumab</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9</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24%</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proofErr w:type="spellStart"/>
            <w:r w:rsidRPr="00F773E1">
              <w:rPr>
                <w:rFonts w:ascii="Times New Roman" w:eastAsia="Times New Roman" w:hAnsi="Times New Roman" w:cs="Times New Roman"/>
                <w:color w:val="000000"/>
                <w:sz w:val="24"/>
                <w:szCs w:val="24"/>
                <w:lang w:eastAsia="en-AU"/>
              </w:rPr>
              <w:t>Pembrolizumab</w:t>
            </w:r>
            <w:proofErr w:type="spellEnd"/>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7</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19%</w:t>
            </w:r>
          </w:p>
        </w:tc>
      </w:tr>
      <w:tr w:rsidR="00F773E1" w:rsidRPr="00F773E1" w:rsidTr="009000D0">
        <w:trPr>
          <w:trHeight w:val="315"/>
        </w:trPr>
        <w:tc>
          <w:tcPr>
            <w:tcW w:w="3137" w:type="dxa"/>
            <w:tcBorders>
              <w:top w:val="nil"/>
              <w:left w:val="single" w:sz="4" w:space="0" w:color="FFFFFF"/>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Other treatments</w:t>
            </w:r>
          </w:p>
        </w:tc>
        <w:tc>
          <w:tcPr>
            <w:tcW w:w="91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w:t>
            </w:r>
          </w:p>
        </w:tc>
        <w:tc>
          <w:tcPr>
            <w:tcW w:w="1560" w:type="dxa"/>
            <w:tcBorders>
              <w:top w:val="nil"/>
              <w:left w:val="nil"/>
              <w:bottom w:val="single" w:sz="4" w:space="0" w:color="FFFFFF"/>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3%</w:t>
            </w:r>
          </w:p>
        </w:tc>
      </w:tr>
      <w:tr w:rsidR="00F773E1" w:rsidRPr="00F773E1" w:rsidTr="009000D0">
        <w:trPr>
          <w:trHeight w:val="315"/>
        </w:trPr>
        <w:tc>
          <w:tcPr>
            <w:tcW w:w="3137" w:type="dxa"/>
            <w:tcBorders>
              <w:top w:val="nil"/>
              <w:left w:val="single" w:sz="4" w:space="0" w:color="FFFFFF"/>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both"/>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No baseline</w:t>
            </w:r>
          </w:p>
        </w:tc>
        <w:tc>
          <w:tcPr>
            <w:tcW w:w="910"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color w:val="000000"/>
                <w:sz w:val="24"/>
                <w:szCs w:val="24"/>
                <w:lang w:eastAsia="en-AU"/>
              </w:rPr>
            </w:pPr>
            <w:r w:rsidRPr="00F773E1">
              <w:rPr>
                <w:rFonts w:ascii="Times New Roman" w:eastAsia="Times New Roman" w:hAnsi="Times New Roman" w:cs="Times New Roman"/>
                <w:color w:val="000000"/>
                <w:sz w:val="24"/>
                <w:szCs w:val="24"/>
                <w:lang w:eastAsia="en-AU"/>
              </w:rPr>
              <w:t> </w:t>
            </w:r>
          </w:p>
        </w:tc>
        <w:tc>
          <w:tcPr>
            <w:tcW w:w="1051"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6</w:t>
            </w:r>
          </w:p>
        </w:tc>
        <w:tc>
          <w:tcPr>
            <w:tcW w:w="1560" w:type="dxa"/>
            <w:tcBorders>
              <w:top w:val="nil"/>
              <w:left w:val="nil"/>
              <w:bottom w:val="single" w:sz="4" w:space="0" w:color="auto"/>
              <w:right w:val="single" w:sz="4" w:space="0" w:color="FFFFFF"/>
            </w:tcBorders>
            <w:shd w:val="clear" w:color="auto" w:fill="auto"/>
            <w:vAlign w:val="center"/>
            <w:hideMark/>
          </w:tcPr>
          <w:p w:rsidR="00F773E1" w:rsidRPr="00F773E1" w:rsidRDefault="00F773E1" w:rsidP="00F773E1">
            <w:pPr>
              <w:spacing w:after="0" w:line="240" w:lineRule="auto"/>
              <w:jc w:val="center"/>
              <w:rPr>
                <w:rFonts w:ascii="Times New Roman" w:eastAsia="Times New Roman" w:hAnsi="Times New Roman" w:cs="Times New Roman"/>
                <w:sz w:val="24"/>
                <w:szCs w:val="24"/>
                <w:lang w:eastAsia="en-AU"/>
              </w:rPr>
            </w:pPr>
            <w:r w:rsidRPr="00F773E1">
              <w:rPr>
                <w:rFonts w:ascii="Times New Roman" w:eastAsia="Times New Roman" w:hAnsi="Times New Roman" w:cs="Times New Roman"/>
                <w:sz w:val="24"/>
                <w:szCs w:val="24"/>
                <w:lang w:eastAsia="en-AU"/>
              </w:rPr>
              <w:t>16%</w:t>
            </w:r>
          </w:p>
        </w:tc>
      </w:tr>
    </w:tbl>
    <w:p w:rsidR="00F773E1" w:rsidRDefault="00F773E1">
      <w:pPr>
        <w:sectPr w:rsidR="00F773E1">
          <w:pgSz w:w="11906" w:h="16838"/>
          <w:pgMar w:top="1440" w:right="1440" w:bottom="1440" w:left="1440" w:header="708" w:footer="708" w:gutter="0"/>
          <w:cols w:space="708"/>
          <w:docGrid w:linePitch="360"/>
        </w:sectPr>
      </w:pPr>
    </w:p>
    <w:p w:rsidR="00E45562" w:rsidRDefault="00412747"/>
    <w:p w:rsidR="00F773E1" w:rsidRDefault="00F773E1" w:rsidP="00F773E1">
      <w:pPr>
        <w:ind w:hanging="426"/>
      </w:pPr>
    </w:p>
    <w:p w:rsidR="00F773E1" w:rsidRDefault="00F773E1" w:rsidP="00F773E1">
      <w:pPr>
        <w:ind w:hanging="426"/>
      </w:pPr>
    </w:p>
    <w:p w:rsidR="00F773E1" w:rsidRDefault="00F773E1" w:rsidP="00F773E1">
      <w:pPr>
        <w:ind w:hanging="426"/>
      </w:pPr>
    </w:p>
    <w:p w:rsidR="00F773E1" w:rsidRDefault="00F773E1" w:rsidP="00F773E1">
      <w:pPr>
        <w:ind w:hanging="851"/>
      </w:pPr>
      <w:r w:rsidRPr="00F773E1">
        <w:drawing>
          <wp:inline distT="0" distB="0" distL="0" distR="0">
            <wp:extent cx="9998236" cy="238694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05815" cy="2388749"/>
                    </a:xfrm>
                    <a:prstGeom prst="rect">
                      <a:avLst/>
                    </a:prstGeom>
                    <a:noFill/>
                    <a:ln>
                      <a:noFill/>
                    </a:ln>
                  </pic:spPr>
                </pic:pic>
              </a:graphicData>
            </a:graphic>
          </wp:inline>
        </w:drawing>
      </w:r>
    </w:p>
    <w:p w:rsidR="00412747" w:rsidRDefault="00412747">
      <w:r>
        <w:br w:type="page"/>
      </w:r>
    </w:p>
    <w:p w:rsidR="00F773E1" w:rsidRDefault="00412747" w:rsidP="00412747">
      <w:pPr>
        <w:ind w:left="-567" w:hanging="142"/>
      </w:pPr>
      <w:bookmarkStart w:id="0" w:name="_GoBack"/>
      <w:r w:rsidRPr="00412747">
        <w:lastRenderedPageBreak/>
        <w:drawing>
          <wp:inline distT="0" distB="0" distL="0" distR="0">
            <wp:extent cx="10081699" cy="508363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85715" cy="5085664"/>
                    </a:xfrm>
                    <a:prstGeom prst="rect">
                      <a:avLst/>
                    </a:prstGeom>
                    <a:noFill/>
                    <a:ln>
                      <a:noFill/>
                    </a:ln>
                  </pic:spPr>
                </pic:pic>
              </a:graphicData>
            </a:graphic>
          </wp:inline>
        </w:drawing>
      </w:r>
      <w:bookmarkEnd w:id="0"/>
    </w:p>
    <w:sectPr w:rsidR="00F773E1" w:rsidSect="00F773E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15"/>
    <w:rsid w:val="002115C8"/>
    <w:rsid w:val="00412747"/>
    <w:rsid w:val="005B5520"/>
    <w:rsid w:val="009000D0"/>
    <w:rsid w:val="009D425D"/>
    <w:rsid w:val="00B34278"/>
    <w:rsid w:val="00C77915"/>
    <w:rsid w:val="00DB040B"/>
    <w:rsid w:val="00F773E1"/>
    <w:rsid w:val="00F84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E708"/>
  <w15:chartTrackingRefBased/>
  <w15:docId w15:val="{4097C422-C2EA-465A-970C-A77DEE0D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79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090927">
      <w:bodyDiv w:val="1"/>
      <w:marLeft w:val="0"/>
      <w:marRight w:val="0"/>
      <w:marTop w:val="0"/>
      <w:marBottom w:val="0"/>
      <w:divBdr>
        <w:top w:val="none" w:sz="0" w:space="0" w:color="auto"/>
        <w:left w:val="none" w:sz="0" w:space="0" w:color="auto"/>
        <w:bottom w:val="none" w:sz="0" w:space="0" w:color="auto"/>
        <w:right w:val="none" w:sz="0" w:space="0" w:color="auto"/>
      </w:divBdr>
    </w:div>
    <w:div w:id="557940215">
      <w:bodyDiv w:val="1"/>
      <w:marLeft w:val="0"/>
      <w:marRight w:val="0"/>
      <w:marTop w:val="0"/>
      <w:marBottom w:val="0"/>
      <w:divBdr>
        <w:top w:val="none" w:sz="0" w:space="0" w:color="auto"/>
        <w:left w:val="none" w:sz="0" w:space="0" w:color="auto"/>
        <w:bottom w:val="none" w:sz="0" w:space="0" w:color="auto"/>
        <w:right w:val="none" w:sz="0" w:space="0" w:color="auto"/>
      </w:divBdr>
    </w:div>
    <w:div w:id="8206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TotalTime>
  <Pages>4</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Edith Cowan University</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GRAY</dc:creator>
  <cp:keywords/>
  <dc:description/>
  <cp:lastModifiedBy>Elin GRAY</cp:lastModifiedBy>
  <cp:revision>4</cp:revision>
  <dcterms:created xsi:type="dcterms:W3CDTF">2019-12-02T00:00:00Z</dcterms:created>
  <dcterms:modified xsi:type="dcterms:W3CDTF">2020-01-24T06:00:00Z</dcterms:modified>
</cp:coreProperties>
</file>