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10" w:type="dxa"/>
        <w:tblLayout w:type="fixed"/>
        <w:tblCellMar>
          <w:left w:w="71" w:type="dxa"/>
          <w:right w:w="71" w:type="dxa"/>
        </w:tblCellMar>
        <w:tblLook w:val="0000"/>
      </w:tblPr>
      <w:tblGrid>
        <w:gridCol w:w="9610"/>
      </w:tblGrid>
      <w:tr w:rsidR="00AF3917" w:rsidRPr="008D610C">
        <w:trPr>
          <w:cantSplit/>
          <w:trHeight w:hRule="exact" w:val="720"/>
        </w:trPr>
        <w:tc>
          <w:tcPr>
            <w:tcW w:w="9610" w:type="dxa"/>
          </w:tcPr>
          <w:p w:rsidR="00AF3917" w:rsidRPr="008D610C" w:rsidRDefault="00AF3917">
            <w:pPr>
              <w:pStyle w:val="xCoverDocType"/>
              <w:rPr>
                <w:lang w:val="en-GB"/>
              </w:rPr>
            </w:pPr>
            <w:r w:rsidRPr="008D610C">
              <w:rPr>
                <w:lang w:val="en-GB"/>
              </w:rPr>
              <w:t>Statistical Analysis Plan</w:t>
            </w:r>
          </w:p>
        </w:tc>
      </w:tr>
      <w:tr w:rsidR="00AF3917" w:rsidRPr="008D610C">
        <w:tblPrEx>
          <w:tblCellMar>
            <w:left w:w="70" w:type="dxa"/>
            <w:right w:w="70" w:type="dxa"/>
          </w:tblCellMar>
        </w:tblPrEx>
        <w:trPr>
          <w:cantSplit/>
          <w:trHeight w:hRule="exact" w:val="2160"/>
        </w:trPr>
        <w:tc>
          <w:tcPr>
            <w:tcW w:w="9610" w:type="dxa"/>
            <w:tcBorders>
              <w:bottom w:val="single" w:sz="6" w:space="0" w:color="000000"/>
            </w:tcBorders>
          </w:tcPr>
          <w:p w:rsidR="001D44B7" w:rsidRDefault="001D44B7">
            <w:pPr>
              <w:pStyle w:val="xCoverDocTitle"/>
              <w:rPr>
                <w:rFonts w:cs="Arial"/>
                <w:sz w:val="21"/>
                <w:szCs w:val="21"/>
              </w:rPr>
            </w:pPr>
            <w:r w:rsidRPr="005A34E5">
              <w:rPr>
                <w:rFonts w:cs="Arial"/>
                <w:sz w:val="21"/>
                <w:szCs w:val="21"/>
              </w:rPr>
              <w:t>A multicenter, randomized, double-blind, placebo-controlled Phase IIb Efficacy Study of Vx-001, a peptide-based cancer vaccine aimed to maintain disease control after first line treatment in HLA-A*0201 positive patients with TERT positive NSCLC (stage IV or recurrent stage I-III)</w:t>
            </w:r>
          </w:p>
          <w:p w:rsidR="00AF3917" w:rsidRPr="008D610C" w:rsidRDefault="001D44B7">
            <w:pPr>
              <w:pStyle w:val="xCoverDocTitle"/>
              <w:rPr>
                <w:lang w:val="en-GB"/>
              </w:rPr>
            </w:pPr>
            <w:r>
              <w:rPr>
                <w:rFonts w:cs="Arial"/>
                <w:sz w:val="21"/>
                <w:szCs w:val="21"/>
              </w:rPr>
              <w:t>Vx-001-201</w:t>
            </w:r>
          </w:p>
        </w:tc>
      </w:tr>
      <w:tr w:rsidR="00AF3917" w:rsidRPr="008D610C" w:rsidTr="00F1251C">
        <w:trPr>
          <w:cantSplit/>
          <w:trHeight w:val="2460"/>
        </w:trPr>
        <w:tc>
          <w:tcPr>
            <w:tcW w:w="9610" w:type="dxa"/>
            <w:tcBorders>
              <w:bottom w:val="nil"/>
            </w:tcBorders>
          </w:tcPr>
          <w:p w:rsidR="00AF3917" w:rsidRPr="008D610C" w:rsidRDefault="00AF3917" w:rsidP="00F1251C">
            <w:pPr>
              <w:pStyle w:val="xCover"/>
              <w:jc w:val="center"/>
              <w:rPr>
                <w:lang w:val="en-GB"/>
              </w:rPr>
            </w:pPr>
            <w:bookmarkStart w:id="0" w:name="_GoBack"/>
            <w:bookmarkEnd w:id="0"/>
          </w:p>
        </w:tc>
      </w:tr>
    </w:tbl>
    <w:p w:rsidR="0027257C" w:rsidRDefault="0027257C"/>
    <w:p w:rsidR="0027257C" w:rsidRDefault="0027257C"/>
    <w:p w:rsidR="0027257C" w:rsidRPr="0027257C" w:rsidRDefault="0027257C">
      <w:pPr>
        <w:rPr>
          <w:rFonts w:ascii="Arial" w:hAnsi="Arial" w:cs="Arial"/>
          <w:b/>
          <w:sz w:val="20"/>
          <w:szCs w:val="20"/>
        </w:rPr>
      </w:pPr>
      <w:r w:rsidRPr="0027257C">
        <w:rPr>
          <w:rFonts w:ascii="Arial" w:hAnsi="Arial" w:cs="Arial"/>
          <w:b/>
          <w:sz w:val="20"/>
          <w:szCs w:val="20"/>
        </w:rPr>
        <w:t>Versions History</w:t>
      </w:r>
    </w:p>
    <w:tbl>
      <w:tblPr>
        <w:tblStyle w:val="a9"/>
        <w:tblW w:w="0" w:type="auto"/>
        <w:tblBorders>
          <w:bottom w:val="none" w:sz="0" w:space="0" w:color="auto"/>
          <w:insideH w:val="none" w:sz="0" w:space="0" w:color="auto"/>
        </w:tblBorders>
        <w:tblLook w:val="04A0"/>
      </w:tblPr>
      <w:tblGrid>
        <w:gridCol w:w="2835"/>
        <w:gridCol w:w="2122"/>
        <w:gridCol w:w="4501"/>
      </w:tblGrid>
      <w:tr w:rsidR="0027257C" w:rsidRPr="0027257C" w:rsidTr="00BF2D49">
        <w:tc>
          <w:tcPr>
            <w:tcW w:w="2835" w:type="dxa"/>
            <w:tcBorders>
              <w:top w:val="single" w:sz="4" w:space="0" w:color="auto"/>
              <w:left w:val="nil"/>
              <w:bottom w:val="single" w:sz="4" w:space="0" w:color="auto"/>
              <w:right w:val="nil"/>
            </w:tcBorders>
          </w:tcPr>
          <w:p w:rsidR="0027257C" w:rsidRPr="0027257C" w:rsidRDefault="0027257C">
            <w:pPr>
              <w:rPr>
                <w:rFonts w:ascii="Arial" w:hAnsi="Arial" w:cs="Arial"/>
                <w:b/>
                <w:sz w:val="20"/>
                <w:szCs w:val="20"/>
              </w:rPr>
            </w:pPr>
            <w:r w:rsidRPr="0027257C">
              <w:rPr>
                <w:rFonts w:ascii="Arial" w:hAnsi="Arial" w:cs="Arial"/>
                <w:b/>
                <w:sz w:val="20"/>
                <w:szCs w:val="20"/>
              </w:rPr>
              <w:t>Version Number</w:t>
            </w:r>
          </w:p>
        </w:tc>
        <w:tc>
          <w:tcPr>
            <w:tcW w:w="2122" w:type="dxa"/>
            <w:tcBorders>
              <w:top w:val="single" w:sz="4" w:space="0" w:color="auto"/>
              <w:left w:val="nil"/>
              <w:bottom w:val="single" w:sz="4" w:space="0" w:color="auto"/>
              <w:right w:val="nil"/>
            </w:tcBorders>
          </w:tcPr>
          <w:p w:rsidR="0027257C" w:rsidRPr="0027257C" w:rsidRDefault="0027257C">
            <w:pPr>
              <w:rPr>
                <w:rFonts w:ascii="Arial" w:hAnsi="Arial" w:cs="Arial"/>
                <w:b/>
                <w:sz w:val="20"/>
                <w:szCs w:val="20"/>
              </w:rPr>
            </w:pPr>
            <w:r w:rsidRPr="0027257C">
              <w:rPr>
                <w:rFonts w:ascii="Arial" w:hAnsi="Arial" w:cs="Arial"/>
                <w:b/>
                <w:sz w:val="20"/>
                <w:szCs w:val="20"/>
              </w:rPr>
              <w:t>Date</w:t>
            </w:r>
          </w:p>
        </w:tc>
        <w:tc>
          <w:tcPr>
            <w:tcW w:w="4501" w:type="dxa"/>
            <w:tcBorders>
              <w:top w:val="single" w:sz="4" w:space="0" w:color="auto"/>
              <w:left w:val="nil"/>
              <w:bottom w:val="single" w:sz="4" w:space="0" w:color="auto"/>
              <w:right w:val="nil"/>
            </w:tcBorders>
          </w:tcPr>
          <w:p w:rsidR="0027257C" w:rsidRPr="0027257C" w:rsidRDefault="0027257C">
            <w:pPr>
              <w:rPr>
                <w:rFonts w:ascii="Arial" w:hAnsi="Arial" w:cs="Arial"/>
                <w:b/>
                <w:sz w:val="20"/>
                <w:szCs w:val="20"/>
              </w:rPr>
            </w:pPr>
            <w:r w:rsidRPr="0027257C">
              <w:rPr>
                <w:rFonts w:ascii="Arial" w:hAnsi="Arial" w:cs="Arial"/>
                <w:b/>
                <w:sz w:val="20"/>
                <w:szCs w:val="20"/>
              </w:rPr>
              <w:t>Detail</w:t>
            </w:r>
          </w:p>
        </w:tc>
      </w:tr>
      <w:tr w:rsidR="007C3781" w:rsidRPr="0027257C" w:rsidTr="00BF2D49">
        <w:tc>
          <w:tcPr>
            <w:tcW w:w="2835" w:type="dxa"/>
            <w:tcBorders>
              <w:top w:val="single" w:sz="4" w:space="0" w:color="auto"/>
              <w:left w:val="nil"/>
              <w:bottom w:val="single" w:sz="4" w:space="0" w:color="auto"/>
              <w:right w:val="nil"/>
            </w:tcBorders>
          </w:tcPr>
          <w:p w:rsidR="007C3781" w:rsidRPr="0027257C" w:rsidRDefault="007C3781">
            <w:pPr>
              <w:rPr>
                <w:rFonts w:ascii="Arial" w:hAnsi="Arial" w:cs="Arial"/>
                <w:b/>
                <w:sz w:val="20"/>
                <w:szCs w:val="20"/>
              </w:rPr>
            </w:pPr>
            <w:r w:rsidRPr="0006687F">
              <w:rPr>
                <w:rFonts w:ascii="Arial" w:hAnsi="Arial" w:cs="Arial"/>
                <w:sz w:val="20"/>
                <w:szCs w:val="20"/>
              </w:rPr>
              <w:t>Final Version 3.0</w:t>
            </w:r>
          </w:p>
        </w:tc>
        <w:tc>
          <w:tcPr>
            <w:tcW w:w="2122" w:type="dxa"/>
            <w:tcBorders>
              <w:top w:val="single" w:sz="4" w:space="0" w:color="auto"/>
              <w:left w:val="nil"/>
              <w:bottom w:val="single" w:sz="4" w:space="0" w:color="auto"/>
              <w:right w:val="nil"/>
            </w:tcBorders>
          </w:tcPr>
          <w:p w:rsidR="007C3781" w:rsidRPr="0006687F" w:rsidRDefault="0006687F">
            <w:pPr>
              <w:rPr>
                <w:rFonts w:ascii="Arial" w:hAnsi="Arial" w:cs="Arial"/>
                <w:sz w:val="20"/>
                <w:szCs w:val="20"/>
              </w:rPr>
            </w:pPr>
            <w:r>
              <w:rPr>
                <w:rFonts w:ascii="Arial" w:hAnsi="Arial" w:cs="Arial"/>
                <w:sz w:val="20"/>
                <w:szCs w:val="20"/>
              </w:rPr>
              <w:t>13</w:t>
            </w:r>
            <w:r w:rsidRPr="0006687F">
              <w:rPr>
                <w:rFonts w:ascii="Arial" w:hAnsi="Arial" w:cs="Arial"/>
                <w:sz w:val="20"/>
                <w:szCs w:val="20"/>
              </w:rPr>
              <w:t xml:space="preserve"> </w:t>
            </w:r>
            <w:r w:rsidR="007C3781" w:rsidRPr="0006687F">
              <w:rPr>
                <w:rFonts w:ascii="Arial" w:hAnsi="Arial" w:cs="Arial"/>
                <w:sz w:val="20"/>
                <w:szCs w:val="20"/>
              </w:rPr>
              <w:t>September 2016</w:t>
            </w:r>
          </w:p>
        </w:tc>
        <w:tc>
          <w:tcPr>
            <w:tcW w:w="4501" w:type="dxa"/>
            <w:tcBorders>
              <w:top w:val="single" w:sz="4" w:space="0" w:color="auto"/>
              <w:left w:val="nil"/>
              <w:bottom w:val="single" w:sz="4" w:space="0" w:color="auto"/>
              <w:right w:val="nil"/>
            </w:tcBorders>
          </w:tcPr>
          <w:p w:rsidR="007C3781" w:rsidRPr="0006687F" w:rsidRDefault="007C3781" w:rsidP="005760D3">
            <w:pPr>
              <w:rPr>
                <w:rFonts w:ascii="Arial" w:hAnsi="Arial" w:cs="Arial"/>
                <w:sz w:val="20"/>
                <w:szCs w:val="20"/>
              </w:rPr>
            </w:pPr>
            <w:r>
              <w:rPr>
                <w:rFonts w:ascii="Arial" w:hAnsi="Arial" w:cs="Arial"/>
                <w:sz w:val="20"/>
                <w:szCs w:val="20"/>
              </w:rPr>
              <w:t xml:space="preserve">Current version: Update of the SAP in order to add Figures and </w:t>
            </w:r>
            <w:r w:rsidR="005760D3">
              <w:rPr>
                <w:rFonts w:ascii="Arial" w:hAnsi="Arial" w:cs="Arial"/>
                <w:sz w:val="20"/>
                <w:szCs w:val="20"/>
              </w:rPr>
              <w:t>complete</w:t>
            </w:r>
            <w:r>
              <w:rPr>
                <w:rFonts w:ascii="Arial" w:hAnsi="Arial" w:cs="Arial"/>
                <w:sz w:val="20"/>
                <w:szCs w:val="20"/>
              </w:rPr>
              <w:t xml:space="preserve"> exploratory analysis </w:t>
            </w:r>
          </w:p>
        </w:tc>
      </w:tr>
      <w:tr w:rsidR="00DA361F" w:rsidRPr="00DA361F" w:rsidTr="00BF2D49">
        <w:tc>
          <w:tcPr>
            <w:tcW w:w="2835" w:type="dxa"/>
            <w:tcBorders>
              <w:top w:val="single" w:sz="4" w:space="0" w:color="auto"/>
              <w:left w:val="nil"/>
              <w:bottom w:val="single" w:sz="4" w:space="0" w:color="auto"/>
              <w:right w:val="nil"/>
            </w:tcBorders>
          </w:tcPr>
          <w:p w:rsidR="0027257C" w:rsidRPr="00BE34FE" w:rsidRDefault="00660F6E" w:rsidP="0026142B">
            <w:pPr>
              <w:rPr>
                <w:rFonts w:ascii="Arial" w:hAnsi="Arial" w:cs="Arial"/>
                <w:sz w:val="20"/>
                <w:szCs w:val="20"/>
              </w:rPr>
            </w:pPr>
            <w:r>
              <w:rPr>
                <w:rFonts w:ascii="Arial" w:hAnsi="Arial" w:cs="Arial"/>
                <w:sz w:val="20"/>
                <w:szCs w:val="20"/>
              </w:rPr>
              <w:t xml:space="preserve">Final </w:t>
            </w:r>
            <w:r w:rsidR="00FF22E0">
              <w:rPr>
                <w:rFonts w:ascii="Arial" w:hAnsi="Arial" w:cs="Arial"/>
                <w:sz w:val="20"/>
                <w:szCs w:val="20"/>
              </w:rPr>
              <w:t xml:space="preserve">Version </w:t>
            </w:r>
            <w:r w:rsidR="0026142B">
              <w:rPr>
                <w:rFonts w:ascii="Arial" w:hAnsi="Arial" w:cs="Arial"/>
                <w:sz w:val="20"/>
                <w:szCs w:val="20"/>
              </w:rPr>
              <w:t>2.0</w:t>
            </w:r>
          </w:p>
        </w:tc>
        <w:tc>
          <w:tcPr>
            <w:tcW w:w="2122" w:type="dxa"/>
            <w:tcBorders>
              <w:top w:val="single" w:sz="4" w:space="0" w:color="auto"/>
              <w:left w:val="nil"/>
              <w:bottom w:val="single" w:sz="4" w:space="0" w:color="auto"/>
              <w:right w:val="nil"/>
            </w:tcBorders>
          </w:tcPr>
          <w:p w:rsidR="0027257C" w:rsidRPr="00BE34FE" w:rsidRDefault="00660F6E" w:rsidP="00660F6E">
            <w:pPr>
              <w:rPr>
                <w:rFonts w:ascii="Arial" w:hAnsi="Arial" w:cs="Arial"/>
                <w:sz w:val="20"/>
                <w:szCs w:val="20"/>
              </w:rPr>
            </w:pPr>
            <w:r>
              <w:rPr>
                <w:rFonts w:ascii="Arial" w:hAnsi="Arial" w:cs="Arial"/>
                <w:sz w:val="20"/>
                <w:szCs w:val="20"/>
              </w:rPr>
              <w:t>16</w:t>
            </w:r>
            <w:r w:rsidR="00735129" w:rsidRPr="00BE34FE">
              <w:rPr>
                <w:rFonts w:ascii="Arial" w:hAnsi="Arial" w:cs="Arial"/>
                <w:sz w:val="20"/>
                <w:szCs w:val="20"/>
              </w:rPr>
              <w:t xml:space="preserve"> </w:t>
            </w:r>
            <w:r>
              <w:rPr>
                <w:rFonts w:ascii="Arial" w:hAnsi="Arial" w:cs="Arial"/>
                <w:sz w:val="20"/>
                <w:szCs w:val="20"/>
              </w:rPr>
              <w:t>March</w:t>
            </w:r>
            <w:r w:rsidR="009E6877">
              <w:rPr>
                <w:rFonts w:ascii="Arial" w:hAnsi="Arial" w:cs="Arial"/>
                <w:sz w:val="20"/>
                <w:szCs w:val="20"/>
              </w:rPr>
              <w:t xml:space="preserve"> </w:t>
            </w:r>
            <w:r w:rsidR="00BE34FE">
              <w:rPr>
                <w:rFonts w:ascii="Arial" w:hAnsi="Arial" w:cs="Arial"/>
                <w:sz w:val="20"/>
                <w:szCs w:val="20"/>
              </w:rPr>
              <w:t>201</w:t>
            </w:r>
            <w:r w:rsidR="009E6877">
              <w:rPr>
                <w:rFonts w:ascii="Arial" w:hAnsi="Arial" w:cs="Arial"/>
                <w:sz w:val="20"/>
                <w:szCs w:val="20"/>
              </w:rPr>
              <w:t>6</w:t>
            </w:r>
            <w:r w:rsidR="00BE34FE" w:rsidRPr="00BE34FE">
              <w:rPr>
                <w:rFonts w:ascii="Arial" w:hAnsi="Arial" w:cs="Arial"/>
                <w:sz w:val="20"/>
                <w:szCs w:val="20"/>
              </w:rPr>
              <w:t xml:space="preserve"> </w:t>
            </w:r>
          </w:p>
        </w:tc>
        <w:tc>
          <w:tcPr>
            <w:tcW w:w="4501" w:type="dxa"/>
            <w:tcBorders>
              <w:top w:val="single" w:sz="4" w:space="0" w:color="auto"/>
              <w:left w:val="nil"/>
              <w:bottom w:val="single" w:sz="4" w:space="0" w:color="auto"/>
              <w:right w:val="nil"/>
            </w:tcBorders>
          </w:tcPr>
          <w:p w:rsidR="0027257C" w:rsidRDefault="0027257C" w:rsidP="00DA361F">
            <w:pPr>
              <w:rPr>
                <w:rFonts w:ascii="Arial" w:hAnsi="Arial" w:cs="Arial"/>
                <w:sz w:val="20"/>
                <w:szCs w:val="20"/>
              </w:rPr>
            </w:pPr>
            <w:r w:rsidRPr="00BE34FE">
              <w:rPr>
                <w:rFonts w:ascii="Arial" w:hAnsi="Arial" w:cs="Arial"/>
                <w:sz w:val="20"/>
                <w:szCs w:val="20"/>
              </w:rPr>
              <w:t>Current version</w:t>
            </w:r>
            <w:r w:rsidR="00DA361F" w:rsidRPr="00BE34FE">
              <w:rPr>
                <w:rFonts w:ascii="Arial" w:hAnsi="Arial" w:cs="Arial"/>
                <w:sz w:val="20"/>
                <w:szCs w:val="20"/>
              </w:rPr>
              <w:t xml:space="preserve">: Update of the SAP following protocol amendment </w:t>
            </w:r>
            <w:r w:rsidR="00DA361F">
              <w:rPr>
                <w:rFonts w:ascii="Arial" w:hAnsi="Arial" w:cs="Arial"/>
                <w:sz w:val="20"/>
                <w:szCs w:val="20"/>
              </w:rPr>
              <w:t>and modification of planned primary analysis</w:t>
            </w:r>
          </w:p>
          <w:p w:rsidR="00DA361F" w:rsidRPr="00BE34FE" w:rsidRDefault="00DA361F" w:rsidP="00DA361F">
            <w:pPr>
              <w:rPr>
                <w:rFonts w:ascii="Arial" w:hAnsi="Arial" w:cs="Arial"/>
                <w:sz w:val="20"/>
                <w:szCs w:val="20"/>
              </w:rPr>
            </w:pPr>
          </w:p>
        </w:tc>
      </w:tr>
      <w:tr w:rsidR="0027257C" w:rsidRPr="0027257C" w:rsidTr="00BF2D49">
        <w:tc>
          <w:tcPr>
            <w:tcW w:w="2835" w:type="dxa"/>
            <w:tcBorders>
              <w:top w:val="single" w:sz="4" w:space="0" w:color="auto"/>
              <w:left w:val="nil"/>
              <w:bottom w:val="single" w:sz="4" w:space="0" w:color="auto"/>
              <w:right w:val="nil"/>
            </w:tcBorders>
          </w:tcPr>
          <w:p w:rsidR="0027257C" w:rsidRPr="0027257C" w:rsidRDefault="00DA361F">
            <w:pPr>
              <w:rPr>
                <w:rFonts w:ascii="Arial" w:hAnsi="Arial" w:cs="Arial"/>
                <w:sz w:val="20"/>
                <w:szCs w:val="20"/>
              </w:rPr>
            </w:pPr>
            <w:r>
              <w:rPr>
                <w:rFonts w:ascii="Arial" w:hAnsi="Arial" w:cs="Arial"/>
                <w:sz w:val="20"/>
                <w:szCs w:val="20"/>
              </w:rPr>
              <w:t>Final version 01</w:t>
            </w:r>
          </w:p>
        </w:tc>
        <w:tc>
          <w:tcPr>
            <w:tcW w:w="2122" w:type="dxa"/>
            <w:tcBorders>
              <w:top w:val="single" w:sz="4" w:space="0" w:color="auto"/>
              <w:left w:val="nil"/>
              <w:bottom w:val="single" w:sz="4" w:space="0" w:color="auto"/>
              <w:right w:val="nil"/>
            </w:tcBorders>
          </w:tcPr>
          <w:p w:rsidR="0027257C" w:rsidRPr="0027257C" w:rsidRDefault="00DA361F">
            <w:pPr>
              <w:rPr>
                <w:rFonts w:ascii="Arial" w:hAnsi="Arial" w:cs="Arial"/>
                <w:sz w:val="20"/>
                <w:szCs w:val="20"/>
              </w:rPr>
            </w:pPr>
            <w:r>
              <w:rPr>
                <w:rFonts w:ascii="Arial" w:hAnsi="Arial" w:cs="Arial"/>
                <w:sz w:val="20"/>
                <w:szCs w:val="20"/>
              </w:rPr>
              <w:t>10 February 2013</w:t>
            </w:r>
          </w:p>
        </w:tc>
        <w:tc>
          <w:tcPr>
            <w:tcW w:w="4501" w:type="dxa"/>
            <w:tcBorders>
              <w:top w:val="single" w:sz="4" w:space="0" w:color="auto"/>
              <w:left w:val="nil"/>
              <w:bottom w:val="single" w:sz="4" w:space="0" w:color="auto"/>
              <w:right w:val="nil"/>
            </w:tcBorders>
          </w:tcPr>
          <w:p w:rsidR="0027257C" w:rsidRPr="0027257C" w:rsidRDefault="00DA361F" w:rsidP="00DA361F">
            <w:pPr>
              <w:rPr>
                <w:rFonts w:ascii="Arial" w:hAnsi="Arial" w:cs="Arial"/>
                <w:sz w:val="20"/>
                <w:szCs w:val="20"/>
              </w:rPr>
            </w:pPr>
            <w:r>
              <w:rPr>
                <w:rFonts w:ascii="Arial" w:hAnsi="Arial" w:cs="Arial"/>
                <w:sz w:val="20"/>
                <w:szCs w:val="20"/>
              </w:rPr>
              <w:t>First final version of the SAP</w:t>
            </w:r>
            <w:r>
              <w:rPr>
                <w:rFonts w:ascii="Arial" w:hAnsi="Arial" w:cs="Arial"/>
                <w:sz w:val="20"/>
                <w:szCs w:val="20"/>
              </w:rPr>
              <w:tab/>
            </w:r>
            <w:r>
              <w:rPr>
                <w:rFonts w:ascii="Arial" w:hAnsi="Arial" w:cs="Arial"/>
                <w:sz w:val="20"/>
                <w:szCs w:val="20"/>
              </w:rPr>
              <w:br/>
              <w:t xml:space="preserve">authored by </w:t>
            </w:r>
            <w:r w:rsidRPr="00DA361F">
              <w:rPr>
                <w:rFonts w:ascii="Arial" w:hAnsi="Arial" w:cs="Arial"/>
                <w:sz w:val="20"/>
                <w:szCs w:val="20"/>
              </w:rPr>
              <w:t>Ladislav Pecen, PhD</w:t>
            </w:r>
            <w:r>
              <w:rPr>
                <w:rFonts w:ascii="Arial" w:hAnsi="Arial" w:cs="Arial"/>
                <w:sz w:val="20"/>
                <w:szCs w:val="20"/>
              </w:rPr>
              <w:t xml:space="preserve">, </w:t>
            </w:r>
            <w:r w:rsidRPr="00DA361F">
              <w:rPr>
                <w:rFonts w:ascii="Arial" w:hAnsi="Arial" w:cs="Arial"/>
                <w:sz w:val="20"/>
                <w:szCs w:val="20"/>
              </w:rPr>
              <w:t>Study Statistician</w:t>
            </w:r>
            <w:r>
              <w:rPr>
                <w:rFonts w:ascii="Arial" w:hAnsi="Arial" w:cs="Arial"/>
                <w:sz w:val="20"/>
                <w:szCs w:val="20"/>
              </w:rPr>
              <w:t xml:space="preserve">, </w:t>
            </w:r>
            <w:r w:rsidRPr="00DA361F">
              <w:rPr>
                <w:rFonts w:ascii="Arial" w:hAnsi="Arial" w:cs="Arial"/>
                <w:sz w:val="20"/>
                <w:szCs w:val="20"/>
              </w:rPr>
              <w:t>SIRO Clinpharm</w:t>
            </w:r>
          </w:p>
        </w:tc>
      </w:tr>
      <w:tr w:rsidR="0027257C" w:rsidRPr="0027257C" w:rsidTr="00BF2D49">
        <w:tc>
          <w:tcPr>
            <w:tcW w:w="2835" w:type="dxa"/>
            <w:tcBorders>
              <w:top w:val="single" w:sz="4" w:space="0" w:color="auto"/>
              <w:left w:val="nil"/>
              <w:right w:val="nil"/>
            </w:tcBorders>
          </w:tcPr>
          <w:p w:rsidR="0027257C" w:rsidRPr="0027257C" w:rsidRDefault="0027257C">
            <w:pPr>
              <w:rPr>
                <w:rFonts w:ascii="Arial" w:hAnsi="Arial" w:cs="Arial"/>
                <w:sz w:val="20"/>
                <w:szCs w:val="20"/>
              </w:rPr>
            </w:pPr>
          </w:p>
        </w:tc>
        <w:tc>
          <w:tcPr>
            <w:tcW w:w="2122" w:type="dxa"/>
            <w:tcBorders>
              <w:top w:val="single" w:sz="4" w:space="0" w:color="auto"/>
              <w:left w:val="nil"/>
              <w:right w:val="nil"/>
            </w:tcBorders>
          </w:tcPr>
          <w:p w:rsidR="0027257C" w:rsidRPr="0027257C" w:rsidRDefault="0027257C">
            <w:pPr>
              <w:rPr>
                <w:rFonts w:ascii="Arial" w:hAnsi="Arial" w:cs="Arial"/>
                <w:sz w:val="20"/>
                <w:szCs w:val="20"/>
              </w:rPr>
            </w:pPr>
          </w:p>
        </w:tc>
        <w:tc>
          <w:tcPr>
            <w:tcW w:w="4501" w:type="dxa"/>
            <w:tcBorders>
              <w:top w:val="single" w:sz="4" w:space="0" w:color="auto"/>
              <w:left w:val="nil"/>
              <w:right w:val="nil"/>
            </w:tcBorders>
          </w:tcPr>
          <w:p w:rsidR="0027257C" w:rsidRPr="0027257C" w:rsidRDefault="0027257C">
            <w:pPr>
              <w:rPr>
                <w:rFonts w:ascii="Arial" w:hAnsi="Arial" w:cs="Arial"/>
                <w:sz w:val="20"/>
                <w:szCs w:val="20"/>
              </w:rPr>
            </w:pPr>
          </w:p>
        </w:tc>
      </w:tr>
    </w:tbl>
    <w:p w:rsidR="0027257C" w:rsidRDefault="0027257C"/>
    <w:p w:rsidR="00AF3917" w:rsidRPr="008D610C" w:rsidRDefault="009171FB">
      <w:pPr>
        <w:pStyle w:val="TitleNoToc"/>
        <w:rPr>
          <w:lang w:val="en-GB"/>
        </w:rPr>
      </w:pPr>
      <w:r>
        <w:rPr>
          <w:lang w:val="en-GB"/>
        </w:rPr>
        <w:lastRenderedPageBreak/>
        <w:t>Signature</w:t>
      </w:r>
      <w:r w:rsidR="00F1251C">
        <w:rPr>
          <w:lang w:val="en-GB"/>
        </w:rPr>
        <w:t>s</w:t>
      </w:r>
    </w:p>
    <w:p w:rsidR="00AF3917" w:rsidRPr="008D610C" w:rsidRDefault="00AF3917"/>
    <w:p w:rsidR="00AF3917" w:rsidRPr="00B373FF" w:rsidRDefault="00B373FF" w:rsidP="009171FB">
      <w:pPr>
        <w:jc w:val="center"/>
        <w:rPr>
          <w:b/>
          <w:bCs/>
        </w:rPr>
      </w:pPr>
      <w:r w:rsidRPr="00B373FF">
        <w:rPr>
          <w:b/>
          <w:bCs/>
        </w:rPr>
        <w:t>Author</w:t>
      </w:r>
    </w:p>
    <w:p w:rsidR="00AF3917" w:rsidRPr="00B373FF" w:rsidRDefault="00B373FF" w:rsidP="00B373FF">
      <w:pPr>
        <w:rPr>
          <w:b/>
          <w:bCs/>
        </w:rPr>
      </w:pPr>
      <w:r w:rsidRPr="00B373FF">
        <w:rPr>
          <w:b/>
          <w:bCs/>
        </w:rPr>
        <w:t>Venn Life Sciences</w:t>
      </w:r>
    </w:p>
    <w:tbl>
      <w:tblPr>
        <w:tblW w:w="3747" w:type="pct"/>
        <w:tblInd w:w="970" w:type="dxa"/>
        <w:tblCellMar>
          <w:left w:w="70" w:type="dxa"/>
          <w:right w:w="70" w:type="dxa"/>
        </w:tblCellMar>
        <w:tblLook w:val="0000"/>
      </w:tblPr>
      <w:tblGrid>
        <w:gridCol w:w="1439"/>
        <w:gridCol w:w="2611"/>
        <w:gridCol w:w="719"/>
        <w:gridCol w:w="2431"/>
      </w:tblGrid>
      <w:tr w:rsidR="00B373FF" w:rsidRPr="008D610C" w:rsidTr="00B34795">
        <w:trPr>
          <w:cantSplit/>
        </w:trPr>
        <w:tc>
          <w:tcPr>
            <w:tcW w:w="1000" w:type="pct"/>
            <w:tcBorders>
              <w:bottom w:val="single" w:sz="6" w:space="0" w:color="auto"/>
            </w:tcBorders>
          </w:tcPr>
          <w:p w:rsidR="00B373FF" w:rsidRPr="008D610C" w:rsidRDefault="00B373FF">
            <w:pPr>
              <w:tabs>
                <w:tab w:val="right" w:leader="underscore" w:pos="11340"/>
              </w:tabs>
            </w:pPr>
          </w:p>
        </w:tc>
        <w:tc>
          <w:tcPr>
            <w:tcW w:w="1813" w:type="pct"/>
          </w:tcPr>
          <w:p w:rsidR="00B373FF" w:rsidRPr="008D610C" w:rsidRDefault="00B373FF">
            <w:pPr>
              <w:tabs>
                <w:tab w:val="right" w:leader="underscore" w:pos="11340"/>
              </w:tabs>
            </w:pPr>
          </w:p>
        </w:tc>
        <w:tc>
          <w:tcPr>
            <w:tcW w:w="499" w:type="pct"/>
          </w:tcPr>
          <w:p w:rsidR="00B373FF" w:rsidRPr="008D610C" w:rsidRDefault="00B373FF">
            <w:pPr>
              <w:tabs>
                <w:tab w:val="right" w:leader="underscore" w:pos="11340"/>
              </w:tabs>
            </w:pPr>
          </w:p>
        </w:tc>
        <w:tc>
          <w:tcPr>
            <w:tcW w:w="1688" w:type="pct"/>
            <w:tcBorders>
              <w:bottom w:val="single" w:sz="6" w:space="0" w:color="auto"/>
            </w:tcBorders>
          </w:tcPr>
          <w:p w:rsidR="00B373FF" w:rsidRPr="008D610C" w:rsidRDefault="00B373FF">
            <w:pPr>
              <w:tabs>
                <w:tab w:val="right" w:leader="underscore" w:pos="11340"/>
              </w:tabs>
            </w:pPr>
          </w:p>
        </w:tc>
      </w:tr>
      <w:tr w:rsidR="00B373FF" w:rsidRPr="008D610C" w:rsidTr="00B34795">
        <w:trPr>
          <w:cantSplit/>
        </w:trPr>
        <w:tc>
          <w:tcPr>
            <w:tcW w:w="1000" w:type="pct"/>
          </w:tcPr>
          <w:p w:rsidR="00B373FF" w:rsidRPr="00B373FF" w:rsidRDefault="00B373FF">
            <w:pPr>
              <w:tabs>
                <w:tab w:val="right" w:leader="underscore" w:pos="11340"/>
              </w:tabs>
              <w:rPr>
                <w:rStyle w:val="Instruction"/>
                <w:b w:val="0"/>
                <w:bCs/>
                <w:i w:val="0"/>
                <w:iCs/>
                <w:color w:val="auto"/>
              </w:rPr>
            </w:pPr>
            <w:r w:rsidRPr="00B373FF">
              <w:rPr>
                <w:rStyle w:val="Instruction"/>
                <w:b w:val="0"/>
                <w:bCs/>
                <w:i w:val="0"/>
                <w:iCs/>
                <w:color w:val="auto"/>
              </w:rPr>
              <w:t>Name</w:t>
            </w:r>
          </w:p>
        </w:tc>
        <w:tc>
          <w:tcPr>
            <w:tcW w:w="1813" w:type="pct"/>
          </w:tcPr>
          <w:p w:rsidR="00B373FF" w:rsidRPr="008D610C" w:rsidRDefault="0091700E">
            <w:pPr>
              <w:tabs>
                <w:tab w:val="right" w:leader="underscore" w:pos="11340"/>
              </w:tabs>
            </w:pPr>
            <w:r>
              <w:t>Nelly Braquet</w:t>
            </w:r>
            <w:r w:rsidR="001D4438">
              <w:t>/Antoinette Anger</w:t>
            </w:r>
          </w:p>
        </w:tc>
        <w:tc>
          <w:tcPr>
            <w:tcW w:w="499" w:type="pct"/>
          </w:tcPr>
          <w:p w:rsidR="00B373FF" w:rsidRPr="008D610C" w:rsidRDefault="00B373FF">
            <w:pPr>
              <w:tabs>
                <w:tab w:val="right" w:leader="underscore" w:pos="11340"/>
              </w:tabs>
            </w:pPr>
          </w:p>
        </w:tc>
        <w:tc>
          <w:tcPr>
            <w:tcW w:w="1688" w:type="pct"/>
          </w:tcPr>
          <w:p w:rsidR="00B373FF" w:rsidRPr="008D610C" w:rsidRDefault="00B373FF">
            <w:pPr>
              <w:tabs>
                <w:tab w:val="right" w:leader="underscore" w:pos="11340"/>
              </w:tabs>
            </w:pPr>
            <w:r w:rsidRPr="008D610C">
              <w:t>Date</w:t>
            </w:r>
          </w:p>
        </w:tc>
      </w:tr>
      <w:tr w:rsidR="00B373FF" w:rsidRPr="008D610C" w:rsidTr="00B34795">
        <w:trPr>
          <w:cantSplit/>
        </w:trPr>
        <w:tc>
          <w:tcPr>
            <w:tcW w:w="1000" w:type="pct"/>
          </w:tcPr>
          <w:p w:rsidR="00B373FF" w:rsidRPr="00B373FF" w:rsidRDefault="00B373FF">
            <w:pPr>
              <w:tabs>
                <w:tab w:val="right" w:leader="underscore" w:pos="11340"/>
              </w:tabs>
              <w:rPr>
                <w:rStyle w:val="Instruction"/>
                <w:b w:val="0"/>
                <w:bCs/>
                <w:i w:val="0"/>
                <w:iCs/>
                <w:color w:val="auto"/>
              </w:rPr>
            </w:pPr>
            <w:r w:rsidRPr="00B373FF">
              <w:rPr>
                <w:rStyle w:val="Instruction"/>
                <w:b w:val="0"/>
                <w:bCs/>
                <w:i w:val="0"/>
                <w:iCs/>
                <w:color w:val="auto"/>
              </w:rPr>
              <w:t>Position</w:t>
            </w:r>
          </w:p>
        </w:tc>
        <w:tc>
          <w:tcPr>
            <w:tcW w:w="1813" w:type="pct"/>
          </w:tcPr>
          <w:p w:rsidR="00B373FF" w:rsidRPr="008D610C" w:rsidRDefault="0091700E">
            <w:pPr>
              <w:tabs>
                <w:tab w:val="right" w:leader="underscore" w:pos="11340"/>
              </w:tabs>
            </w:pPr>
            <w:r>
              <w:t>Biostatistician</w:t>
            </w:r>
          </w:p>
        </w:tc>
        <w:tc>
          <w:tcPr>
            <w:tcW w:w="499" w:type="pct"/>
          </w:tcPr>
          <w:p w:rsidR="00B373FF" w:rsidRPr="008D610C" w:rsidRDefault="00B373FF">
            <w:pPr>
              <w:tabs>
                <w:tab w:val="right" w:leader="underscore" w:pos="11340"/>
              </w:tabs>
            </w:pPr>
          </w:p>
        </w:tc>
        <w:tc>
          <w:tcPr>
            <w:tcW w:w="1688" w:type="pct"/>
          </w:tcPr>
          <w:p w:rsidR="00B373FF" w:rsidRPr="008D610C" w:rsidRDefault="00B373FF">
            <w:pPr>
              <w:tabs>
                <w:tab w:val="right" w:leader="underscore" w:pos="11340"/>
              </w:tabs>
            </w:pPr>
          </w:p>
        </w:tc>
      </w:tr>
      <w:tr w:rsidR="00B373FF" w:rsidRPr="008D610C" w:rsidTr="00B34795">
        <w:trPr>
          <w:cantSplit/>
        </w:trPr>
        <w:tc>
          <w:tcPr>
            <w:tcW w:w="1000" w:type="pct"/>
          </w:tcPr>
          <w:p w:rsidR="00B373FF" w:rsidRPr="00B373FF" w:rsidRDefault="00B373FF">
            <w:pPr>
              <w:tabs>
                <w:tab w:val="right" w:leader="underscore" w:pos="11340"/>
              </w:tabs>
              <w:rPr>
                <w:rStyle w:val="Instruction"/>
                <w:b w:val="0"/>
                <w:bCs/>
                <w:i w:val="0"/>
                <w:iCs/>
                <w:color w:val="auto"/>
              </w:rPr>
            </w:pPr>
            <w:r w:rsidRPr="00B373FF">
              <w:rPr>
                <w:rStyle w:val="Instruction"/>
                <w:b w:val="0"/>
                <w:bCs/>
                <w:i w:val="0"/>
                <w:iCs/>
                <w:color w:val="auto"/>
              </w:rPr>
              <w:t>Company</w:t>
            </w:r>
          </w:p>
        </w:tc>
        <w:tc>
          <w:tcPr>
            <w:tcW w:w="1813" w:type="pct"/>
          </w:tcPr>
          <w:p w:rsidR="00B373FF" w:rsidRPr="008D610C" w:rsidRDefault="00B373FF">
            <w:pPr>
              <w:tabs>
                <w:tab w:val="right" w:leader="underscore" w:pos="11340"/>
              </w:tabs>
            </w:pPr>
            <w:r>
              <w:t>Venn Life Sciences</w:t>
            </w:r>
          </w:p>
        </w:tc>
        <w:tc>
          <w:tcPr>
            <w:tcW w:w="499" w:type="pct"/>
          </w:tcPr>
          <w:p w:rsidR="00B373FF" w:rsidRPr="008D610C" w:rsidRDefault="00B373FF">
            <w:pPr>
              <w:tabs>
                <w:tab w:val="right" w:leader="underscore" w:pos="11340"/>
              </w:tabs>
            </w:pPr>
          </w:p>
        </w:tc>
        <w:tc>
          <w:tcPr>
            <w:tcW w:w="1688" w:type="pct"/>
          </w:tcPr>
          <w:p w:rsidR="00B373FF" w:rsidRPr="008D610C" w:rsidRDefault="00B373FF">
            <w:pPr>
              <w:tabs>
                <w:tab w:val="right" w:leader="underscore" w:pos="11340"/>
              </w:tabs>
            </w:pPr>
          </w:p>
        </w:tc>
      </w:tr>
    </w:tbl>
    <w:p w:rsidR="00B373FF" w:rsidRDefault="00B373FF"/>
    <w:p w:rsidR="009171FB" w:rsidRDefault="009171FB"/>
    <w:p w:rsidR="00B373FF" w:rsidRPr="009171FB" w:rsidRDefault="00B373FF" w:rsidP="009171FB">
      <w:pPr>
        <w:jc w:val="center"/>
        <w:rPr>
          <w:b/>
          <w:bCs/>
        </w:rPr>
      </w:pPr>
      <w:r w:rsidRPr="009171FB">
        <w:rPr>
          <w:b/>
          <w:bCs/>
        </w:rPr>
        <w:t>Approval</w:t>
      </w:r>
    </w:p>
    <w:p w:rsidR="00AF3917" w:rsidRDefault="00AF3917"/>
    <w:p w:rsidR="009171FB" w:rsidRPr="00B373FF" w:rsidRDefault="009171FB" w:rsidP="009171FB">
      <w:pPr>
        <w:rPr>
          <w:b/>
          <w:bCs/>
        </w:rPr>
      </w:pPr>
      <w:r w:rsidRPr="00B373FF">
        <w:rPr>
          <w:b/>
          <w:bCs/>
        </w:rPr>
        <w:t>Venn Life Sciences</w:t>
      </w:r>
    </w:p>
    <w:tbl>
      <w:tblPr>
        <w:tblW w:w="3747" w:type="pct"/>
        <w:tblInd w:w="970" w:type="dxa"/>
        <w:tblCellMar>
          <w:left w:w="70" w:type="dxa"/>
          <w:right w:w="70" w:type="dxa"/>
        </w:tblCellMar>
        <w:tblLook w:val="0000"/>
      </w:tblPr>
      <w:tblGrid>
        <w:gridCol w:w="1439"/>
        <w:gridCol w:w="2611"/>
        <w:gridCol w:w="719"/>
        <w:gridCol w:w="2431"/>
      </w:tblGrid>
      <w:tr w:rsidR="009171FB" w:rsidRPr="008D610C" w:rsidTr="00B34795">
        <w:trPr>
          <w:cantSplit/>
        </w:trPr>
        <w:tc>
          <w:tcPr>
            <w:tcW w:w="1000" w:type="pct"/>
            <w:tcBorders>
              <w:bottom w:val="single" w:sz="6" w:space="0" w:color="auto"/>
            </w:tcBorders>
          </w:tcPr>
          <w:p w:rsidR="009171FB" w:rsidRPr="008D610C" w:rsidRDefault="009171FB" w:rsidP="001E78DA">
            <w:pPr>
              <w:tabs>
                <w:tab w:val="right" w:leader="underscore" w:pos="11340"/>
              </w:tabs>
            </w:pPr>
          </w:p>
        </w:tc>
        <w:tc>
          <w:tcPr>
            <w:tcW w:w="1813" w:type="pct"/>
          </w:tcPr>
          <w:p w:rsidR="009171FB" w:rsidRPr="008D610C" w:rsidRDefault="009171FB" w:rsidP="001E78DA">
            <w:pPr>
              <w:tabs>
                <w:tab w:val="right" w:leader="underscore" w:pos="11340"/>
              </w:tabs>
            </w:pPr>
          </w:p>
        </w:tc>
        <w:tc>
          <w:tcPr>
            <w:tcW w:w="499" w:type="pct"/>
          </w:tcPr>
          <w:p w:rsidR="009171FB" w:rsidRPr="008D610C" w:rsidRDefault="009171FB" w:rsidP="001E78DA">
            <w:pPr>
              <w:tabs>
                <w:tab w:val="right" w:leader="underscore" w:pos="11340"/>
              </w:tabs>
            </w:pPr>
          </w:p>
        </w:tc>
        <w:tc>
          <w:tcPr>
            <w:tcW w:w="1688" w:type="pct"/>
            <w:tcBorders>
              <w:bottom w:val="single" w:sz="6" w:space="0" w:color="auto"/>
            </w:tcBorders>
          </w:tcPr>
          <w:p w:rsidR="009171FB" w:rsidRPr="008D610C" w:rsidRDefault="009171FB" w:rsidP="001E78DA">
            <w:pPr>
              <w:tabs>
                <w:tab w:val="right" w:leader="underscore" w:pos="11340"/>
              </w:tabs>
            </w:pPr>
          </w:p>
        </w:tc>
      </w:tr>
      <w:tr w:rsidR="009171FB" w:rsidRPr="008D610C" w:rsidTr="00B34795">
        <w:trPr>
          <w:cantSplit/>
        </w:trPr>
        <w:tc>
          <w:tcPr>
            <w:tcW w:w="1000" w:type="pct"/>
          </w:tcPr>
          <w:p w:rsidR="009171FB" w:rsidRPr="00B373FF" w:rsidRDefault="009171FB" w:rsidP="001E78DA">
            <w:pPr>
              <w:tabs>
                <w:tab w:val="right" w:leader="underscore" w:pos="11340"/>
              </w:tabs>
              <w:rPr>
                <w:rStyle w:val="Instruction"/>
                <w:b w:val="0"/>
                <w:bCs/>
                <w:i w:val="0"/>
                <w:iCs/>
                <w:color w:val="auto"/>
              </w:rPr>
            </w:pPr>
            <w:r w:rsidRPr="00B373FF">
              <w:rPr>
                <w:rStyle w:val="Instruction"/>
                <w:b w:val="0"/>
                <w:bCs/>
                <w:i w:val="0"/>
                <w:iCs/>
                <w:color w:val="auto"/>
              </w:rPr>
              <w:t>Name</w:t>
            </w:r>
          </w:p>
        </w:tc>
        <w:tc>
          <w:tcPr>
            <w:tcW w:w="1813" w:type="pct"/>
          </w:tcPr>
          <w:p w:rsidR="009171FB" w:rsidRPr="008D610C" w:rsidRDefault="0091700E" w:rsidP="001E78DA">
            <w:pPr>
              <w:tabs>
                <w:tab w:val="right" w:leader="underscore" w:pos="11340"/>
              </w:tabs>
            </w:pPr>
            <w:r>
              <w:t>François Aubin</w:t>
            </w:r>
          </w:p>
        </w:tc>
        <w:tc>
          <w:tcPr>
            <w:tcW w:w="499" w:type="pct"/>
          </w:tcPr>
          <w:p w:rsidR="009171FB" w:rsidRPr="008D610C" w:rsidRDefault="009171FB" w:rsidP="001E78DA">
            <w:pPr>
              <w:tabs>
                <w:tab w:val="right" w:leader="underscore" w:pos="11340"/>
              </w:tabs>
            </w:pPr>
          </w:p>
        </w:tc>
        <w:tc>
          <w:tcPr>
            <w:tcW w:w="1688" w:type="pct"/>
          </w:tcPr>
          <w:p w:rsidR="009171FB" w:rsidRPr="008D610C" w:rsidRDefault="009171FB" w:rsidP="001E78DA">
            <w:pPr>
              <w:tabs>
                <w:tab w:val="right" w:leader="underscore" w:pos="11340"/>
              </w:tabs>
            </w:pPr>
            <w:r w:rsidRPr="008D610C">
              <w:t>Date</w:t>
            </w:r>
          </w:p>
        </w:tc>
      </w:tr>
      <w:tr w:rsidR="009171FB" w:rsidRPr="008D610C" w:rsidTr="00B34795">
        <w:trPr>
          <w:cantSplit/>
        </w:trPr>
        <w:tc>
          <w:tcPr>
            <w:tcW w:w="1000" w:type="pct"/>
          </w:tcPr>
          <w:p w:rsidR="009171FB" w:rsidRPr="00B373FF" w:rsidRDefault="009171FB" w:rsidP="001E78DA">
            <w:pPr>
              <w:tabs>
                <w:tab w:val="right" w:leader="underscore" w:pos="11340"/>
              </w:tabs>
              <w:rPr>
                <w:rStyle w:val="Instruction"/>
                <w:b w:val="0"/>
                <w:bCs/>
                <w:i w:val="0"/>
                <w:iCs/>
                <w:color w:val="auto"/>
              </w:rPr>
            </w:pPr>
            <w:r w:rsidRPr="00B373FF">
              <w:rPr>
                <w:rStyle w:val="Instruction"/>
                <w:b w:val="0"/>
                <w:bCs/>
                <w:i w:val="0"/>
                <w:iCs/>
                <w:color w:val="auto"/>
              </w:rPr>
              <w:t>Position</w:t>
            </w:r>
          </w:p>
        </w:tc>
        <w:tc>
          <w:tcPr>
            <w:tcW w:w="1813" w:type="pct"/>
          </w:tcPr>
          <w:p w:rsidR="009171FB" w:rsidRPr="008D610C" w:rsidRDefault="00DA361F" w:rsidP="00DA361F">
            <w:pPr>
              <w:tabs>
                <w:tab w:val="right" w:leader="underscore" w:pos="11340"/>
              </w:tabs>
            </w:pPr>
            <w:r>
              <w:t xml:space="preserve">Head of Biometry, </w:t>
            </w:r>
            <w:r w:rsidR="0091700E">
              <w:t xml:space="preserve">Medical and Methodology </w:t>
            </w:r>
            <w:r>
              <w:t xml:space="preserve"> Expert</w:t>
            </w:r>
          </w:p>
        </w:tc>
        <w:tc>
          <w:tcPr>
            <w:tcW w:w="499" w:type="pct"/>
          </w:tcPr>
          <w:p w:rsidR="009171FB" w:rsidRPr="008D610C" w:rsidRDefault="009171FB" w:rsidP="001E78DA">
            <w:pPr>
              <w:tabs>
                <w:tab w:val="right" w:leader="underscore" w:pos="11340"/>
              </w:tabs>
            </w:pPr>
          </w:p>
        </w:tc>
        <w:tc>
          <w:tcPr>
            <w:tcW w:w="1688" w:type="pct"/>
          </w:tcPr>
          <w:p w:rsidR="009171FB" w:rsidRPr="008D610C" w:rsidRDefault="009171FB" w:rsidP="001E78DA">
            <w:pPr>
              <w:tabs>
                <w:tab w:val="right" w:leader="underscore" w:pos="11340"/>
              </w:tabs>
            </w:pPr>
          </w:p>
        </w:tc>
      </w:tr>
      <w:tr w:rsidR="009171FB" w:rsidRPr="008D610C" w:rsidTr="00B34795">
        <w:trPr>
          <w:cantSplit/>
        </w:trPr>
        <w:tc>
          <w:tcPr>
            <w:tcW w:w="1000" w:type="pct"/>
          </w:tcPr>
          <w:p w:rsidR="009171FB" w:rsidRPr="00B373FF" w:rsidRDefault="009171FB" w:rsidP="001E78DA">
            <w:pPr>
              <w:tabs>
                <w:tab w:val="right" w:leader="underscore" w:pos="11340"/>
              </w:tabs>
              <w:rPr>
                <w:rStyle w:val="Instruction"/>
                <w:b w:val="0"/>
                <w:bCs/>
                <w:i w:val="0"/>
                <w:iCs/>
                <w:color w:val="auto"/>
              </w:rPr>
            </w:pPr>
            <w:r w:rsidRPr="00B373FF">
              <w:rPr>
                <w:rStyle w:val="Instruction"/>
                <w:b w:val="0"/>
                <w:bCs/>
                <w:i w:val="0"/>
                <w:iCs/>
                <w:color w:val="auto"/>
              </w:rPr>
              <w:t>Company</w:t>
            </w:r>
          </w:p>
        </w:tc>
        <w:tc>
          <w:tcPr>
            <w:tcW w:w="1813" w:type="pct"/>
          </w:tcPr>
          <w:p w:rsidR="009171FB" w:rsidRPr="008D610C" w:rsidRDefault="009171FB" w:rsidP="001E78DA">
            <w:pPr>
              <w:tabs>
                <w:tab w:val="right" w:leader="underscore" w:pos="11340"/>
              </w:tabs>
            </w:pPr>
            <w:r>
              <w:t>Venn Life Sciences</w:t>
            </w:r>
          </w:p>
        </w:tc>
        <w:tc>
          <w:tcPr>
            <w:tcW w:w="499" w:type="pct"/>
          </w:tcPr>
          <w:p w:rsidR="009171FB" w:rsidRPr="008D610C" w:rsidRDefault="009171FB" w:rsidP="001E78DA">
            <w:pPr>
              <w:tabs>
                <w:tab w:val="right" w:leader="underscore" w:pos="11340"/>
              </w:tabs>
            </w:pPr>
          </w:p>
        </w:tc>
        <w:tc>
          <w:tcPr>
            <w:tcW w:w="1688" w:type="pct"/>
          </w:tcPr>
          <w:p w:rsidR="009171FB" w:rsidRPr="008D610C" w:rsidRDefault="009171FB" w:rsidP="001E78DA">
            <w:pPr>
              <w:tabs>
                <w:tab w:val="right" w:leader="underscore" w:pos="11340"/>
              </w:tabs>
            </w:pPr>
          </w:p>
        </w:tc>
      </w:tr>
    </w:tbl>
    <w:p w:rsidR="009171FB" w:rsidRDefault="009171FB"/>
    <w:p w:rsidR="009171FB" w:rsidRPr="00B373FF" w:rsidRDefault="009171FB" w:rsidP="009171FB">
      <w:pPr>
        <w:rPr>
          <w:b/>
          <w:bCs/>
        </w:rPr>
      </w:pPr>
      <w:r>
        <w:rPr>
          <w:b/>
          <w:bCs/>
        </w:rPr>
        <w:t>Sponsor</w:t>
      </w:r>
    </w:p>
    <w:tbl>
      <w:tblPr>
        <w:tblW w:w="3747" w:type="pct"/>
        <w:tblInd w:w="970" w:type="dxa"/>
        <w:tblCellMar>
          <w:left w:w="70" w:type="dxa"/>
          <w:right w:w="70" w:type="dxa"/>
        </w:tblCellMar>
        <w:tblLook w:val="0000"/>
      </w:tblPr>
      <w:tblGrid>
        <w:gridCol w:w="1439"/>
        <w:gridCol w:w="2611"/>
        <w:gridCol w:w="719"/>
        <w:gridCol w:w="2431"/>
      </w:tblGrid>
      <w:tr w:rsidR="009171FB" w:rsidRPr="008D610C" w:rsidTr="00B34795">
        <w:trPr>
          <w:cantSplit/>
        </w:trPr>
        <w:tc>
          <w:tcPr>
            <w:tcW w:w="1000" w:type="pct"/>
            <w:tcBorders>
              <w:bottom w:val="single" w:sz="6" w:space="0" w:color="auto"/>
            </w:tcBorders>
          </w:tcPr>
          <w:p w:rsidR="009171FB" w:rsidRPr="008D610C" w:rsidRDefault="009171FB" w:rsidP="001E78DA">
            <w:pPr>
              <w:tabs>
                <w:tab w:val="right" w:leader="underscore" w:pos="11340"/>
              </w:tabs>
            </w:pPr>
          </w:p>
        </w:tc>
        <w:tc>
          <w:tcPr>
            <w:tcW w:w="1813" w:type="pct"/>
          </w:tcPr>
          <w:p w:rsidR="009171FB" w:rsidRPr="008D610C" w:rsidRDefault="009171FB" w:rsidP="001E78DA">
            <w:pPr>
              <w:tabs>
                <w:tab w:val="right" w:leader="underscore" w:pos="11340"/>
              </w:tabs>
            </w:pPr>
          </w:p>
        </w:tc>
        <w:tc>
          <w:tcPr>
            <w:tcW w:w="499" w:type="pct"/>
          </w:tcPr>
          <w:p w:rsidR="009171FB" w:rsidRPr="008D610C" w:rsidRDefault="009171FB" w:rsidP="001E78DA">
            <w:pPr>
              <w:tabs>
                <w:tab w:val="right" w:leader="underscore" w:pos="11340"/>
              </w:tabs>
            </w:pPr>
          </w:p>
        </w:tc>
        <w:tc>
          <w:tcPr>
            <w:tcW w:w="1688" w:type="pct"/>
            <w:tcBorders>
              <w:bottom w:val="single" w:sz="6" w:space="0" w:color="auto"/>
            </w:tcBorders>
          </w:tcPr>
          <w:p w:rsidR="009171FB" w:rsidRPr="008D610C" w:rsidRDefault="009171FB" w:rsidP="001E78DA">
            <w:pPr>
              <w:tabs>
                <w:tab w:val="right" w:leader="underscore" w:pos="11340"/>
              </w:tabs>
            </w:pPr>
          </w:p>
        </w:tc>
      </w:tr>
      <w:tr w:rsidR="009171FB" w:rsidRPr="008D610C" w:rsidTr="00B34795">
        <w:trPr>
          <w:cantSplit/>
        </w:trPr>
        <w:tc>
          <w:tcPr>
            <w:tcW w:w="1000" w:type="pct"/>
          </w:tcPr>
          <w:p w:rsidR="009171FB" w:rsidRPr="00B373FF" w:rsidRDefault="009171FB" w:rsidP="001E78DA">
            <w:pPr>
              <w:tabs>
                <w:tab w:val="right" w:leader="underscore" w:pos="11340"/>
              </w:tabs>
              <w:rPr>
                <w:rStyle w:val="Instruction"/>
                <w:b w:val="0"/>
                <w:bCs/>
                <w:i w:val="0"/>
                <w:iCs/>
                <w:color w:val="auto"/>
              </w:rPr>
            </w:pPr>
            <w:r w:rsidRPr="00B373FF">
              <w:rPr>
                <w:rStyle w:val="Instruction"/>
                <w:b w:val="0"/>
                <w:bCs/>
                <w:i w:val="0"/>
                <w:iCs/>
                <w:color w:val="auto"/>
              </w:rPr>
              <w:t>Name</w:t>
            </w:r>
          </w:p>
        </w:tc>
        <w:tc>
          <w:tcPr>
            <w:tcW w:w="1813" w:type="pct"/>
          </w:tcPr>
          <w:p w:rsidR="009171FB" w:rsidRPr="00270560" w:rsidRDefault="00270560" w:rsidP="00270560">
            <w:pPr>
              <w:tabs>
                <w:tab w:val="right" w:leader="underscore" w:pos="11340"/>
              </w:tabs>
              <w:rPr>
                <w:lang w:val="en-US"/>
              </w:rPr>
            </w:pPr>
            <w:r w:rsidRPr="00270560">
              <w:t>Kostas</w:t>
            </w:r>
            <w:r w:rsidRPr="00270560">
              <w:rPr>
                <w:szCs w:val="22"/>
                <w:lang w:val="en-US"/>
              </w:rPr>
              <w:t xml:space="preserve"> </w:t>
            </w:r>
            <w:r w:rsidRPr="00270560">
              <w:t>Kosmatopoulos</w:t>
            </w:r>
            <w:r w:rsidRPr="00270560">
              <w:rPr>
                <w:szCs w:val="22"/>
                <w:lang w:val="en-US"/>
              </w:rPr>
              <w:t xml:space="preserve"> MD, PhD </w:t>
            </w:r>
          </w:p>
        </w:tc>
        <w:tc>
          <w:tcPr>
            <w:tcW w:w="499" w:type="pct"/>
          </w:tcPr>
          <w:p w:rsidR="009171FB" w:rsidRPr="008D610C" w:rsidRDefault="009171FB" w:rsidP="001E78DA">
            <w:pPr>
              <w:tabs>
                <w:tab w:val="right" w:leader="underscore" w:pos="11340"/>
              </w:tabs>
            </w:pPr>
          </w:p>
        </w:tc>
        <w:tc>
          <w:tcPr>
            <w:tcW w:w="1688" w:type="pct"/>
          </w:tcPr>
          <w:p w:rsidR="009171FB" w:rsidRPr="008D610C" w:rsidRDefault="009171FB" w:rsidP="001E78DA">
            <w:pPr>
              <w:tabs>
                <w:tab w:val="right" w:leader="underscore" w:pos="11340"/>
              </w:tabs>
            </w:pPr>
            <w:r w:rsidRPr="008D610C">
              <w:t>Date</w:t>
            </w:r>
          </w:p>
        </w:tc>
      </w:tr>
      <w:tr w:rsidR="009171FB" w:rsidRPr="008D610C" w:rsidTr="00B34795">
        <w:trPr>
          <w:cantSplit/>
        </w:trPr>
        <w:tc>
          <w:tcPr>
            <w:tcW w:w="1000" w:type="pct"/>
          </w:tcPr>
          <w:p w:rsidR="009171FB" w:rsidRPr="00B373FF" w:rsidRDefault="009171FB" w:rsidP="001E78DA">
            <w:pPr>
              <w:tabs>
                <w:tab w:val="right" w:leader="underscore" w:pos="11340"/>
              </w:tabs>
              <w:rPr>
                <w:rStyle w:val="Instruction"/>
                <w:b w:val="0"/>
                <w:bCs/>
                <w:i w:val="0"/>
                <w:iCs/>
                <w:color w:val="auto"/>
              </w:rPr>
            </w:pPr>
            <w:r w:rsidRPr="00B373FF">
              <w:rPr>
                <w:rStyle w:val="Instruction"/>
                <w:b w:val="0"/>
                <w:bCs/>
                <w:i w:val="0"/>
                <w:iCs/>
                <w:color w:val="auto"/>
              </w:rPr>
              <w:t>Position</w:t>
            </w:r>
          </w:p>
        </w:tc>
        <w:tc>
          <w:tcPr>
            <w:tcW w:w="1813" w:type="pct"/>
          </w:tcPr>
          <w:p w:rsidR="009171FB" w:rsidRPr="00270560" w:rsidRDefault="00270560" w:rsidP="001E78DA">
            <w:pPr>
              <w:tabs>
                <w:tab w:val="right" w:leader="underscore" w:pos="11340"/>
              </w:tabs>
            </w:pPr>
            <w:r w:rsidRPr="00270560">
              <w:t>Chief Executive Officer</w:t>
            </w:r>
          </w:p>
        </w:tc>
        <w:tc>
          <w:tcPr>
            <w:tcW w:w="499" w:type="pct"/>
          </w:tcPr>
          <w:p w:rsidR="009171FB" w:rsidRPr="008D610C" w:rsidRDefault="009171FB" w:rsidP="001E78DA">
            <w:pPr>
              <w:tabs>
                <w:tab w:val="right" w:leader="underscore" w:pos="11340"/>
              </w:tabs>
            </w:pPr>
          </w:p>
        </w:tc>
        <w:tc>
          <w:tcPr>
            <w:tcW w:w="1688" w:type="pct"/>
          </w:tcPr>
          <w:p w:rsidR="009171FB" w:rsidRPr="008D610C" w:rsidRDefault="009171FB" w:rsidP="001E78DA">
            <w:pPr>
              <w:tabs>
                <w:tab w:val="right" w:leader="underscore" w:pos="11340"/>
              </w:tabs>
            </w:pPr>
          </w:p>
        </w:tc>
      </w:tr>
      <w:tr w:rsidR="009171FB" w:rsidRPr="008D610C" w:rsidTr="00B34795">
        <w:trPr>
          <w:cantSplit/>
        </w:trPr>
        <w:tc>
          <w:tcPr>
            <w:tcW w:w="1000" w:type="pct"/>
          </w:tcPr>
          <w:p w:rsidR="009171FB" w:rsidRPr="00B373FF" w:rsidRDefault="009171FB" w:rsidP="001E78DA">
            <w:pPr>
              <w:tabs>
                <w:tab w:val="right" w:leader="underscore" w:pos="11340"/>
              </w:tabs>
              <w:rPr>
                <w:rStyle w:val="Instruction"/>
                <w:b w:val="0"/>
                <w:bCs/>
                <w:i w:val="0"/>
                <w:iCs/>
                <w:color w:val="auto"/>
              </w:rPr>
            </w:pPr>
            <w:r w:rsidRPr="00B373FF">
              <w:rPr>
                <w:rStyle w:val="Instruction"/>
                <w:b w:val="0"/>
                <w:bCs/>
                <w:i w:val="0"/>
                <w:iCs/>
                <w:color w:val="auto"/>
              </w:rPr>
              <w:t>Company</w:t>
            </w:r>
          </w:p>
        </w:tc>
        <w:tc>
          <w:tcPr>
            <w:tcW w:w="1813" w:type="pct"/>
          </w:tcPr>
          <w:p w:rsidR="009171FB" w:rsidRPr="008D610C" w:rsidRDefault="0091700E" w:rsidP="001E78DA">
            <w:pPr>
              <w:tabs>
                <w:tab w:val="right" w:leader="underscore" w:pos="11340"/>
              </w:tabs>
            </w:pPr>
            <w:r>
              <w:t>Vaxon Biotech</w:t>
            </w:r>
          </w:p>
        </w:tc>
        <w:tc>
          <w:tcPr>
            <w:tcW w:w="499" w:type="pct"/>
          </w:tcPr>
          <w:p w:rsidR="009171FB" w:rsidRPr="008D610C" w:rsidRDefault="009171FB" w:rsidP="001E78DA">
            <w:pPr>
              <w:tabs>
                <w:tab w:val="right" w:leader="underscore" w:pos="11340"/>
              </w:tabs>
            </w:pPr>
          </w:p>
        </w:tc>
        <w:tc>
          <w:tcPr>
            <w:tcW w:w="1688" w:type="pct"/>
          </w:tcPr>
          <w:p w:rsidR="009171FB" w:rsidRPr="008D610C" w:rsidRDefault="009171FB" w:rsidP="001E78DA">
            <w:pPr>
              <w:tabs>
                <w:tab w:val="right" w:leader="underscore" w:pos="11340"/>
              </w:tabs>
            </w:pPr>
          </w:p>
        </w:tc>
      </w:tr>
    </w:tbl>
    <w:p w:rsidR="009171FB" w:rsidRDefault="009171FB"/>
    <w:p w:rsidR="009171FB" w:rsidRDefault="009171FB"/>
    <w:p w:rsidR="009171FB" w:rsidRPr="008D610C" w:rsidRDefault="009171FB"/>
    <w:p w:rsidR="00AF3917" w:rsidRPr="008D610C" w:rsidRDefault="00AF3917">
      <w:pPr>
        <w:pStyle w:val="TitleNoToc"/>
        <w:rPr>
          <w:lang w:val="en-GB"/>
        </w:rPr>
      </w:pPr>
      <w:r w:rsidRPr="008D610C">
        <w:rPr>
          <w:lang w:val="en-GB"/>
        </w:rPr>
        <w:lastRenderedPageBreak/>
        <w:t>Contents</w:t>
      </w:r>
    </w:p>
    <w:p w:rsidR="0092759A" w:rsidRDefault="00FF5BA3">
      <w:pPr>
        <w:pStyle w:val="10"/>
        <w:rPr>
          <w:rFonts w:asciiTheme="minorHAnsi" w:eastAsiaTheme="minorEastAsia" w:hAnsiTheme="minorHAnsi" w:cstheme="minorBidi"/>
          <w:b w:val="0"/>
          <w:noProof/>
          <w:sz w:val="22"/>
          <w:szCs w:val="22"/>
        </w:rPr>
      </w:pPr>
      <w:r w:rsidRPr="00FF5BA3">
        <w:rPr>
          <w:lang w:val="en-GB"/>
        </w:rPr>
        <w:fldChar w:fldCharType="begin"/>
      </w:r>
      <w:r w:rsidR="00AF3917" w:rsidRPr="008D610C">
        <w:rPr>
          <w:lang w:val="en-GB"/>
        </w:rPr>
        <w:instrText xml:space="preserve"> TOC \o "1-4" \t "Heading 1 NoNumbering,1,Heading 1 NoBreak,1" </w:instrText>
      </w:r>
      <w:r w:rsidRPr="00FF5BA3">
        <w:rPr>
          <w:lang w:val="en-GB"/>
        </w:rPr>
        <w:fldChar w:fldCharType="separate"/>
      </w:r>
      <w:r w:rsidR="0092759A">
        <w:rPr>
          <w:noProof/>
        </w:rPr>
        <w:t>Abbreviations and definitions</w:t>
      </w:r>
      <w:r w:rsidR="0092759A">
        <w:rPr>
          <w:noProof/>
        </w:rPr>
        <w:tab/>
      </w:r>
      <w:r>
        <w:rPr>
          <w:noProof/>
        </w:rPr>
        <w:fldChar w:fldCharType="begin"/>
      </w:r>
      <w:r w:rsidR="0092759A">
        <w:rPr>
          <w:noProof/>
        </w:rPr>
        <w:instrText xml:space="preserve"> PAGEREF _Toc461617807 \h </w:instrText>
      </w:r>
      <w:r>
        <w:rPr>
          <w:noProof/>
        </w:rPr>
      </w:r>
      <w:r>
        <w:rPr>
          <w:noProof/>
        </w:rPr>
        <w:fldChar w:fldCharType="separate"/>
      </w:r>
      <w:r w:rsidR="007C78F1">
        <w:rPr>
          <w:noProof/>
        </w:rPr>
        <w:t>6</w:t>
      </w:r>
      <w:r>
        <w:rPr>
          <w:noProof/>
        </w:rPr>
        <w:fldChar w:fldCharType="end"/>
      </w:r>
    </w:p>
    <w:p w:rsidR="0092759A" w:rsidRDefault="0092759A">
      <w:pPr>
        <w:pStyle w:val="10"/>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Introduction</w:t>
      </w:r>
      <w:r>
        <w:rPr>
          <w:noProof/>
        </w:rPr>
        <w:tab/>
      </w:r>
      <w:r w:rsidR="00FF5BA3">
        <w:rPr>
          <w:noProof/>
        </w:rPr>
        <w:fldChar w:fldCharType="begin"/>
      </w:r>
      <w:r>
        <w:rPr>
          <w:noProof/>
        </w:rPr>
        <w:instrText xml:space="preserve"> PAGEREF _Toc461617808 \h </w:instrText>
      </w:r>
      <w:r w:rsidR="00FF5BA3">
        <w:rPr>
          <w:noProof/>
        </w:rPr>
      </w:r>
      <w:r w:rsidR="00FF5BA3">
        <w:rPr>
          <w:noProof/>
        </w:rPr>
        <w:fldChar w:fldCharType="separate"/>
      </w:r>
      <w:r w:rsidR="007C78F1">
        <w:rPr>
          <w:noProof/>
        </w:rPr>
        <w:t>8</w:t>
      </w:r>
      <w:r w:rsidR="00FF5BA3">
        <w:rPr>
          <w:noProof/>
        </w:rPr>
        <w:fldChar w:fldCharType="end"/>
      </w:r>
    </w:p>
    <w:p w:rsidR="0092759A" w:rsidRDefault="0092759A">
      <w:pPr>
        <w:pStyle w:val="10"/>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Highlights from study protocol</w:t>
      </w:r>
      <w:r>
        <w:rPr>
          <w:noProof/>
        </w:rPr>
        <w:tab/>
      </w:r>
      <w:r w:rsidR="00FF5BA3">
        <w:rPr>
          <w:noProof/>
        </w:rPr>
        <w:fldChar w:fldCharType="begin"/>
      </w:r>
      <w:r>
        <w:rPr>
          <w:noProof/>
        </w:rPr>
        <w:instrText xml:space="preserve"> PAGEREF _Toc461617809 \h </w:instrText>
      </w:r>
      <w:r w:rsidR="00FF5BA3">
        <w:rPr>
          <w:noProof/>
        </w:rPr>
      </w:r>
      <w:r w:rsidR="00FF5BA3">
        <w:rPr>
          <w:noProof/>
        </w:rPr>
        <w:fldChar w:fldCharType="separate"/>
      </w:r>
      <w:r w:rsidR="007C78F1">
        <w:rPr>
          <w:noProof/>
        </w:rPr>
        <w:t>8</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Background/Rationale</w:t>
      </w:r>
      <w:r>
        <w:rPr>
          <w:noProof/>
        </w:rPr>
        <w:tab/>
      </w:r>
      <w:r w:rsidR="00FF5BA3">
        <w:rPr>
          <w:noProof/>
        </w:rPr>
        <w:fldChar w:fldCharType="begin"/>
      </w:r>
      <w:r>
        <w:rPr>
          <w:noProof/>
        </w:rPr>
        <w:instrText xml:space="preserve"> PAGEREF _Toc461617810 \h </w:instrText>
      </w:r>
      <w:r w:rsidR="00FF5BA3">
        <w:rPr>
          <w:noProof/>
        </w:rPr>
      </w:r>
      <w:r w:rsidR="00FF5BA3">
        <w:rPr>
          <w:noProof/>
        </w:rPr>
        <w:fldChar w:fldCharType="separate"/>
      </w:r>
      <w:r w:rsidR="007C78F1">
        <w:rPr>
          <w:noProof/>
        </w:rPr>
        <w:t>8</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Study Objectives</w:t>
      </w:r>
      <w:r>
        <w:rPr>
          <w:noProof/>
        </w:rPr>
        <w:tab/>
      </w:r>
      <w:r w:rsidR="00FF5BA3">
        <w:rPr>
          <w:noProof/>
        </w:rPr>
        <w:fldChar w:fldCharType="begin"/>
      </w:r>
      <w:r>
        <w:rPr>
          <w:noProof/>
        </w:rPr>
        <w:instrText xml:space="preserve"> PAGEREF _Toc461617811 \h </w:instrText>
      </w:r>
      <w:r w:rsidR="00FF5BA3">
        <w:rPr>
          <w:noProof/>
        </w:rPr>
      </w:r>
      <w:r w:rsidR="00FF5BA3">
        <w:rPr>
          <w:noProof/>
        </w:rPr>
        <w:fldChar w:fldCharType="separate"/>
      </w:r>
      <w:r w:rsidR="007C78F1">
        <w:rPr>
          <w:noProof/>
        </w:rPr>
        <w:t>8</w:t>
      </w:r>
      <w:r w:rsidR="00FF5BA3">
        <w:rPr>
          <w:noProof/>
        </w:rPr>
        <w:fldChar w:fldCharType="end"/>
      </w:r>
    </w:p>
    <w:p w:rsidR="0092759A" w:rsidRDefault="0092759A">
      <w:pPr>
        <w:pStyle w:val="30"/>
        <w:rPr>
          <w:rFonts w:asciiTheme="minorHAnsi" w:eastAsiaTheme="minorEastAsia" w:hAnsiTheme="minorHAnsi" w:cstheme="minorBidi"/>
          <w:sz w:val="22"/>
          <w:szCs w:val="22"/>
        </w:rPr>
      </w:pPr>
      <w:r>
        <w:t>2.2.1</w:t>
      </w:r>
      <w:r>
        <w:rPr>
          <w:rFonts w:asciiTheme="minorHAnsi" w:eastAsiaTheme="minorEastAsia" w:hAnsiTheme="minorHAnsi" w:cstheme="minorBidi"/>
          <w:sz w:val="22"/>
          <w:szCs w:val="22"/>
        </w:rPr>
        <w:tab/>
      </w:r>
      <w:r>
        <w:t>Primary objective(s)</w:t>
      </w:r>
      <w:r>
        <w:tab/>
      </w:r>
      <w:r w:rsidR="00FF5BA3">
        <w:fldChar w:fldCharType="begin"/>
      </w:r>
      <w:r>
        <w:instrText xml:space="preserve"> PAGEREF _Toc461617812 \h </w:instrText>
      </w:r>
      <w:r w:rsidR="00FF5BA3">
        <w:fldChar w:fldCharType="separate"/>
      </w:r>
      <w:r w:rsidR="007C78F1">
        <w:t>8</w:t>
      </w:r>
      <w:r w:rsidR="00FF5BA3">
        <w:fldChar w:fldCharType="end"/>
      </w:r>
    </w:p>
    <w:p w:rsidR="0092759A" w:rsidRDefault="0092759A">
      <w:pPr>
        <w:pStyle w:val="30"/>
        <w:rPr>
          <w:rFonts w:asciiTheme="minorHAnsi" w:eastAsiaTheme="minorEastAsia" w:hAnsiTheme="minorHAnsi" w:cstheme="minorBidi"/>
          <w:sz w:val="22"/>
          <w:szCs w:val="22"/>
        </w:rPr>
      </w:pPr>
      <w:r>
        <w:t>2.2.2</w:t>
      </w:r>
      <w:r>
        <w:rPr>
          <w:rFonts w:asciiTheme="minorHAnsi" w:eastAsiaTheme="minorEastAsia" w:hAnsiTheme="minorHAnsi" w:cstheme="minorBidi"/>
          <w:sz w:val="22"/>
          <w:szCs w:val="22"/>
        </w:rPr>
        <w:tab/>
      </w:r>
      <w:r>
        <w:t>Secondary objectives</w:t>
      </w:r>
      <w:r>
        <w:tab/>
      </w:r>
      <w:r w:rsidR="00FF5BA3">
        <w:fldChar w:fldCharType="begin"/>
      </w:r>
      <w:r>
        <w:instrText xml:space="preserve"> PAGEREF _Toc461617813 \h </w:instrText>
      </w:r>
      <w:r w:rsidR="00FF5BA3">
        <w:fldChar w:fldCharType="separate"/>
      </w:r>
      <w:r w:rsidR="007C78F1">
        <w:t>9</w:t>
      </w:r>
      <w:r w:rsidR="00FF5BA3">
        <w:fldChar w:fldCharType="end"/>
      </w:r>
    </w:p>
    <w:p w:rsidR="0092759A" w:rsidRDefault="0092759A">
      <w:pPr>
        <w:pStyle w:val="30"/>
        <w:rPr>
          <w:rFonts w:asciiTheme="minorHAnsi" w:eastAsiaTheme="minorEastAsia" w:hAnsiTheme="minorHAnsi" w:cstheme="minorBidi"/>
          <w:sz w:val="22"/>
          <w:szCs w:val="22"/>
        </w:rPr>
      </w:pPr>
      <w:r>
        <w:t>2.2.3</w:t>
      </w:r>
      <w:r>
        <w:rPr>
          <w:rFonts w:asciiTheme="minorHAnsi" w:eastAsiaTheme="minorEastAsia" w:hAnsiTheme="minorHAnsi" w:cstheme="minorBidi"/>
          <w:sz w:val="22"/>
          <w:szCs w:val="22"/>
        </w:rPr>
        <w:tab/>
      </w:r>
      <w:r>
        <w:t>Exploratory objectives</w:t>
      </w:r>
      <w:r>
        <w:tab/>
      </w:r>
      <w:r w:rsidR="00FF5BA3">
        <w:fldChar w:fldCharType="begin"/>
      </w:r>
      <w:r>
        <w:instrText xml:space="preserve"> PAGEREF _Toc461617814 \h </w:instrText>
      </w:r>
      <w:r w:rsidR="00FF5BA3">
        <w:fldChar w:fldCharType="separate"/>
      </w:r>
      <w:r w:rsidR="007C78F1">
        <w:t>9</w:t>
      </w:r>
      <w:r w:rsidR="00FF5BA3">
        <w:fldChar w:fldCharType="end"/>
      </w:r>
    </w:p>
    <w:p w:rsidR="0092759A" w:rsidRDefault="0092759A">
      <w:pPr>
        <w:pStyle w:val="30"/>
        <w:rPr>
          <w:rFonts w:asciiTheme="minorHAnsi" w:eastAsiaTheme="minorEastAsia" w:hAnsiTheme="minorHAnsi" w:cstheme="minorBidi"/>
          <w:sz w:val="22"/>
          <w:szCs w:val="22"/>
        </w:rPr>
      </w:pPr>
      <w:r>
        <w:t>2.2.4</w:t>
      </w:r>
      <w:r>
        <w:rPr>
          <w:rFonts w:asciiTheme="minorHAnsi" w:eastAsiaTheme="minorEastAsia" w:hAnsiTheme="minorHAnsi" w:cstheme="minorBidi"/>
          <w:sz w:val="22"/>
          <w:szCs w:val="22"/>
        </w:rPr>
        <w:tab/>
      </w:r>
      <w:r>
        <w:t>Safety objectives</w:t>
      </w:r>
      <w:r>
        <w:tab/>
      </w:r>
      <w:r w:rsidR="00FF5BA3">
        <w:fldChar w:fldCharType="begin"/>
      </w:r>
      <w:r>
        <w:instrText xml:space="preserve"> PAGEREF _Toc461617815 \h </w:instrText>
      </w:r>
      <w:r w:rsidR="00FF5BA3">
        <w:fldChar w:fldCharType="separate"/>
      </w:r>
      <w:r w:rsidR="007C78F1">
        <w:t>9</w:t>
      </w:r>
      <w:r w:rsidR="00FF5BA3">
        <w:fldChar w:fldCharType="end"/>
      </w:r>
    </w:p>
    <w:p w:rsidR="0092759A" w:rsidRDefault="0092759A">
      <w:pPr>
        <w:pStyle w:val="20"/>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Investigational plan</w:t>
      </w:r>
      <w:r>
        <w:rPr>
          <w:noProof/>
        </w:rPr>
        <w:tab/>
      </w:r>
      <w:r w:rsidR="00FF5BA3">
        <w:rPr>
          <w:noProof/>
        </w:rPr>
        <w:fldChar w:fldCharType="begin"/>
      </w:r>
      <w:r>
        <w:rPr>
          <w:noProof/>
        </w:rPr>
        <w:instrText xml:space="preserve"> PAGEREF _Toc461617816 \h </w:instrText>
      </w:r>
      <w:r w:rsidR="00FF5BA3">
        <w:rPr>
          <w:noProof/>
        </w:rPr>
      </w:r>
      <w:r w:rsidR="00FF5BA3">
        <w:rPr>
          <w:noProof/>
        </w:rPr>
        <w:fldChar w:fldCharType="separate"/>
      </w:r>
      <w:r w:rsidR="007C78F1">
        <w:rPr>
          <w:noProof/>
        </w:rPr>
        <w:t>10</w:t>
      </w:r>
      <w:r w:rsidR="00FF5BA3">
        <w:rPr>
          <w:noProof/>
        </w:rPr>
        <w:fldChar w:fldCharType="end"/>
      </w:r>
    </w:p>
    <w:p w:rsidR="0092759A" w:rsidRDefault="0092759A">
      <w:pPr>
        <w:pStyle w:val="30"/>
        <w:rPr>
          <w:rFonts w:asciiTheme="minorHAnsi" w:eastAsiaTheme="minorEastAsia" w:hAnsiTheme="minorHAnsi" w:cstheme="minorBidi"/>
          <w:sz w:val="22"/>
          <w:szCs w:val="22"/>
        </w:rPr>
      </w:pPr>
      <w:r>
        <w:t>2.3.1</w:t>
      </w:r>
      <w:r>
        <w:rPr>
          <w:rFonts w:asciiTheme="minorHAnsi" w:eastAsiaTheme="minorEastAsia" w:hAnsiTheme="minorHAnsi" w:cstheme="minorBidi"/>
          <w:sz w:val="22"/>
          <w:szCs w:val="22"/>
        </w:rPr>
        <w:tab/>
      </w:r>
      <w:r>
        <w:t>Study design and randomisation</w:t>
      </w:r>
      <w:r>
        <w:tab/>
      </w:r>
      <w:r w:rsidR="00FF5BA3">
        <w:fldChar w:fldCharType="begin"/>
      </w:r>
      <w:r>
        <w:instrText xml:space="preserve"> PAGEREF _Toc461617817 \h </w:instrText>
      </w:r>
      <w:r w:rsidR="00FF5BA3">
        <w:fldChar w:fldCharType="separate"/>
      </w:r>
      <w:r w:rsidR="007C78F1">
        <w:t>10</w:t>
      </w:r>
      <w:r w:rsidR="00FF5BA3">
        <w:fldChar w:fldCharType="end"/>
      </w:r>
    </w:p>
    <w:p w:rsidR="0092759A" w:rsidRDefault="0092759A">
      <w:pPr>
        <w:pStyle w:val="30"/>
        <w:rPr>
          <w:rFonts w:asciiTheme="minorHAnsi" w:eastAsiaTheme="minorEastAsia" w:hAnsiTheme="minorHAnsi" w:cstheme="minorBidi"/>
          <w:sz w:val="22"/>
          <w:szCs w:val="22"/>
        </w:rPr>
      </w:pPr>
      <w:r>
        <w:t>2.3.1</w:t>
      </w:r>
      <w:r>
        <w:rPr>
          <w:rFonts w:asciiTheme="minorHAnsi" w:eastAsiaTheme="minorEastAsia" w:hAnsiTheme="minorHAnsi" w:cstheme="minorBidi"/>
          <w:sz w:val="22"/>
          <w:szCs w:val="22"/>
        </w:rPr>
        <w:tab/>
      </w:r>
      <w:r>
        <w:t>Blinding and breaking the study blind</w:t>
      </w:r>
      <w:r>
        <w:tab/>
      </w:r>
      <w:r w:rsidR="00FF5BA3">
        <w:fldChar w:fldCharType="begin"/>
      </w:r>
      <w:r>
        <w:instrText xml:space="preserve"> PAGEREF _Toc461617818 \h </w:instrText>
      </w:r>
      <w:r w:rsidR="00FF5BA3">
        <w:fldChar w:fldCharType="separate"/>
      </w:r>
      <w:r w:rsidR="007C78F1">
        <w:t>13</w:t>
      </w:r>
      <w:r w:rsidR="00FF5BA3">
        <w:fldChar w:fldCharType="end"/>
      </w:r>
    </w:p>
    <w:p w:rsidR="0092759A" w:rsidRDefault="0092759A">
      <w:pPr>
        <w:pStyle w:val="30"/>
        <w:rPr>
          <w:rFonts w:asciiTheme="minorHAnsi" w:eastAsiaTheme="minorEastAsia" w:hAnsiTheme="minorHAnsi" w:cstheme="minorBidi"/>
          <w:sz w:val="22"/>
          <w:szCs w:val="22"/>
        </w:rPr>
      </w:pPr>
      <w:r>
        <w:t>2.3.2</w:t>
      </w:r>
      <w:r>
        <w:rPr>
          <w:rFonts w:asciiTheme="minorHAnsi" w:eastAsiaTheme="minorEastAsia" w:hAnsiTheme="minorHAnsi" w:cstheme="minorBidi"/>
          <w:sz w:val="22"/>
          <w:szCs w:val="22"/>
        </w:rPr>
        <w:tab/>
      </w:r>
      <w:r>
        <w:t>Determination of sample size</w:t>
      </w:r>
      <w:r>
        <w:tab/>
      </w:r>
      <w:r w:rsidR="00FF5BA3">
        <w:fldChar w:fldCharType="begin"/>
      </w:r>
      <w:r>
        <w:instrText xml:space="preserve"> PAGEREF _Toc461617819 \h </w:instrText>
      </w:r>
      <w:r w:rsidR="00FF5BA3">
        <w:fldChar w:fldCharType="separate"/>
      </w:r>
      <w:r w:rsidR="007C78F1">
        <w:t>13</w:t>
      </w:r>
      <w:r w:rsidR="00FF5BA3">
        <w:fldChar w:fldCharType="end"/>
      </w:r>
    </w:p>
    <w:p w:rsidR="0092759A" w:rsidRDefault="0092759A">
      <w:pPr>
        <w:pStyle w:val="40"/>
        <w:rPr>
          <w:rFonts w:asciiTheme="minorHAnsi" w:eastAsiaTheme="minorEastAsia" w:hAnsiTheme="minorHAnsi" w:cstheme="minorBidi"/>
          <w:i w:val="0"/>
          <w:sz w:val="22"/>
        </w:rPr>
      </w:pPr>
      <w:r w:rsidRPr="00FA5FAA">
        <w:rPr>
          <w:rFonts w:ascii="Times New Roman" w:hAnsi="Times New Roman"/>
          <w:bCs/>
          <w:iCs/>
        </w:rPr>
        <w:t>2.3.2.1</w:t>
      </w:r>
      <w:r>
        <w:rPr>
          <w:rFonts w:asciiTheme="minorHAnsi" w:eastAsiaTheme="minorEastAsia" w:hAnsiTheme="minorHAnsi" w:cstheme="minorBidi"/>
          <w:i w:val="0"/>
          <w:sz w:val="22"/>
        </w:rPr>
        <w:tab/>
      </w:r>
      <w:r w:rsidRPr="00FA5FAA">
        <w:rPr>
          <w:rFonts w:ascii="Times New Roman" w:hAnsi="Times New Roman"/>
          <w:bCs/>
          <w:iCs/>
        </w:rPr>
        <w:t>Initial sample-size calculation:</w:t>
      </w:r>
      <w:r>
        <w:tab/>
      </w:r>
      <w:r w:rsidR="00FF5BA3">
        <w:fldChar w:fldCharType="begin"/>
      </w:r>
      <w:r>
        <w:instrText xml:space="preserve"> PAGEREF _Toc461617820 \h </w:instrText>
      </w:r>
      <w:r w:rsidR="00FF5BA3">
        <w:fldChar w:fldCharType="separate"/>
      </w:r>
      <w:r w:rsidR="007C78F1">
        <w:t>13</w:t>
      </w:r>
      <w:r w:rsidR="00FF5BA3">
        <w:fldChar w:fldCharType="end"/>
      </w:r>
    </w:p>
    <w:p w:rsidR="0092759A" w:rsidRDefault="0092759A">
      <w:pPr>
        <w:pStyle w:val="40"/>
        <w:rPr>
          <w:rFonts w:asciiTheme="minorHAnsi" w:eastAsiaTheme="minorEastAsia" w:hAnsiTheme="minorHAnsi" w:cstheme="minorBidi"/>
          <w:i w:val="0"/>
          <w:sz w:val="22"/>
        </w:rPr>
      </w:pPr>
      <w:r w:rsidRPr="00FA5FAA">
        <w:rPr>
          <w:rFonts w:ascii="Times New Roman" w:hAnsi="Times New Roman"/>
          <w:bCs/>
          <w:iCs/>
        </w:rPr>
        <w:t>2.3.2.2</w:t>
      </w:r>
      <w:r>
        <w:rPr>
          <w:rFonts w:asciiTheme="minorHAnsi" w:eastAsiaTheme="minorEastAsia" w:hAnsiTheme="minorHAnsi" w:cstheme="minorBidi"/>
          <w:i w:val="0"/>
          <w:sz w:val="22"/>
        </w:rPr>
        <w:tab/>
      </w:r>
      <w:r w:rsidRPr="00FA5FAA">
        <w:rPr>
          <w:rFonts w:ascii="Times New Roman" w:hAnsi="Times New Roman"/>
          <w:bCs/>
          <w:iCs/>
        </w:rPr>
        <w:t>Revised sample-size calculation:</w:t>
      </w:r>
      <w:r>
        <w:tab/>
      </w:r>
      <w:r w:rsidR="00FF5BA3">
        <w:fldChar w:fldCharType="begin"/>
      </w:r>
      <w:r>
        <w:instrText xml:space="preserve"> PAGEREF _Toc461617821 \h </w:instrText>
      </w:r>
      <w:r w:rsidR="00FF5BA3">
        <w:fldChar w:fldCharType="separate"/>
      </w:r>
      <w:r w:rsidR="007C78F1">
        <w:t>14</w:t>
      </w:r>
      <w:r w:rsidR="00FF5BA3">
        <w:fldChar w:fldCharType="end"/>
      </w:r>
    </w:p>
    <w:p w:rsidR="0092759A" w:rsidRDefault="0092759A">
      <w:pPr>
        <w:pStyle w:val="30"/>
        <w:rPr>
          <w:rFonts w:asciiTheme="minorHAnsi" w:eastAsiaTheme="minorEastAsia" w:hAnsiTheme="minorHAnsi" w:cstheme="minorBidi"/>
          <w:sz w:val="22"/>
          <w:szCs w:val="22"/>
        </w:rPr>
      </w:pPr>
      <w:r>
        <w:t>2.3.3</w:t>
      </w:r>
      <w:r>
        <w:rPr>
          <w:rFonts w:asciiTheme="minorHAnsi" w:eastAsiaTheme="minorEastAsia" w:hAnsiTheme="minorHAnsi" w:cstheme="minorBidi"/>
          <w:sz w:val="22"/>
          <w:szCs w:val="22"/>
        </w:rPr>
        <w:tab/>
      </w:r>
      <w:r>
        <w:t>Study assessments and study plan</w:t>
      </w:r>
      <w:r>
        <w:tab/>
      </w:r>
      <w:r w:rsidR="00FF5BA3">
        <w:fldChar w:fldCharType="begin"/>
      </w:r>
      <w:r>
        <w:instrText xml:space="preserve"> PAGEREF _Toc461617822 \h </w:instrText>
      </w:r>
      <w:r w:rsidR="00FF5BA3">
        <w:fldChar w:fldCharType="separate"/>
      </w:r>
      <w:r w:rsidR="007C78F1">
        <w:t>15</w:t>
      </w:r>
      <w:r w:rsidR="00FF5BA3">
        <w:fldChar w:fldCharType="end"/>
      </w:r>
    </w:p>
    <w:p w:rsidR="0092759A" w:rsidRDefault="0092759A">
      <w:pPr>
        <w:pStyle w:val="10"/>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Analysis datasets</w:t>
      </w:r>
      <w:r>
        <w:rPr>
          <w:noProof/>
        </w:rPr>
        <w:tab/>
      </w:r>
      <w:r w:rsidR="00FF5BA3">
        <w:rPr>
          <w:noProof/>
        </w:rPr>
        <w:fldChar w:fldCharType="begin"/>
      </w:r>
      <w:r>
        <w:rPr>
          <w:noProof/>
        </w:rPr>
        <w:instrText xml:space="preserve"> PAGEREF _Toc461617823 \h </w:instrText>
      </w:r>
      <w:r w:rsidR="00FF5BA3">
        <w:rPr>
          <w:noProof/>
        </w:rPr>
      </w:r>
      <w:r w:rsidR="00FF5BA3">
        <w:rPr>
          <w:noProof/>
        </w:rPr>
        <w:fldChar w:fldCharType="separate"/>
      </w:r>
      <w:r w:rsidR="007C78F1">
        <w:rPr>
          <w:noProof/>
        </w:rPr>
        <w:t>18</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Reasons for excluding patients from analysis datasets</w:t>
      </w:r>
      <w:r>
        <w:rPr>
          <w:noProof/>
        </w:rPr>
        <w:tab/>
      </w:r>
      <w:r w:rsidR="00FF5BA3">
        <w:rPr>
          <w:noProof/>
        </w:rPr>
        <w:fldChar w:fldCharType="begin"/>
      </w:r>
      <w:r>
        <w:rPr>
          <w:noProof/>
        </w:rPr>
        <w:instrText xml:space="preserve"> PAGEREF _Toc461617824 \h </w:instrText>
      </w:r>
      <w:r w:rsidR="00FF5BA3">
        <w:rPr>
          <w:noProof/>
        </w:rPr>
      </w:r>
      <w:r w:rsidR="00FF5BA3">
        <w:rPr>
          <w:noProof/>
        </w:rPr>
        <w:fldChar w:fldCharType="separate"/>
      </w:r>
      <w:r w:rsidR="007C78F1">
        <w:rPr>
          <w:noProof/>
        </w:rPr>
        <w:t>18</w:t>
      </w:r>
      <w:r w:rsidR="00FF5BA3">
        <w:rPr>
          <w:noProof/>
        </w:rPr>
        <w:fldChar w:fldCharType="end"/>
      </w:r>
    </w:p>
    <w:p w:rsidR="0092759A" w:rsidRDefault="0092759A">
      <w:pPr>
        <w:pStyle w:val="30"/>
        <w:rPr>
          <w:rFonts w:asciiTheme="minorHAnsi" w:eastAsiaTheme="minorEastAsia" w:hAnsiTheme="minorHAnsi" w:cstheme="minorBidi"/>
          <w:sz w:val="22"/>
          <w:szCs w:val="22"/>
        </w:rPr>
      </w:pPr>
      <w:r>
        <w:t>3.1.1</w:t>
      </w:r>
      <w:r>
        <w:rPr>
          <w:rFonts w:asciiTheme="minorHAnsi" w:eastAsiaTheme="minorEastAsia" w:hAnsiTheme="minorHAnsi" w:cstheme="minorBidi"/>
          <w:sz w:val="22"/>
          <w:szCs w:val="22"/>
        </w:rPr>
        <w:tab/>
      </w:r>
      <w:r>
        <w:t>Major protocol deviations</w:t>
      </w:r>
      <w:r>
        <w:tab/>
      </w:r>
      <w:r w:rsidR="00FF5BA3">
        <w:fldChar w:fldCharType="begin"/>
      </w:r>
      <w:r>
        <w:instrText xml:space="preserve"> PAGEREF _Toc461617825 \h </w:instrText>
      </w:r>
      <w:r w:rsidR="00FF5BA3">
        <w:fldChar w:fldCharType="separate"/>
      </w:r>
      <w:r w:rsidR="007C78F1">
        <w:t>18</w:t>
      </w:r>
      <w:r w:rsidR="00FF5BA3">
        <w:fldChar w:fldCharType="end"/>
      </w:r>
    </w:p>
    <w:p w:rsidR="0092759A" w:rsidRDefault="0092759A">
      <w:pPr>
        <w:pStyle w:val="30"/>
        <w:rPr>
          <w:rFonts w:asciiTheme="minorHAnsi" w:eastAsiaTheme="minorEastAsia" w:hAnsiTheme="minorHAnsi" w:cstheme="minorBidi"/>
          <w:sz w:val="22"/>
          <w:szCs w:val="22"/>
        </w:rPr>
      </w:pPr>
      <w:r>
        <w:t>3.1.2</w:t>
      </w:r>
      <w:r>
        <w:rPr>
          <w:rFonts w:asciiTheme="minorHAnsi" w:eastAsiaTheme="minorEastAsia" w:hAnsiTheme="minorHAnsi" w:cstheme="minorBidi"/>
          <w:sz w:val="22"/>
          <w:szCs w:val="22"/>
        </w:rPr>
        <w:tab/>
      </w:r>
      <w:r>
        <w:t>Minor protocol deviations</w:t>
      </w:r>
      <w:r>
        <w:tab/>
      </w:r>
      <w:r w:rsidR="00FF5BA3">
        <w:fldChar w:fldCharType="begin"/>
      </w:r>
      <w:r>
        <w:instrText xml:space="preserve"> PAGEREF _Toc461617826 \h </w:instrText>
      </w:r>
      <w:r w:rsidR="00FF5BA3">
        <w:fldChar w:fldCharType="separate"/>
      </w:r>
      <w:r w:rsidR="007C78F1">
        <w:t>18</w:t>
      </w:r>
      <w:r w:rsidR="00FF5BA3">
        <w:fldChar w:fldCharType="end"/>
      </w:r>
    </w:p>
    <w:p w:rsidR="0092759A" w:rsidRDefault="0092759A">
      <w:pPr>
        <w:pStyle w:val="30"/>
        <w:rPr>
          <w:rFonts w:asciiTheme="minorHAnsi" w:eastAsiaTheme="minorEastAsia" w:hAnsiTheme="minorHAnsi" w:cstheme="minorBidi"/>
          <w:sz w:val="22"/>
          <w:szCs w:val="22"/>
        </w:rPr>
      </w:pPr>
      <w:r>
        <w:t>3.1.3</w:t>
      </w:r>
      <w:r>
        <w:rPr>
          <w:rFonts w:asciiTheme="minorHAnsi" w:eastAsiaTheme="minorEastAsia" w:hAnsiTheme="minorHAnsi" w:cstheme="minorBidi"/>
          <w:sz w:val="22"/>
          <w:szCs w:val="22"/>
        </w:rPr>
        <w:tab/>
      </w:r>
      <w:r>
        <w:t>Study treatment discontinuations - Study discontinuations</w:t>
      </w:r>
      <w:r>
        <w:tab/>
      </w:r>
      <w:r w:rsidR="00FF5BA3">
        <w:fldChar w:fldCharType="begin"/>
      </w:r>
      <w:r>
        <w:instrText xml:space="preserve"> PAGEREF _Toc461617827 \h </w:instrText>
      </w:r>
      <w:r w:rsidR="00FF5BA3">
        <w:fldChar w:fldCharType="separate"/>
      </w:r>
      <w:r w:rsidR="007C78F1">
        <w:t>19</w:t>
      </w:r>
      <w:r w:rsidR="00FF5BA3">
        <w:fldChar w:fldCharType="end"/>
      </w:r>
    </w:p>
    <w:p w:rsidR="0092759A" w:rsidRDefault="0092759A">
      <w:pPr>
        <w:pStyle w:val="20"/>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Primary efficacy dataset: Full Analysis Set (FAS)</w:t>
      </w:r>
      <w:r>
        <w:rPr>
          <w:noProof/>
        </w:rPr>
        <w:tab/>
      </w:r>
      <w:r w:rsidR="00FF5BA3">
        <w:rPr>
          <w:noProof/>
        </w:rPr>
        <w:fldChar w:fldCharType="begin"/>
      </w:r>
      <w:r>
        <w:rPr>
          <w:noProof/>
        </w:rPr>
        <w:instrText xml:space="preserve"> PAGEREF _Toc461617828 \h </w:instrText>
      </w:r>
      <w:r w:rsidR="00FF5BA3">
        <w:rPr>
          <w:noProof/>
        </w:rPr>
      </w:r>
      <w:r w:rsidR="00FF5BA3">
        <w:rPr>
          <w:noProof/>
        </w:rPr>
        <w:fldChar w:fldCharType="separate"/>
      </w:r>
      <w:r w:rsidR="007C78F1">
        <w:rPr>
          <w:noProof/>
        </w:rPr>
        <w:t>19</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Per-protocol (PP) dataset</w:t>
      </w:r>
      <w:r>
        <w:rPr>
          <w:noProof/>
        </w:rPr>
        <w:tab/>
      </w:r>
      <w:r w:rsidR="00FF5BA3">
        <w:rPr>
          <w:noProof/>
        </w:rPr>
        <w:fldChar w:fldCharType="begin"/>
      </w:r>
      <w:r>
        <w:rPr>
          <w:noProof/>
        </w:rPr>
        <w:instrText xml:space="preserve"> PAGEREF _Toc461617829 \h </w:instrText>
      </w:r>
      <w:r w:rsidR="00FF5BA3">
        <w:rPr>
          <w:noProof/>
        </w:rPr>
      </w:r>
      <w:r w:rsidR="00FF5BA3">
        <w:rPr>
          <w:noProof/>
        </w:rPr>
        <w:fldChar w:fldCharType="separate"/>
      </w:r>
      <w:r w:rsidR="007C78F1">
        <w:rPr>
          <w:noProof/>
        </w:rPr>
        <w:t>20</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Safety (SAF) dataset</w:t>
      </w:r>
      <w:r>
        <w:rPr>
          <w:noProof/>
        </w:rPr>
        <w:tab/>
      </w:r>
      <w:r w:rsidR="00FF5BA3">
        <w:rPr>
          <w:noProof/>
        </w:rPr>
        <w:fldChar w:fldCharType="begin"/>
      </w:r>
      <w:r>
        <w:rPr>
          <w:noProof/>
        </w:rPr>
        <w:instrText xml:space="preserve"> PAGEREF _Toc461617830 \h </w:instrText>
      </w:r>
      <w:r w:rsidR="00FF5BA3">
        <w:rPr>
          <w:noProof/>
        </w:rPr>
      </w:r>
      <w:r w:rsidR="00FF5BA3">
        <w:rPr>
          <w:noProof/>
        </w:rPr>
        <w:fldChar w:fldCharType="separate"/>
      </w:r>
      <w:r w:rsidR="007C78F1">
        <w:rPr>
          <w:noProof/>
        </w:rPr>
        <w:t>21</w:t>
      </w:r>
      <w:r w:rsidR="00FF5BA3">
        <w:rPr>
          <w:noProof/>
        </w:rPr>
        <w:fldChar w:fldCharType="end"/>
      </w:r>
    </w:p>
    <w:p w:rsidR="0092759A" w:rsidRDefault="0092759A">
      <w:pPr>
        <w:pStyle w:val="10"/>
        <w:rPr>
          <w:rFonts w:asciiTheme="minorHAnsi" w:eastAsiaTheme="minorEastAsia" w:hAnsiTheme="minorHAnsi" w:cstheme="minorBidi"/>
          <w:b w:val="0"/>
          <w:noProof/>
          <w:sz w:val="22"/>
          <w:szCs w:val="22"/>
        </w:rPr>
      </w:pPr>
      <w:r>
        <w:rPr>
          <w:noProof/>
        </w:rPr>
        <w:t>4</w:t>
      </w:r>
      <w:r>
        <w:rPr>
          <w:rFonts w:asciiTheme="minorHAnsi" w:eastAsiaTheme="minorEastAsia" w:hAnsiTheme="minorHAnsi" w:cstheme="minorBidi"/>
          <w:b w:val="0"/>
          <w:noProof/>
          <w:sz w:val="22"/>
          <w:szCs w:val="22"/>
        </w:rPr>
        <w:tab/>
      </w:r>
      <w:r>
        <w:rPr>
          <w:noProof/>
        </w:rPr>
        <w:t>Endpoints for analysis</w:t>
      </w:r>
      <w:r>
        <w:rPr>
          <w:noProof/>
        </w:rPr>
        <w:tab/>
      </w:r>
      <w:r w:rsidR="00FF5BA3">
        <w:rPr>
          <w:noProof/>
        </w:rPr>
        <w:fldChar w:fldCharType="begin"/>
      </w:r>
      <w:r>
        <w:rPr>
          <w:noProof/>
        </w:rPr>
        <w:instrText xml:space="preserve"> PAGEREF _Toc461617831 \h </w:instrText>
      </w:r>
      <w:r w:rsidR="00FF5BA3">
        <w:rPr>
          <w:noProof/>
        </w:rPr>
      </w:r>
      <w:r w:rsidR="00FF5BA3">
        <w:rPr>
          <w:noProof/>
        </w:rPr>
        <w:fldChar w:fldCharType="separate"/>
      </w:r>
      <w:r w:rsidR="007C78F1">
        <w:rPr>
          <w:noProof/>
        </w:rPr>
        <w:t>21</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Efficacy endpoints</w:t>
      </w:r>
      <w:r>
        <w:rPr>
          <w:noProof/>
        </w:rPr>
        <w:tab/>
      </w:r>
      <w:r w:rsidR="00FF5BA3">
        <w:rPr>
          <w:noProof/>
        </w:rPr>
        <w:fldChar w:fldCharType="begin"/>
      </w:r>
      <w:r>
        <w:rPr>
          <w:noProof/>
        </w:rPr>
        <w:instrText xml:space="preserve"> PAGEREF _Toc461617832 \h </w:instrText>
      </w:r>
      <w:r w:rsidR="00FF5BA3">
        <w:rPr>
          <w:noProof/>
        </w:rPr>
      </w:r>
      <w:r w:rsidR="00FF5BA3">
        <w:rPr>
          <w:noProof/>
        </w:rPr>
        <w:fldChar w:fldCharType="separate"/>
      </w:r>
      <w:r w:rsidR="007C78F1">
        <w:rPr>
          <w:noProof/>
        </w:rPr>
        <w:t>21</w:t>
      </w:r>
      <w:r w:rsidR="00FF5BA3">
        <w:rPr>
          <w:noProof/>
        </w:rPr>
        <w:fldChar w:fldCharType="end"/>
      </w:r>
    </w:p>
    <w:p w:rsidR="0092759A" w:rsidRDefault="0092759A">
      <w:pPr>
        <w:pStyle w:val="30"/>
        <w:rPr>
          <w:rFonts w:asciiTheme="minorHAnsi" w:eastAsiaTheme="minorEastAsia" w:hAnsiTheme="minorHAnsi" w:cstheme="minorBidi"/>
          <w:sz w:val="22"/>
          <w:szCs w:val="22"/>
        </w:rPr>
      </w:pPr>
      <w:r>
        <w:lastRenderedPageBreak/>
        <w:t>4.1.1</w:t>
      </w:r>
      <w:r>
        <w:rPr>
          <w:rFonts w:asciiTheme="minorHAnsi" w:eastAsiaTheme="minorEastAsia" w:hAnsiTheme="minorHAnsi" w:cstheme="minorBidi"/>
          <w:sz w:val="22"/>
          <w:szCs w:val="22"/>
        </w:rPr>
        <w:tab/>
      </w:r>
      <w:r>
        <w:t>Primary efficacy endpoint(s)</w:t>
      </w:r>
      <w:r>
        <w:tab/>
      </w:r>
      <w:r w:rsidR="00FF5BA3">
        <w:fldChar w:fldCharType="begin"/>
      </w:r>
      <w:r>
        <w:instrText xml:space="preserve"> PAGEREF _Toc461617833 \h </w:instrText>
      </w:r>
      <w:r w:rsidR="00FF5BA3">
        <w:fldChar w:fldCharType="separate"/>
      </w:r>
      <w:r w:rsidR="007C78F1">
        <w:t>21</w:t>
      </w:r>
      <w:r w:rsidR="00FF5BA3">
        <w:fldChar w:fldCharType="end"/>
      </w:r>
    </w:p>
    <w:p w:rsidR="0092759A" w:rsidRDefault="0092759A">
      <w:pPr>
        <w:pStyle w:val="30"/>
        <w:rPr>
          <w:rFonts w:asciiTheme="minorHAnsi" w:eastAsiaTheme="minorEastAsia" w:hAnsiTheme="minorHAnsi" w:cstheme="minorBidi"/>
          <w:sz w:val="22"/>
          <w:szCs w:val="22"/>
        </w:rPr>
      </w:pPr>
      <w:r>
        <w:t>4.1.2</w:t>
      </w:r>
      <w:r>
        <w:rPr>
          <w:rFonts w:asciiTheme="minorHAnsi" w:eastAsiaTheme="minorEastAsia" w:hAnsiTheme="minorHAnsi" w:cstheme="minorBidi"/>
          <w:sz w:val="22"/>
          <w:szCs w:val="22"/>
        </w:rPr>
        <w:tab/>
      </w:r>
      <w:r>
        <w:t>Secondary efficacy endpoints</w:t>
      </w:r>
      <w:r>
        <w:tab/>
      </w:r>
      <w:r w:rsidR="00FF5BA3">
        <w:fldChar w:fldCharType="begin"/>
      </w:r>
      <w:r>
        <w:instrText xml:space="preserve"> PAGEREF _Toc461617834 \h </w:instrText>
      </w:r>
      <w:r w:rsidR="00FF5BA3">
        <w:fldChar w:fldCharType="separate"/>
      </w:r>
      <w:r w:rsidR="007C78F1">
        <w:t>21</w:t>
      </w:r>
      <w:r w:rsidR="00FF5BA3">
        <w:fldChar w:fldCharType="end"/>
      </w:r>
    </w:p>
    <w:p w:rsidR="0092759A" w:rsidRDefault="0092759A">
      <w:pPr>
        <w:pStyle w:val="20"/>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Safety endpoints</w:t>
      </w:r>
      <w:r>
        <w:rPr>
          <w:noProof/>
        </w:rPr>
        <w:tab/>
      </w:r>
      <w:r w:rsidR="00FF5BA3">
        <w:rPr>
          <w:noProof/>
        </w:rPr>
        <w:fldChar w:fldCharType="begin"/>
      </w:r>
      <w:r>
        <w:rPr>
          <w:noProof/>
        </w:rPr>
        <w:instrText xml:space="preserve"> PAGEREF _Toc461617835 \h </w:instrText>
      </w:r>
      <w:r w:rsidR="00FF5BA3">
        <w:rPr>
          <w:noProof/>
        </w:rPr>
      </w:r>
      <w:r w:rsidR="00FF5BA3">
        <w:rPr>
          <w:noProof/>
        </w:rPr>
        <w:fldChar w:fldCharType="separate"/>
      </w:r>
      <w:r w:rsidR="007C78F1">
        <w:rPr>
          <w:noProof/>
        </w:rPr>
        <w:t>21</w:t>
      </w:r>
      <w:r w:rsidR="00FF5BA3">
        <w:rPr>
          <w:noProof/>
        </w:rPr>
        <w:fldChar w:fldCharType="end"/>
      </w:r>
    </w:p>
    <w:p w:rsidR="0092759A" w:rsidRDefault="0092759A">
      <w:pPr>
        <w:pStyle w:val="30"/>
        <w:rPr>
          <w:rFonts w:asciiTheme="minorHAnsi" w:eastAsiaTheme="minorEastAsia" w:hAnsiTheme="minorHAnsi" w:cstheme="minorBidi"/>
          <w:sz w:val="22"/>
          <w:szCs w:val="22"/>
        </w:rPr>
      </w:pPr>
      <w:r>
        <w:t>4.2.1</w:t>
      </w:r>
      <w:r>
        <w:rPr>
          <w:rFonts w:asciiTheme="minorHAnsi" w:eastAsiaTheme="minorEastAsia" w:hAnsiTheme="minorHAnsi" w:cstheme="minorBidi"/>
          <w:sz w:val="22"/>
          <w:szCs w:val="22"/>
        </w:rPr>
        <w:tab/>
      </w:r>
      <w:r>
        <w:t>Adverse events</w:t>
      </w:r>
      <w:r>
        <w:tab/>
      </w:r>
      <w:r w:rsidR="00FF5BA3">
        <w:fldChar w:fldCharType="begin"/>
      </w:r>
      <w:r>
        <w:instrText xml:space="preserve"> PAGEREF _Toc461617836 \h </w:instrText>
      </w:r>
      <w:r w:rsidR="00FF5BA3">
        <w:fldChar w:fldCharType="separate"/>
      </w:r>
      <w:r w:rsidR="007C78F1">
        <w:t>21</w:t>
      </w:r>
      <w:r w:rsidR="00FF5BA3">
        <w:fldChar w:fldCharType="end"/>
      </w:r>
    </w:p>
    <w:p w:rsidR="0092759A" w:rsidRDefault="0092759A">
      <w:pPr>
        <w:pStyle w:val="30"/>
        <w:rPr>
          <w:rFonts w:asciiTheme="minorHAnsi" w:eastAsiaTheme="minorEastAsia" w:hAnsiTheme="minorHAnsi" w:cstheme="minorBidi"/>
          <w:sz w:val="22"/>
          <w:szCs w:val="22"/>
        </w:rPr>
      </w:pPr>
      <w:r>
        <w:t>4.2.2</w:t>
      </w:r>
      <w:r>
        <w:rPr>
          <w:rFonts w:asciiTheme="minorHAnsi" w:eastAsiaTheme="minorEastAsia" w:hAnsiTheme="minorHAnsi" w:cstheme="minorBidi"/>
          <w:sz w:val="22"/>
          <w:szCs w:val="22"/>
        </w:rPr>
        <w:tab/>
      </w:r>
      <w:r>
        <w:t>Laboratory endpoints</w:t>
      </w:r>
      <w:r>
        <w:tab/>
      </w:r>
      <w:r w:rsidR="00FF5BA3">
        <w:fldChar w:fldCharType="begin"/>
      </w:r>
      <w:r>
        <w:instrText xml:space="preserve"> PAGEREF _Toc461617837 \h </w:instrText>
      </w:r>
      <w:r w:rsidR="00FF5BA3">
        <w:fldChar w:fldCharType="separate"/>
      </w:r>
      <w:r w:rsidR="007C78F1">
        <w:t>22</w:t>
      </w:r>
      <w:r w:rsidR="00FF5BA3">
        <w:fldChar w:fldCharType="end"/>
      </w:r>
    </w:p>
    <w:p w:rsidR="0092759A" w:rsidRDefault="0092759A">
      <w:pPr>
        <w:pStyle w:val="30"/>
        <w:rPr>
          <w:rFonts w:asciiTheme="minorHAnsi" w:eastAsiaTheme="minorEastAsia" w:hAnsiTheme="minorHAnsi" w:cstheme="minorBidi"/>
          <w:sz w:val="22"/>
          <w:szCs w:val="22"/>
        </w:rPr>
      </w:pPr>
      <w:r>
        <w:t>4.2.3</w:t>
      </w:r>
      <w:r>
        <w:rPr>
          <w:rFonts w:asciiTheme="minorHAnsi" w:eastAsiaTheme="minorEastAsia" w:hAnsiTheme="minorHAnsi" w:cstheme="minorBidi"/>
          <w:sz w:val="22"/>
          <w:szCs w:val="22"/>
        </w:rPr>
        <w:tab/>
      </w:r>
      <w:r>
        <w:t>Other safety endpoints</w:t>
      </w:r>
      <w:r>
        <w:tab/>
      </w:r>
      <w:r w:rsidR="00FF5BA3">
        <w:fldChar w:fldCharType="begin"/>
      </w:r>
      <w:r>
        <w:instrText xml:space="preserve"> PAGEREF _Toc461617838 \h </w:instrText>
      </w:r>
      <w:r w:rsidR="00FF5BA3">
        <w:fldChar w:fldCharType="separate"/>
      </w:r>
      <w:r w:rsidR="007C78F1">
        <w:t>23</w:t>
      </w:r>
      <w:r w:rsidR="00FF5BA3">
        <w:fldChar w:fldCharType="end"/>
      </w:r>
    </w:p>
    <w:p w:rsidR="0092759A" w:rsidRDefault="0092759A">
      <w:pPr>
        <w:pStyle w:val="40"/>
        <w:rPr>
          <w:rFonts w:asciiTheme="minorHAnsi" w:eastAsiaTheme="minorEastAsia" w:hAnsiTheme="minorHAnsi" w:cstheme="minorBidi"/>
          <w:i w:val="0"/>
          <w:sz w:val="22"/>
        </w:rPr>
      </w:pPr>
      <w:r>
        <w:t>4.2.3.1</w:t>
      </w:r>
      <w:r>
        <w:rPr>
          <w:rFonts w:asciiTheme="minorHAnsi" w:eastAsiaTheme="minorEastAsia" w:hAnsiTheme="minorHAnsi" w:cstheme="minorBidi"/>
          <w:i w:val="0"/>
          <w:sz w:val="22"/>
        </w:rPr>
        <w:tab/>
      </w:r>
      <w:r>
        <w:t>Physical examination and Vital signs</w:t>
      </w:r>
      <w:r>
        <w:tab/>
      </w:r>
      <w:r w:rsidR="00FF5BA3">
        <w:fldChar w:fldCharType="begin"/>
      </w:r>
      <w:r>
        <w:instrText xml:space="preserve"> PAGEREF _Toc461617839 \h </w:instrText>
      </w:r>
      <w:r w:rsidR="00FF5BA3">
        <w:fldChar w:fldCharType="separate"/>
      </w:r>
      <w:r w:rsidR="007C78F1">
        <w:t>23</w:t>
      </w:r>
      <w:r w:rsidR="00FF5BA3">
        <w:fldChar w:fldCharType="end"/>
      </w:r>
    </w:p>
    <w:p w:rsidR="0092759A" w:rsidRDefault="0092759A">
      <w:pPr>
        <w:pStyle w:val="40"/>
        <w:rPr>
          <w:rFonts w:asciiTheme="minorHAnsi" w:eastAsiaTheme="minorEastAsia" w:hAnsiTheme="minorHAnsi" w:cstheme="minorBidi"/>
          <w:i w:val="0"/>
          <w:sz w:val="22"/>
        </w:rPr>
      </w:pPr>
      <w:r>
        <w:t>4.2.3.2</w:t>
      </w:r>
      <w:r>
        <w:rPr>
          <w:rFonts w:asciiTheme="minorHAnsi" w:eastAsiaTheme="minorEastAsia" w:hAnsiTheme="minorHAnsi" w:cstheme="minorBidi"/>
          <w:i w:val="0"/>
          <w:sz w:val="22"/>
        </w:rPr>
        <w:tab/>
      </w:r>
      <w:r>
        <w:t>ECG</w:t>
      </w:r>
      <w:r>
        <w:tab/>
      </w:r>
      <w:r w:rsidR="00FF5BA3">
        <w:fldChar w:fldCharType="begin"/>
      </w:r>
      <w:r>
        <w:instrText xml:space="preserve"> PAGEREF _Toc461617840 \h </w:instrText>
      </w:r>
      <w:r w:rsidR="00FF5BA3">
        <w:fldChar w:fldCharType="separate"/>
      </w:r>
      <w:r w:rsidR="007C78F1">
        <w:t>23</w:t>
      </w:r>
      <w:r w:rsidR="00FF5BA3">
        <w:fldChar w:fldCharType="end"/>
      </w:r>
    </w:p>
    <w:p w:rsidR="0092759A" w:rsidRDefault="0092759A">
      <w:pPr>
        <w:pStyle w:val="40"/>
        <w:rPr>
          <w:rFonts w:asciiTheme="minorHAnsi" w:eastAsiaTheme="minorEastAsia" w:hAnsiTheme="minorHAnsi" w:cstheme="minorBidi"/>
          <w:i w:val="0"/>
          <w:sz w:val="22"/>
        </w:rPr>
      </w:pPr>
      <w:r>
        <w:t>4.2.3.3</w:t>
      </w:r>
      <w:r>
        <w:rPr>
          <w:rFonts w:asciiTheme="minorHAnsi" w:eastAsiaTheme="minorEastAsia" w:hAnsiTheme="minorHAnsi" w:cstheme="minorBidi"/>
          <w:i w:val="0"/>
          <w:sz w:val="22"/>
        </w:rPr>
        <w:tab/>
      </w:r>
      <w:r>
        <w:t>ECOG</w:t>
      </w:r>
      <w:r>
        <w:tab/>
      </w:r>
      <w:r w:rsidR="00FF5BA3">
        <w:fldChar w:fldCharType="begin"/>
      </w:r>
      <w:r>
        <w:instrText xml:space="preserve"> PAGEREF _Toc461617841 \h </w:instrText>
      </w:r>
      <w:r w:rsidR="00FF5BA3">
        <w:fldChar w:fldCharType="separate"/>
      </w:r>
      <w:r w:rsidR="007C78F1">
        <w:t>23</w:t>
      </w:r>
      <w:r w:rsidR="00FF5BA3">
        <w:fldChar w:fldCharType="end"/>
      </w:r>
    </w:p>
    <w:p w:rsidR="0092759A" w:rsidRDefault="0092759A">
      <w:pPr>
        <w:pStyle w:val="40"/>
        <w:rPr>
          <w:rFonts w:asciiTheme="minorHAnsi" w:eastAsiaTheme="minorEastAsia" w:hAnsiTheme="minorHAnsi" w:cstheme="minorBidi"/>
          <w:i w:val="0"/>
          <w:sz w:val="22"/>
        </w:rPr>
      </w:pPr>
      <w:r>
        <w:t>4.2.3.4</w:t>
      </w:r>
      <w:r>
        <w:rPr>
          <w:rFonts w:asciiTheme="minorHAnsi" w:eastAsiaTheme="minorEastAsia" w:hAnsiTheme="minorHAnsi" w:cstheme="minorBidi"/>
          <w:i w:val="0"/>
          <w:sz w:val="22"/>
        </w:rPr>
        <w:tab/>
      </w:r>
      <w:r>
        <w:t>Concomitant medication</w:t>
      </w:r>
      <w:r>
        <w:tab/>
      </w:r>
      <w:r w:rsidR="00FF5BA3">
        <w:fldChar w:fldCharType="begin"/>
      </w:r>
      <w:r>
        <w:instrText xml:space="preserve"> PAGEREF _Toc461617842 \h </w:instrText>
      </w:r>
      <w:r w:rsidR="00FF5BA3">
        <w:fldChar w:fldCharType="separate"/>
      </w:r>
      <w:r w:rsidR="007C78F1">
        <w:t>24</w:t>
      </w:r>
      <w:r w:rsidR="00FF5BA3">
        <w:fldChar w:fldCharType="end"/>
      </w:r>
    </w:p>
    <w:p w:rsidR="0092759A" w:rsidRDefault="0092759A">
      <w:pPr>
        <w:pStyle w:val="10"/>
        <w:rPr>
          <w:rFonts w:asciiTheme="minorHAnsi" w:eastAsiaTheme="minorEastAsia" w:hAnsiTheme="minorHAnsi" w:cstheme="minorBidi"/>
          <w:b w:val="0"/>
          <w:noProof/>
          <w:sz w:val="22"/>
          <w:szCs w:val="22"/>
        </w:rPr>
      </w:pPr>
      <w:r>
        <w:rPr>
          <w:noProof/>
        </w:rPr>
        <w:t>5</w:t>
      </w:r>
      <w:r>
        <w:rPr>
          <w:rFonts w:asciiTheme="minorHAnsi" w:eastAsiaTheme="minorEastAsia" w:hAnsiTheme="minorHAnsi" w:cstheme="minorBidi"/>
          <w:b w:val="0"/>
          <w:noProof/>
          <w:sz w:val="22"/>
          <w:szCs w:val="22"/>
        </w:rPr>
        <w:tab/>
      </w:r>
      <w:r>
        <w:rPr>
          <w:noProof/>
        </w:rPr>
        <w:t>Statistical and Analytical Methods</w:t>
      </w:r>
      <w:r>
        <w:rPr>
          <w:noProof/>
        </w:rPr>
        <w:tab/>
      </w:r>
      <w:r w:rsidR="00FF5BA3">
        <w:rPr>
          <w:noProof/>
        </w:rPr>
        <w:fldChar w:fldCharType="begin"/>
      </w:r>
      <w:r>
        <w:rPr>
          <w:noProof/>
        </w:rPr>
        <w:instrText xml:space="preserve"> PAGEREF _Toc461617843 \h </w:instrText>
      </w:r>
      <w:r w:rsidR="00FF5BA3">
        <w:rPr>
          <w:noProof/>
        </w:rPr>
      </w:r>
      <w:r w:rsidR="00FF5BA3">
        <w:rPr>
          <w:noProof/>
        </w:rPr>
        <w:fldChar w:fldCharType="separate"/>
      </w:r>
      <w:r w:rsidR="007C78F1">
        <w:rPr>
          <w:noProof/>
        </w:rPr>
        <w:t>24</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General considerations</w:t>
      </w:r>
      <w:r>
        <w:rPr>
          <w:noProof/>
        </w:rPr>
        <w:tab/>
      </w:r>
      <w:r w:rsidR="00FF5BA3">
        <w:rPr>
          <w:noProof/>
        </w:rPr>
        <w:fldChar w:fldCharType="begin"/>
      </w:r>
      <w:r>
        <w:rPr>
          <w:noProof/>
        </w:rPr>
        <w:instrText xml:space="preserve"> PAGEREF _Toc461617844 \h </w:instrText>
      </w:r>
      <w:r w:rsidR="00FF5BA3">
        <w:rPr>
          <w:noProof/>
        </w:rPr>
      </w:r>
      <w:r w:rsidR="00FF5BA3">
        <w:rPr>
          <w:noProof/>
        </w:rPr>
        <w:fldChar w:fldCharType="separate"/>
      </w:r>
      <w:r w:rsidR="007C78F1">
        <w:rPr>
          <w:noProof/>
        </w:rPr>
        <w:t>24</w:t>
      </w:r>
      <w:r w:rsidR="00FF5BA3">
        <w:rPr>
          <w:noProof/>
        </w:rPr>
        <w:fldChar w:fldCharType="end"/>
      </w:r>
    </w:p>
    <w:p w:rsidR="0092759A" w:rsidRDefault="0092759A">
      <w:pPr>
        <w:pStyle w:val="30"/>
        <w:rPr>
          <w:rFonts w:asciiTheme="minorHAnsi" w:eastAsiaTheme="minorEastAsia" w:hAnsiTheme="minorHAnsi" w:cstheme="minorBidi"/>
          <w:sz w:val="22"/>
          <w:szCs w:val="22"/>
        </w:rPr>
      </w:pPr>
      <w:r>
        <w:t>5.1.1</w:t>
      </w:r>
      <w:r>
        <w:rPr>
          <w:rFonts w:asciiTheme="minorHAnsi" w:eastAsiaTheme="minorEastAsia" w:hAnsiTheme="minorHAnsi" w:cstheme="minorBidi"/>
          <w:sz w:val="22"/>
          <w:szCs w:val="22"/>
        </w:rPr>
        <w:tab/>
      </w:r>
      <w:r>
        <w:t>Presentation of results</w:t>
      </w:r>
      <w:r>
        <w:tab/>
      </w:r>
      <w:r w:rsidR="00FF5BA3">
        <w:fldChar w:fldCharType="begin"/>
      </w:r>
      <w:r>
        <w:instrText xml:space="preserve"> PAGEREF _Toc461617845 \h </w:instrText>
      </w:r>
      <w:r w:rsidR="00FF5BA3">
        <w:fldChar w:fldCharType="separate"/>
      </w:r>
      <w:r w:rsidR="007C78F1">
        <w:t>24</w:t>
      </w:r>
      <w:r w:rsidR="00FF5BA3">
        <w:fldChar w:fldCharType="end"/>
      </w:r>
    </w:p>
    <w:p w:rsidR="0092759A" w:rsidRDefault="0092759A">
      <w:pPr>
        <w:pStyle w:val="30"/>
        <w:rPr>
          <w:rFonts w:asciiTheme="minorHAnsi" w:eastAsiaTheme="minorEastAsia" w:hAnsiTheme="minorHAnsi" w:cstheme="minorBidi"/>
          <w:sz w:val="22"/>
          <w:szCs w:val="22"/>
        </w:rPr>
      </w:pPr>
      <w:r>
        <w:t>5.1.2</w:t>
      </w:r>
      <w:r>
        <w:rPr>
          <w:rFonts w:asciiTheme="minorHAnsi" w:eastAsiaTheme="minorEastAsia" w:hAnsiTheme="minorHAnsi" w:cstheme="minorBidi"/>
          <w:sz w:val="22"/>
          <w:szCs w:val="22"/>
        </w:rPr>
        <w:tab/>
      </w:r>
      <w:r>
        <w:t>Significance testing and estimation</w:t>
      </w:r>
      <w:r>
        <w:tab/>
      </w:r>
      <w:r w:rsidR="00FF5BA3">
        <w:fldChar w:fldCharType="begin"/>
      </w:r>
      <w:r>
        <w:instrText xml:space="preserve"> PAGEREF _Toc461617846 \h </w:instrText>
      </w:r>
      <w:r w:rsidR="00FF5BA3">
        <w:fldChar w:fldCharType="separate"/>
      </w:r>
      <w:r w:rsidR="007C78F1">
        <w:t>24</w:t>
      </w:r>
      <w:r w:rsidR="00FF5BA3">
        <w:fldChar w:fldCharType="end"/>
      </w:r>
    </w:p>
    <w:p w:rsidR="0092759A" w:rsidRDefault="0092759A">
      <w:pPr>
        <w:pStyle w:val="20"/>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Planned analysis</w:t>
      </w:r>
      <w:r>
        <w:rPr>
          <w:noProof/>
        </w:rPr>
        <w:tab/>
      </w:r>
      <w:r w:rsidR="00FF5BA3">
        <w:rPr>
          <w:noProof/>
        </w:rPr>
        <w:fldChar w:fldCharType="begin"/>
      </w:r>
      <w:r>
        <w:rPr>
          <w:noProof/>
        </w:rPr>
        <w:instrText xml:space="preserve"> PAGEREF _Toc461617847 \h </w:instrText>
      </w:r>
      <w:r w:rsidR="00FF5BA3">
        <w:rPr>
          <w:noProof/>
        </w:rPr>
      </w:r>
      <w:r w:rsidR="00FF5BA3">
        <w:rPr>
          <w:noProof/>
        </w:rPr>
        <w:fldChar w:fldCharType="separate"/>
      </w:r>
      <w:r w:rsidR="007C78F1">
        <w:rPr>
          <w:noProof/>
        </w:rPr>
        <w:t>25</w:t>
      </w:r>
      <w:r w:rsidR="00FF5BA3">
        <w:rPr>
          <w:noProof/>
        </w:rPr>
        <w:fldChar w:fldCharType="end"/>
      </w:r>
    </w:p>
    <w:p w:rsidR="0092759A" w:rsidRDefault="0092759A">
      <w:pPr>
        <w:pStyle w:val="30"/>
        <w:rPr>
          <w:rFonts w:asciiTheme="minorHAnsi" w:eastAsiaTheme="minorEastAsia" w:hAnsiTheme="minorHAnsi" w:cstheme="minorBidi"/>
          <w:sz w:val="22"/>
          <w:szCs w:val="22"/>
        </w:rPr>
      </w:pPr>
      <w:r>
        <w:t>5.2.1</w:t>
      </w:r>
      <w:r>
        <w:rPr>
          <w:rFonts w:asciiTheme="minorHAnsi" w:eastAsiaTheme="minorEastAsia" w:hAnsiTheme="minorHAnsi" w:cstheme="minorBidi"/>
          <w:sz w:val="22"/>
          <w:szCs w:val="22"/>
        </w:rPr>
        <w:tab/>
      </w:r>
      <w:r>
        <w:t>Demographics and baseline characteristics</w:t>
      </w:r>
      <w:r>
        <w:tab/>
      </w:r>
      <w:r w:rsidR="00FF5BA3">
        <w:fldChar w:fldCharType="begin"/>
      </w:r>
      <w:r>
        <w:instrText xml:space="preserve"> PAGEREF _Toc461617848 \h </w:instrText>
      </w:r>
      <w:r w:rsidR="00FF5BA3">
        <w:fldChar w:fldCharType="separate"/>
      </w:r>
      <w:r w:rsidR="007C78F1">
        <w:t>25</w:t>
      </w:r>
      <w:r w:rsidR="00FF5BA3">
        <w:fldChar w:fldCharType="end"/>
      </w:r>
    </w:p>
    <w:p w:rsidR="0092759A" w:rsidRDefault="0092759A">
      <w:pPr>
        <w:pStyle w:val="30"/>
        <w:rPr>
          <w:rFonts w:asciiTheme="minorHAnsi" w:eastAsiaTheme="minorEastAsia" w:hAnsiTheme="minorHAnsi" w:cstheme="minorBidi"/>
          <w:sz w:val="22"/>
          <w:szCs w:val="22"/>
        </w:rPr>
      </w:pPr>
      <w:r>
        <w:t>5.2.2</w:t>
      </w:r>
      <w:r>
        <w:rPr>
          <w:rFonts w:asciiTheme="minorHAnsi" w:eastAsiaTheme="minorEastAsia" w:hAnsiTheme="minorHAnsi" w:cstheme="minorBidi"/>
          <w:sz w:val="22"/>
          <w:szCs w:val="22"/>
        </w:rPr>
        <w:tab/>
      </w:r>
      <w:r>
        <w:t>Patient disposition and study discontinuations</w:t>
      </w:r>
      <w:r>
        <w:tab/>
      </w:r>
      <w:r w:rsidR="00FF5BA3">
        <w:fldChar w:fldCharType="begin"/>
      </w:r>
      <w:r>
        <w:instrText xml:space="preserve"> PAGEREF _Toc461617849 \h </w:instrText>
      </w:r>
      <w:r w:rsidR="00FF5BA3">
        <w:fldChar w:fldCharType="separate"/>
      </w:r>
      <w:r w:rsidR="007C78F1">
        <w:t>26</w:t>
      </w:r>
      <w:r w:rsidR="00FF5BA3">
        <w:fldChar w:fldCharType="end"/>
      </w:r>
    </w:p>
    <w:p w:rsidR="0092759A" w:rsidRDefault="0092759A">
      <w:pPr>
        <w:pStyle w:val="30"/>
        <w:rPr>
          <w:rFonts w:asciiTheme="minorHAnsi" w:eastAsiaTheme="minorEastAsia" w:hAnsiTheme="minorHAnsi" w:cstheme="minorBidi"/>
          <w:sz w:val="22"/>
          <w:szCs w:val="22"/>
        </w:rPr>
      </w:pPr>
      <w:r>
        <w:t>5.2.3</w:t>
      </w:r>
      <w:r>
        <w:rPr>
          <w:rFonts w:asciiTheme="minorHAnsi" w:eastAsiaTheme="minorEastAsia" w:hAnsiTheme="minorHAnsi" w:cstheme="minorBidi"/>
          <w:sz w:val="22"/>
          <w:szCs w:val="22"/>
        </w:rPr>
        <w:tab/>
      </w:r>
      <w:r>
        <w:t>Extent of exposure and compliance</w:t>
      </w:r>
      <w:r>
        <w:tab/>
      </w:r>
      <w:r w:rsidR="00FF5BA3">
        <w:fldChar w:fldCharType="begin"/>
      </w:r>
      <w:r>
        <w:instrText xml:space="preserve"> PAGEREF _Toc461617850 \h </w:instrText>
      </w:r>
      <w:r w:rsidR="00FF5BA3">
        <w:fldChar w:fldCharType="separate"/>
      </w:r>
      <w:r w:rsidR="007C78F1">
        <w:t>26</w:t>
      </w:r>
      <w:r w:rsidR="00FF5BA3">
        <w:fldChar w:fldCharType="end"/>
      </w:r>
    </w:p>
    <w:p w:rsidR="0092759A" w:rsidRDefault="0092759A">
      <w:pPr>
        <w:pStyle w:val="30"/>
        <w:rPr>
          <w:rFonts w:asciiTheme="minorHAnsi" w:eastAsiaTheme="minorEastAsia" w:hAnsiTheme="minorHAnsi" w:cstheme="minorBidi"/>
          <w:sz w:val="22"/>
          <w:szCs w:val="22"/>
        </w:rPr>
      </w:pPr>
      <w:r>
        <w:t>5.2.4</w:t>
      </w:r>
      <w:r>
        <w:rPr>
          <w:rFonts w:asciiTheme="minorHAnsi" w:eastAsiaTheme="minorEastAsia" w:hAnsiTheme="minorHAnsi" w:cstheme="minorBidi"/>
          <w:sz w:val="22"/>
          <w:szCs w:val="22"/>
        </w:rPr>
        <w:tab/>
      </w:r>
      <w:r>
        <w:t>Efficacy analyses</w:t>
      </w:r>
      <w:r>
        <w:tab/>
      </w:r>
      <w:r w:rsidR="00FF5BA3">
        <w:fldChar w:fldCharType="begin"/>
      </w:r>
      <w:r>
        <w:instrText xml:space="preserve"> PAGEREF _Toc461617851 \h </w:instrText>
      </w:r>
      <w:r w:rsidR="00FF5BA3">
        <w:fldChar w:fldCharType="separate"/>
      </w:r>
      <w:r w:rsidR="007C78F1">
        <w:t>27</w:t>
      </w:r>
      <w:r w:rsidR="00FF5BA3">
        <w:fldChar w:fldCharType="end"/>
      </w:r>
    </w:p>
    <w:p w:rsidR="0092759A" w:rsidRDefault="0092759A">
      <w:pPr>
        <w:pStyle w:val="40"/>
        <w:rPr>
          <w:rFonts w:asciiTheme="minorHAnsi" w:eastAsiaTheme="minorEastAsia" w:hAnsiTheme="minorHAnsi" w:cstheme="minorBidi"/>
          <w:i w:val="0"/>
          <w:sz w:val="22"/>
        </w:rPr>
      </w:pPr>
      <w:r>
        <w:t>5.2.4.1</w:t>
      </w:r>
      <w:r>
        <w:rPr>
          <w:rFonts w:asciiTheme="minorHAnsi" w:eastAsiaTheme="minorEastAsia" w:hAnsiTheme="minorHAnsi" w:cstheme="minorBidi"/>
          <w:i w:val="0"/>
          <w:sz w:val="22"/>
        </w:rPr>
        <w:tab/>
      </w:r>
      <w:r>
        <w:t>Primary efficacy analysis</w:t>
      </w:r>
      <w:r>
        <w:tab/>
      </w:r>
      <w:r w:rsidR="00FF5BA3">
        <w:fldChar w:fldCharType="begin"/>
      </w:r>
      <w:r>
        <w:instrText xml:space="preserve"> PAGEREF _Toc461617852 \h </w:instrText>
      </w:r>
      <w:r w:rsidR="00FF5BA3">
        <w:fldChar w:fldCharType="separate"/>
      </w:r>
      <w:r w:rsidR="007C78F1">
        <w:t>27</w:t>
      </w:r>
      <w:r w:rsidR="00FF5BA3">
        <w:fldChar w:fldCharType="end"/>
      </w:r>
    </w:p>
    <w:p w:rsidR="0092759A" w:rsidRDefault="0092759A">
      <w:pPr>
        <w:pStyle w:val="40"/>
        <w:rPr>
          <w:rFonts w:asciiTheme="minorHAnsi" w:eastAsiaTheme="minorEastAsia" w:hAnsiTheme="minorHAnsi" w:cstheme="minorBidi"/>
          <w:i w:val="0"/>
          <w:sz w:val="22"/>
        </w:rPr>
      </w:pPr>
      <w:r>
        <w:t>5.2.4.2</w:t>
      </w:r>
      <w:r>
        <w:rPr>
          <w:rFonts w:asciiTheme="minorHAnsi" w:eastAsiaTheme="minorEastAsia" w:hAnsiTheme="minorHAnsi" w:cstheme="minorBidi"/>
          <w:i w:val="0"/>
          <w:sz w:val="22"/>
        </w:rPr>
        <w:tab/>
      </w:r>
      <w:r>
        <w:t>Sensitivity efficacy analysis</w:t>
      </w:r>
      <w:r>
        <w:tab/>
      </w:r>
      <w:r w:rsidR="00FF5BA3">
        <w:fldChar w:fldCharType="begin"/>
      </w:r>
      <w:r>
        <w:instrText xml:space="preserve"> PAGEREF _Toc461617853 \h </w:instrText>
      </w:r>
      <w:r w:rsidR="00FF5BA3">
        <w:fldChar w:fldCharType="separate"/>
      </w:r>
      <w:r w:rsidR="007C78F1">
        <w:t>27</w:t>
      </w:r>
      <w:r w:rsidR="00FF5BA3">
        <w:fldChar w:fldCharType="end"/>
      </w:r>
    </w:p>
    <w:p w:rsidR="0092759A" w:rsidRDefault="0092759A">
      <w:pPr>
        <w:pStyle w:val="40"/>
        <w:rPr>
          <w:rFonts w:asciiTheme="minorHAnsi" w:eastAsiaTheme="minorEastAsia" w:hAnsiTheme="minorHAnsi" w:cstheme="minorBidi"/>
          <w:i w:val="0"/>
          <w:sz w:val="22"/>
        </w:rPr>
      </w:pPr>
      <w:r>
        <w:t>5.2.4.3</w:t>
      </w:r>
      <w:r>
        <w:rPr>
          <w:rFonts w:asciiTheme="minorHAnsi" w:eastAsiaTheme="minorEastAsia" w:hAnsiTheme="minorHAnsi" w:cstheme="minorBidi"/>
          <w:i w:val="0"/>
          <w:sz w:val="22"/>
        </w:rPr>
        <w:tab/>
      </w:r>
      <w:r>
        <w:t>Secondary efficacy analyses</w:t>
      </w:r>
      <w:r>
        <w:tab/>
      </w:r>
      <w:r w:rsidR="00FF5BA3">
        <w:fldChar w:fldCharType="begin"/>
      </w:r>
      <w:r>
        <w:instrText xml:space="preserve"> PAGEREF _Toc461617854 \h </w:instrText>
      </w:r>
      <w:r w:rsidR="00FF5BA3">
        <w:fldChar w:fldCharType="separate"/>
      </w:r>
      <w:r w:rsidR="007C78F1">
        <w:t>28</w:t>
      </w:r>
      <w:r w:rsidR="00FF5BA3">
        <w:fldChar w:fldCharType="end"/>
      </w:r>
    </w:p>
    <w:p w:rsidR="0092759A" w:rsidRDefault="0092759A">
      <w:pPr>
        <w:pStyle w:val="40"/>
        <w:rPr>
          <w:rFonts w:asciiTheme="minorHAnsi" w:eastAsiaTheme="minorEastAsia" w:hAnsiTheme="minorHAnsi" w:cstheme="minorBidi"/>
          <w:i w:val="0"/>
          <w:sz w:val="22"/>
        </w:rPr>
      </w:pPr>
      <w:r>
        <w:t>5.2.4.4</w:t>
      </w:r>
      <w:r>
        <w:rPr>
          <w:rFonts w:asciiTheme="minorHAnsi" w:eastAsiaTheme="minorEastAsia" w:hAnsiTheme="minorHAnsi" w:cstheme="minorBidi"/>
          <w:i w:val="0"/>
          <w:sz w:val="22"/>
        </w:rPr>
        <w:tab/>
      </w:r>
      <w:r>
        <w:t>Exploratory efficacy analyses</w:t>
      </w:r>
      <w:r>
        <w:tab/>
      </w:r>
      <w:r w:rsidR="00FF5BA3">
        <w:fldChar w:fldCharType="begin"/>
      </w:r>
      <w:r>
        <w:instrText xml:space="preserve"> PAGEREF _Toc461617855 \h </w:instrText>
      </w:r>
      <w:r w:rsidR="00FF5BA3">
        <w:fldChar w:fldCharType="separate"/>
      </w:r>
      <w:r w:rsidR="007C78F1">
        <w:t>29</w:t>
      </w:r>
      <w:r w:rsidR="00FF5BA3">
        <w:fldChar w:fldCharType="end"/>
      </w:r>
    </w:p>
    <w:p w:rsidR="0092759A" w:rsidRDefault="0092759A">
      <w:pPr>
        <w:pStyle w:val="40"/>
        <w:rPr>
          <w:rFonts w:asciiTheme="minorHAnsi" w:eastAsiaTheme="minorEastAsia" w:hAnsiTheme="minorHAnsi" w:cstheme="minorBidi"/>
          <w:i w:val="0"/>
          <w:sz w:val="22"/>
        </w:rPr>
      </w:pPr>
      <w:r>
        <w:t>5.2.4.5</w:t>
      </w:r>
      <w:r>
        <w:rPr>
          <w:rFonts w:asciiTheme="minorHAnsi" w:eastAsiaTheme="minorEastAsia" w:hAnsiTheme="minorHAnsi" w:cstheme="minorBidi"/>
          <w:i w:val="0"/>
          <w:sz w:val="22"/>
        </w:rPr>
        <w:tab/>
      </w:r>
      <w:r>
        <w:t>Other Exploratory Analyses</w:t>
      </w:r>
      <w:r>
        <w:tab/>
      </w:r>
      <w:r w:rsidR="00FF5BA3">
        <w:fldChar w:fldCharType="begin"/>
      </w:r>
      <w:r>
        <w:instrText xml:space="preserve"> PAGEREF _Toc461617856 \h </w:instrText>
      </w:r>
      <w:r w:rsidR="00FF5BA3">
        <w:fldChar w:fldCharType="separate"/>
      </w:r>
      <w:r w:rsidR="007C78F1">
        <w:t>30</w:t>
      </w:r>
      <w:r w:rsidR="00FF5BA3">
        <w:fldChar w:fldCharType="end"/>
      </w:r>
    </w:p>
    <w:p w:rsidR="0092759A" w:rsidRDefault="0092759A">
      <w:pPr>
        <w:pStyle w:val="30"/>
        <w:rPr>
          <w:rFonts w:asciiTheme="minorHAnsi" w:eastAsiaTheme="minorEastAsia" w:hAnsiTheme="minorHAnsi" w:cstheme="minorBidi"/>
          <w:sz w:val="22"/>
          <w:szCs w:val="22"/>
        </w:rPr>
      </w:pPr>
      <w:r>
        <w:t>5.2.5</w:t>
      </w:r>
      <w:r>
        <w:rPr>
          <w:rFonts w:asciiTheme="minorHAnsi" w:eastAsiaTheme="minorEastAsia" w:hAnsiTheme="minorHAnsi" w:cstheme="minorBidi"/>
          <w:sz w:val="22"/>
          <w:szCs w:val="22"/>
        </w:rPr>
        <w:tab/>
      </w:r>
      <w:r>
        <w:t>Safety analyses</w:t>
      </w:r>
      <w:r>
        <w:tab/>
      </w:r>
      <w:r w:rsidR="00FF5BA3">
        <w:fldChar w:fldCharType="begin"/>
      </w:r>
      <w:r>
        <w:instrText xml:space="preserve"> PAGEREF _Toc461617857 \h </w:instrText>
      </w:r>
      <w:r w:rsidR="00FF5BA3">
        <w:fldChar w:fldCharType="separate"/>
      </w:r>
      <w:r w:rsidR="007C78F1">
        <w:t>30</w:t>
      </w:r>
      <w:r w:rsidR="00FF5BA3">
        <w:fldChar w:fldCharType="end"/>
      </w:r>
    </w:p>
    <w:p w:rsidR="0092759A" w:rsidRDefault="0092759A">
      <w:pPr>
        <w:pStyle w:val="40"/>
        <w:rPr>
          <w:rFonts w:asciiTheme="minorHAnsi" w:eastAsiaTheme="minorEastAsia" w:hAnsiTheme="minorHAnsi" w:cstheme="minorBidi"/>
          <w:i w:val="0"/>
          <w:sz w:val="22"/>
        </w:rPr>
      </w:pPr>
      <w:r>
        <w:t>5.2.5.1</w:t>
      </w:r>
      <w:r>
        <w:rPr>
          <w:rFonts w:asciiTheme="minorHAnsi" w:eastAsiaTheme="minorEastAsia" w:hAnsiTheme="minorHAnsi" w:cstheme="minorBidi"/>
          <w:i w:val="0"/>
          <w:sz w:val="22"/>
        </w:rPr>
        <w:tab/>
      </w:r>
      <w:r>
        <w:t>Adverse events</w:t>
      </w:r>
      <w:r>
        <w:tab/>
      </w:r>
      <w:r w:rsidR="00FF5BA3">
        <w:fldChar w:fldCharType="begin"/>
      </w:r>
      <w:r>
        <w:instrText xml:space="preserve"> PAGEREF _Toc461617858 \h </w:instrText>
      </w:r>
      <w:r w:rsidR="00FF5BA3">
        <w:fldChar w:fldCharType="separate"/>
      </w:r>
      <w:r w:rsidR="007C78F1">
        <w:t>30</w:t>
      </w:r>
      <w:r w:rsidR="00FF5BA3">
        <w:fldChar w:fldCharType="end"/>
      </w:r>
    </w:p>
    <w:p w:rsidR="0092759A" w:rsidRDefault="0092759A">
      <w:pPr>
        <w:pStyle w:val="40"/>
        <w:rPr>
          <w:rFonts w:asciiTheme="minorHAnsi" w:eastAsiaTheme="minorEastAsia" w:hAnsiTheme="minorHAnsi" w:cstheme="minorBidi"/>
          <w:i w:val="0"/>
          <w:sz w:val="22"/>
        </w:rPr>
      </w:pPr>
      <w:r>
        <w:t>5.2.5.2</w:t>
      </w:r>
      <w:r>
        <w:rPr>
          <w:rFonts w:asciiTheme="minorHAnsi" w:eastAsiaTheme="minorEastAsia" w:hAnsiTheme="minorHAnsi" w:cstheme="minorBidi"/>
          <w:i w:val="0"/>
          <w:sz w:val="22"/>
        </w:rPr>
        <w:tab/>
      </w:r>
      <w:r>
        <w:t>Laboratory safety variables</w:t>
      </w:r>
      <w:r>
        <w:tab/>
      </w:r>
      <w:r w:rsidR="00FF5BA3">
        <w:fldChar w:fldCharType="begin"/>
      </w:r>
      <w:r>
        <w:instrText xml:space="preserve"> PAGEREF _Toc461617859 \h </w:instrText>
      </w:r>
      <w:r w:rsidR="00FF5BA3">
        <w:fldChar w:fldCharType="separate"/>
      </w:r>
      <w:r w:rsidR="007C78F1">
        <w:t>32</w:t>
      </w:r>
      <w:r w:rsidR="00FF5BA3">
        <w:fldChar w:fldCharType="end"/>
      </w:r>
    </w:p>
    <w:p w:rsidR="0092759A" w:rsidRDefault="0092759A">
      <w:pPr>
        <w:pStyle w:val="40"/>
        <w:rPr>
          <w:rFonts w:asciiTheme="minorHAnsi" w:eastAsiaTheme="minorEastAsia" w:hAnsiTheme="minorHAnsi" w:cstheme="minorBidi"/>
          <w:i w:val="0"/>
          <w:sz w:val="22"/>
        </w:rPr>
      </w:pPr>
      <w:r>
        <w:t>5.2.5.1</w:t>
      </w:r>
      <w:r>
        <w:rPr>
          <w:rFonts w:asciiTheme="minorHAnsi" w:eastAsiaTheme="minorEastAsia" w:hAnsiTheme="minorHAnsi" w:cstheme="minorBidi"/>
          <w:i w:val="0"/>
          <w:sz w:val="22"/>
        </w:rPr>
        <w:tab/>
      </w:r>
      <w:r>
        <w:t>Vital signs</w:t>
      </w:r>
      <w:r>
        <w:tab/>
      </w:r>
      <w:r w:rsidR="00FF5BA3">
        <w:fldChar w:fldCharType="begin"/>
      </w:r>
      <w:r>
        <w:instrText xml:space="preserve"> PAGEREF _Toc461617860 \h </w:instrText>
      </w:r>
      <w:r w:rsidR="00FF5BA3">
        <w:fldChar w:fldCharType="separate"/>
      </w:r>
      <w:r w:rsidR="007C78F1">
        <w:t>33</w:t>
      </w:r>
      <w:r w:rsidR="00FF5BA3">
        <w:fldChar w:fldCharType="end"/>
      </w:r>
    </w:p>
    <w:p w:rsidR="0092759A" w:rsidRDefault="0092759A">
      <w:pPr>
        <w:pStyle w:val="40"/>
        <w:rPr>
          <w:rFonts w:asciiTheme="minorHAnsi" w:eastAsiaTheme="minorEastAsia" w:hAnsiTheme="minorHAnsi" w:cstheme="minorBidi"/>
          <w:i w:val="0"/>
          <w:sz w:val="22"/>
        </w:rPr>
      </w:pPr>
      <w:r>
        <w:t>5.2.5.2</w:t>
      </w:r>
      <w:r>
        <w:rPr>
          <w:rFonts w:asciiTheme="minorHAnsi" w:eastAsiaTheme="minorEastAsia" w:hAnsiTheme="minorHAnsi" w:cstheme="minorBidi"/>
          <w:i w:val="0"/>
          <w:sz w:val="22"/>
        </w:rPr>
        <w:tab/>
      </w:r>
      <w:r>
        <w:t>Physical examinations</w:t>
      </w:r>
      <w:r>
        <w:tab/>
      </w:r>
      <w:r w:rsidR="00FF5BA3">
        <w:fldChar w:fldCharType="begin"/>
      </w:r>
      <w:r>
        <w:instrText xml:space="preserve"> PAGEREF _Toc461617861 \h </w:instrText>
      </w:r>
      <w:r w:rsidR="00FF5BA3">
        <w:fldChar w:fldCharType="separate"/>
      </w:r>
      <w:r w:rsidR="007C78F1">
        <w:t>33</w:t>
      </w:r>
      <w:r w:rsidR="00FF5BA3">
        <w:fldChar w:fldCharType="end"/>
      </w:r>
    </w:p>
    <w:p w:rsidR="0092759A" w:rsidRDefault="0092759A">
      <w:pPr>
        <w:pStyle w:val="40"/>
        <w:rPr>
          <w:rFonts w:asciiTheme="minorHAnsi" w:eastAsiaTheme="minorEastAsia" w:hAnsiTheme="minorHAnsi" w:cstheme="minorBidi"/>
          <w:i w:val="0"/>
          <w:sz w:val="22"/>
        </w:rPr>
      </w:pPr>
      <w:r>
        <w:t>5.2.5.1</w:t>
      </w:r>
      <w:r>
        <w:rPr>
          <w:rFonts w:asciiTheme="minorHAnsi" w:eastAsiaTheme="minorEastAsia" w:hAnsiTheme="minorHAnsi" w:cstheme="minorBidi"/>
          <w:i w:val="0"/>
          <w:sz w:val="22"/>
        </w:rPr>
        <w:tab/>
      </w:r>
      <w:r>
        <w:t>Injection site inspection</w:t>
      </w:r>
      <w:r>
        <w:tab/>
      </w:r>
      <w:r w:rsidR="00FF5BA3">
        <w:fldChar w:fldCharType="begin"/>
      </w:r>
      <w:r>
        <w:instrText xml:space="preserve"> PAGEREF _Toc461617862 \h </w:instrText>
      </w:r>
      <w:r w:rsidR="00FF5BA3">
        <w:fldChar w:fldCharType="separate"/>
      </w:r>
      <w:r w:rsidR="007C78F1">
        <w:t>33</w:t>
      </w:r>
      <w:r w:rsidR="00FF5BA3">
        <w:fldChar w:fldCharType="end"/>
      </w:r>
    </w:p>
    <w:p w:rsidR="0092759A" w:rsidRDefault="0092759A">
      <w:pPr>
        <w:pStyle w:val="40"/>
        <w:rPr>
          <w:rFonts w:asciiTheme="minorHAnsi" w:eastAsiaTheme="minorEastAsia" w:hAnsiTheme="minorHAnsi" w:cstheme="minorBidi"/>
          <w:i w:val="0"/>
          <w:sz w:val="22"/>
        </w:rPr>
      </w:pPr>
      <w:r>
        <w:t>5.2.5.1</w:t>
      </w:r>
      <w:r>
        <w:rPr>
          <w:rFonts w:asciiTheme="minorHAnsi" w:eastAsiaTheme="minorEastAsia" w:hAnsiTheme="minorHAnsi" w:cstheme="minorBidi"/>
          <w:i w:val="0"/>
          <w:sz w:val="22"/>
        </w:rPr>
        <w:tab/>
      </w:r>
      <w:r>
        <w:t>ECG</w:t>
      </w:r>
      <w:r>
        <w:tab/>
      </w:r>
      <w:r w:rsidR="00FF5BA3">
        <w:fldChar w:fldCharType="begin"/>
      </w:r>
      <w:r>
        <w:instrText xml:space="preserve"> PAGEREF _Toc461617863 \h </w:instrText>
      </w:r>
      <w:r w:rsidR="00FF5BA3">
        <w:fldChar w:fldCharType="separate"/>
      </w:r>
      <w:r w:rsidR="007C78F1">
        <w:t>34</w:t>
      </w:r>
      <w:r w:rsidR="00FF5BA3">
        <w:fldChar w:fldCharType="end"/>
      </w:r>
    </w:p>
    <w:p w:rsidR="0092759A" w:rsidRDefault="0092759A">
      <w:pPr>
        <w:pStyle w:val="40"/>
        <w:rPr>
          <w:rFonts w:asciiTheme="minorHAnsi" w:eastAsiaTheme="minorEastAsia" w:hAnsiTheme="minorHAnsi" w:cstheme="minorBidi"/>
          <w:i w:val="0"/>
          <w:sz w:val="22"/>
        </w:rPr>
      </w:pPr>
      <w:r>
        <w:t>5.2.5.1</w:t>
      </w:r>
      <w:r>
        <w:rPr>
          <w:rFonts w:asciiTheme="minorHAnsi" w:eastAsiaTheme="minorEastAsia" w:hAnsiTheme="minorHAnsi" w:cstheme="minorBidi"/>
          <w:i w:val="0"/>
          <w:sz w:val="22"/>
        </w:rPr>
        <w:tab/>
      </w:r>
      <w:r>
        <w:t>ECOG performance status</w:t>
      </w:r>
      <w:r>
        <w:tab/>
      </w:r>
      <w:r w:rsidR="00FF5BA3">
        <w:fldChar w:fldCharType="begin"/>
      </w:r>
      <w:r>
        <w:instrText xml:space="preserve"> PAGEREF _Toc461617864 \h </w:instrText>
      </w:r>
      <w:r w:rsidR="00FF5BA3">
        <w:fldChar w:fldCharType="separate"/>
      </w:r>
      <w:r w:rsidR="007C78F1">
        <w:t>34</w:t>
      </w:r>
      <w:r w:rsidR="00FF5BA3">
        <w:fldChar w:fldCharType="end"/>
      </w:r>
    </w:p>
    <w:p w:rsidR="0092759A" w:rsidRDefault="0092759A">
      <w:pPr>
        <w:pStyle w:val="40"/>
        <w:rPr>
          <w:rFonts w:asciiTheme="minorHAnsi" w:eastAsiaTheme="minorEastAsia" w:hAnsiTheme="minorHAnsi" w:cstheme="minorBidi"/>
          <w:i w:val="0"/>
          <w:sz w:val="22"/>
        </w:rPr>
      </w:pPr>
      <w:r>
        <w:t>5.2.5.2</w:t>
      </w:r>
      <w:r>
        <w:rPr>
          <w:rFonts w:asciiTheme="minorHAnsi" w:eastAsiaTheme="minorEastAsia" w:hAnsiTheme="minorHAnsi" w:cstheme="minorBidi"/>
          <w:i w:val="0"/>
          <w:sz w:val="22"/>
        </w:rPr>
        <w:tab/>
      </w:r>
      <w:r>
        <w:t>Prior and Concomitant medication</w:t>
      </w:r>
      <w:r>
        <w:tab/>
      </w:r>
      <w:r w:rsidR="00FF5BA3">
        <w:fldChar w:fldCharType="begin"/>
      </w:r>
      <w:r>
        <w:instrText xml:space="preserve"> PAGEREF _Toc461617865 \h </w:instrText>
      </w:r>
      <w:r w:rsidR="00FF5BA3">
        <w:fldChar w:fldCharType="separate"/>
      </w:r>
      <w:r w:rsidR="007C78F1">
        <w:t>34</w:t>
      </w:r>
      <w:r w:rsidR="00FF5BA3">
        <w:fldChar w:fldCharType="end"/>
      </w:r>
    </w:p>
    <w:p w:rsidR="0092759A" w:rsidRDefault="0092759A">
      <w:pPr>
        <w:pStyle w:val="20"/>
        <w:rPr>
          <w:rFonts w:asciiTheme="minorHAnsi" w:eastAsiaTheme="minorEastAsia" w:hAnsiTheme="minorHAnsi" w:cstheme="minorBidi"/>
          <w:noProof/>
          <w:sz w:val="22"/>
          <w:szCs w:val="22"/>
        </w:rPr>
      </w:pPr>
      <w:r>
        <w:rPr>
          <w:noProof/>
        </w:rPr>
        <w:t>5.3</w:t>
      </w:r>
      <w:r>
        <w:rPr>
          <w:rFonts w:asciiTheme="minorHAnsi" w:eastAsiaTheme="minorEastAsia" w:hAnsiTheme="minorHAnsi" w:cstheme="minorBidi"/>
          <w:noProof/>
          <w:sz w:val="22"/>
          <w:szCs w:val="22"/>
        </w:rPr>
        <w:tab/>
      </w:r>
      <w:r>
        <w:rPr>
          <w:noProof/>
        </w:rPr>
        <w:t>Statistical/Analytical issues</w:t>
      </w:r>
      <w:r>
        <w:rPr>
          <w:noProof/>
        </w:rPr>
        <w:tab/>
      </w:r>
      <w:r w:rsidR="00FF5BA3">
        <w:rPr>
          <w:noProof/>
        </w:rPr>
        <w:fldChar w:fldCharType="begin"/>
      </w:r>
      <w:r>
        <w:rPr>
          <w:noProof/>
        </w:rPr>
        <w:instrText xml:space="preserve"> PAGEREF _Toc461617866 \h </w:instrText>
      </w:r>
      <w:r w:rsidR="00FF5BA3">
        <w:rPr>
          <w:noProof/>
        </w:rPr>
      </w:r>
      <w:r w:rsidR="00FF5BA3">
        <w:rPr>
          <w:noProof/>
        </w:rPr>
        <w:fldChar w:fldCharType="separate"/>
      </w:r>
      <w:r w:rsidR="007C78F1">
        <w:rPr>
          <w:noProof/>
        </w:rPr>
        <w:t>34</w:t>
      </w:r>
      <w:r w:rsidR="00FF5BA3">
        <w:rPr>
          <w:noProof/>
        </w:rPr>
        <w:fldChar w:fldCharType="end"/>
      </w:r>
    </w:p>
    <w:p w:rsidR="0092759A" w:rsidRDefault="0092759A">
      <w:pPr>
        <w:pStyle w:val="30"/>
        <w:rPr>
          <w:rFonts w:asciiTheme="minorHAnsi" w:eastAsiaTheme="minorEastAsia" w:hAnsiTheme="minorHAnsi" w:cstheme="minorBidi"/>
          <w:sz w:val="22"/>
          <w:szCs w:val="22"/>
        </w:rPr>
      </w:pPr>
      <w:r>
        <w:t>5.3.1</w:t>
      </w:r>
      <w:r>
        <w:rPr>
          <w:rFonts w:asciiTheme="minorHAnsi" w:eastAsiaTheme="minorEastAsia" w:hAnsiTheme="minorHAnsi" w:cstheme="minorBidi"/>
          <w:sz w:val="22"/>
          <w:szCs w:val="22"/>
        </w:rPr>
        <w:tab/>
      </w:r>
      <w:r>
        <w:t>Adjustments for Covariates</w:t>
      </w:r>
      <w:r>
        <w:tab/>
      </w:r>
      <w:r w:rsidR="00FF5BA3">
        <w:fldChar w:fldCharType="begin"/>
      </w:r>
      <w:r>
        <w:instrText xml:space="preserve"> PAGEREF _Toc461617867 \h </w:instrText>
      </w:r>
      <w:r w:rsidR="00FF5BA3">
        <w:fldChar w:fldCharType="separate"/>
      </w:r>
      <w:r w:rsidR="007C78F1">
        <w:t>34</w:t>
      </w:r>
      <w:r w:rsidR="00FF5BA3">
        <w:fldChar w:fldCharType="end"/>
      </w:r>
    </w:p>
    <w:p w:rsidR="0092759A" w:rsidRDefault="0092759A">
      <w:pPr>
        <w:pStyle w:val="30"/>
        <w:rPr>
          <w:rFonts w:asciiTheme="minorHAnsi" w:eastAsiaTheme="minorEastAsia" w:hAnsiTheme="minorHAnsi" w:cstheme="minorBidi"/>
          <w:sz w:val="22"/>
          <w:szCs w:val="22"/>
        </w:rPr>
      </w:pPr>
      <w:r>
        <w:t>5.3.2</w:t>
      </w:r>
      <w:r>
        <w:rPr>
          <w:rFonts w:asciiTheme="minorHAnsi" w:eastAsiaTheme="minorEastAsia" w:hAnsiTheme="minorHAnsi" w:cstheme="minorBidi"/>
          <w:sz w:val="22"/>
          <w:szCs w:val="22"/>
        </w:rPr>
        <w:tab/>
      </w:r>
      <w:r>
        <w:t>Handling of Dropouts or Missing Data</w:t>
      </w:r>
      <w:r>
        <w:tab/>
      </w:r>
      <w:r w:rsidR="00FF5BA3">
        <w:fldChar w:fldCharType="begin"/>
      </w:r>
      <w:r>
        <w:instrText xml:space="preserve"> PAGEREF _Toc461617868 \h </w:instrText>
      </w:r>
      <w:r w:rsidR="00FF5BA3">
        <w:fldChar w:fldCharType="separate"/>
      </w:r>
      <w:r w:rsidR="007C78F1">
        <w:t>35</w:t>
      </w:r>
      <w:r w:rsidR="00FF5BA3">
        <w:fldChar w:fldCharType="end"/>
      </w:r>
    </w:p>
    <w:p w:rsidR="0092759A" w:rsidRDefault="0092759A">
      <w:pPr>
        <w:pStyle w:val="30"/>
        <w:rPr>
          <w:rFonts w:asciiTheme="minorHAnsi" w:eastAsiaTheme="minorEastAsia" w:hAnsiTheme="minorHAnsi" w:cstheme="minorBidi"/>
          <w:sz w:val="22"/>
          <w:szCs w:val="22"/>
        </w:rPr>
      </w:pPr>
      <w:r>
        <w:t>5.3.3</w:t>
      </w:r>
      <w:r>
        <w:rPr>
          <w:rFonts w:asciiTheme="minorHAnsi" w:eastAsiaTheme="minorEastAsia" w:hAnsiTheme="minorHAnsi" w:cstheme="minorBidi"/>
          <w:sz w:val="22"/>
          <w:szCs w:val="22"/>
        </w:rPr>
        <w:tab/>
      </w:r>
      <w:r>
        <w:t>Interim Analyses and Data Monitoring</w:t>
      </w:r>
      <w:r>
        <w:tab/>
      </w:r>
      <w:r w:rsidR="00FF5BA3">
        <w:fldChar w:fldCharType="begin"/>
      </w:r>
      <w:r>
        <w:instrText xml:space="preserve"> PAGEREF _Toc461617869 \h </w:instrText>
      </w:r>
      <w:r w:rsidR="00FF5BA3">
        <w:fldChar w:fldCharType="separate"/>
      </w:r>
      <w:r w:rsidR="007C78F1">
        <w:t>36</w:t>
      </w:r>
      <w:r w:rsidR="00FF5BA3">
        <w:fldChar w:fldCharType="end"/>
      </w:r>
    </w:p>
    <w:p w:rsidR="0092759A" w:rsidRDefault="0092759A">
      <w:pPr>
        <w:pStyle w:val="30"/>
        <w:rPr>
          <w:rFonts w:asciiTheme="minorHAnsi" w:eastAsiaTheme="minorEastAsia" w:hAnsiTheme="minorHAnsi" w:cstheme="minorBidi"/>
          <w:sz w:val="22"/>
          <w:szCs w:val="22"/>
        </w:rPr>
      </w:pPr>
      <w:r>
        <w:lastRenderedPageBreak/>
        <w:t>5.3.4</w:t>
      </w:r>
      <w:r>
        <w:rPr>
          <w:rFonts w:asciiTheme="minorHAnsi" w:eastAsiaTheme="minorEastAsia" w:hAnsiTheme="minorHAnsi" w:cstheme="minorBidi"/>
          <w:sz w:val="22"/>
          <w:szCs w:val="22"/>
        </w:rPr>
        <w:tab/>
      </w:r>
      <w:r>
        <w:t>Multicentre studies</w:t>
      </w:r>
      <w:r>
        <w:tab/>
      </w:r>
      <w:r w:rsidR="00FF5BA3">
        <w:fldChar w:fldCharType="begin"/>
      </w:r>
      <w:r>
        <w:instrText xml:space="preserve"> PAGEREF _Toc461617870 \h </w:instrText>
      </w:r>
      <w:r w:rsidR="00FF5BA3">
        <w:fldChar w:fldCharType="separate"/>
      </w:r>
      <w:r w:rsidR="007C78F1">
        <w:t>36</w:t>
      </w:r>
      <w:r w:rsidR="00FF5BA3">
        <w:fldChar w:fldCharType="end"/>
      </w:r>
    </w:p>
    <w:p w:rsidR="0092759A" w:rsidRDefault="0092759A">
      <w:pPr>
        <w:pStyle w:val="30"/>
        <w:rPr>
          <w:rFonts w:asciiTheme="minorHAnsi" w:eastAsiaTheme="minorEastAsia" w:hAnsiTheme="minorHAnsi" w:cstheme="minorBidi"/>
          <w:sz w:val="22"/>
          <w:szCs w:val="22"/>
        </w:rPr>
      </w:pPr>
      <w:r>
        <w:t>5.3.5</w:t>
      </w:r>
      <w:r>
        <w:rPr>
          <w:rFonts w:asciiTheme="minorHAnsi" w:eastAsiaTheme="minorEastAsia" w:hAnsiTheme="minorHAnsi" w:cstheme="minorBidi"/>
          <w:sz w:val="22"/>
          <w:szCs w:val="22"/>
        </w:rPr>
        <w:tab/>
      </w:r>
      <w:r>
        <w:t>Multiple Comparison/Multiplicity</w:t>
      </w:r>
      <w:r>
        <w:tab/>
      </w:r>
      <w:r w:rsidR="00FF5BA3">
        <w:fldChar w:fldCharType="begin"/>
      </w:r>
      <w:r>
        <w:instrText xml:space="preserve"> PAGEREF _Toc461617871 \h </w:instrText>
      </w:r>
      <w:r w:rsidR="00FF5BA3">
        <w:fldChar w:fldCharType="separate"/>
      </w:r>
      <w:r w:rsidR="007C78F1">
        <w:t>36</w:t>
      </w:r>
      <w:r w:rsidR="00FF5BA3">
        <w:fldChar w:fldCharType="end"/>
      </w:r>
    </w:p>
    <w:p w:rsidR="0092759A" w:rsidRDefault="0092759A">
      <w:pPr>
        <w:pStyle w:val="30"/>
        <w:rPr>
          <w:rFonts w:asciiTheme="minorHAnsi" w:eastAsiaTheme="minorEastAsia" w:hAnsiTheme="minorHAnsi" w:cstheme="minorBidi"/>
          <w:sz w:val="22"/>
          <w:szCs w:val="22"/>
        </w:rPr>
      </w:pPr>
      <w:r>
        <w:t>5.3.6</w:t>
      </w:r>
      <w:r>
        <w:rPr>
          <w:rFonts w:asciiTheme="minorHAnsi" w:eastAsiaTheme="minorEastAsia" w:hAnsiTheme="minorHAnsi" w:cstheme="minorBidi"/>
          <w:sz w:val="22"/>
          <w:szCs w:val="22"/>
        </w:rPr>
        <w:tab/>
      </w:r>
      <w:r>
        <w:t>Use of an "Efficacy Subset" of Patients</w:t>
      </w:r>
      <w:r>
        <w:tab/>
      </w:r>
      <w:r w:rsidR="00FF5BA3">
        <w:fldChar w:fldCharType="begin"/>
      </w:r>
      <w:r>
        <w:instrText xml:space="preserve"> PAGEREF _Toc461617872 \h </w:instrText>
      </w:r>
      <w:r w:rsidR="00FF5BA3">
        <w:fldChar w:fldCharType="separate"/>
      </w:r>
      <w:r w:rsidR="007C78F1">
        <w:t>37</w:t>
      </w:r>
      <w:r w:rsidR="00FF5BA3">
        <w:fldChar w:fldCharType="end"/>
      </w:r>
    </w:p>
    <w:p w:rsidR="0092759A" w:rsidRDefault="0092759A">
      <w:pPr>
        <w:pStyle w:val="30"/>
        <w:rPr>
          <w:rFonts w:asciiTheme="minorHAnsi" w:eastAsiaTheme="minorEastAsia" w:hAnsiTheme="minorHAnsi" w:cstheme="minorBidi"/>
          <w:sz w:val="22"/>
          <w:szCs w:val="22"/>
        </w:rPr>
      </w:pPr>
      <w:r>
        <w:t>5.3.7</w:t>
      </w:r>
      <w:r>
        <w:rPr>
          <w:rFonts w:asciiTheme="minorHAnsi" w:eastAsiaTheme="minorEastAsia" w:hAnsiTheme="minorHAnsi" w:cstheme="minorBidi"/>
          <w:sz w:val="22"/>
          <w:szCs w:val="22"/>
        </w:rPr>
        <w:tab/>
      </w:r>
      <w:r>
        <w:t>Active-Control Studies Intended to Show Equivalence</w:t>
      </w:r>
      <w:r>
        <w:tab/>
      </w:r>
      <w:r w:rsidR="00FF5BA3">
        <w:fldChar w:fldCharType="begin"/>
      </w:r>
      <w:r>
        <w:instrText xml:space="preserve"> PAGEREF _Toc461617873 \h </w:instrText>
      </w:r>
      <w:r w:rsidR="00FF5BA3">
        <w:fldChar w:fldCharType="separate"/>
      </w:r>
      <w:r w:rsidR="007C78F1">
        <w:t>37</w:t>
      </w:r>
      <w:r w:rsidR="00FF5BA3">
        <w:fldChar w:fldCharType="end"/>
      </w:r>
    </w:p>
    <w:p w:rsidR="0092759A" w:rsidRDefault="0092759A">
      <w:pPr>
        <w:pStyle w:val="30"/>
        <w:rPr>
          <w:rFonts w:asciiTheme="minorHAnsi" w:eastAsiaTheme="minorEastAsia" w:hAnsiTheme="minorHAnsi" w:cstheme="minorBidi"/>
          <w:sz w:val="22"/>
          <w:szCs w:val="22"/>
        </w:rPr>
      </w:pPr>
      <w:r>
        <w:t>5.3.8</w:t>
      </w:r>
      <w:r>
        <w:rPr>
          <w:rFonts w:asciiTheme="minorHAnsi" w:eastAsiaTheme="minorEastAsia" w:hAnsiTheme="minorHAnsi" w:cstheme="minorBidi"/>
          <w:sz w:val="22"/>
          <w:szCs w:val="22"/>
        </w:rPr>
        <w:tab/>
      </w:r>
      <w:r>
        <w:t>Examination of Subgroups</w:t>
      </w:r>
      <w:r>
        <w:tab/>
      </w:r>
      <w:r w:rsidR="00FF5BA3">
        <w:fldChar w:fldCharType="begin"/>
      </w:r>
      <w:r>
        <w:instrText xml:space="preserve"> PAGEREF _Toc461617874 \h </w:instrText>
      </w:r>
      <w:r w:rsidR="00FF5BA3">
        <w:fldChar w:fldCharType="separate"/>
      </w:r>
      <w:r w:rsidR="007C78F1">
        <w:t>37</w:t>
      </w:r>
      <w:r w:rsidR="00FF5BA3">
        <w:fldChar w:fldCharType="end"/>
      </w:r>
    </w:p>
    <w:p w:rsidR="0092759A" w:rsidRDefault="0092759A">
      <w:pPr>
        <w:pStyle w:val="20"/>
        <w:rPr>
          <w:rFonts w:asciiTheme="minorHAnsi" w:eastAsiaTheme="minorEastAsia" w:hAnsiTheme="minorHAnsi" w:cstheme="minorBidi"/>
          <w:noProof/>
          <w:sz w:val="22"/>
          <w:szCs w:val="22"/>
        </w:rPr>
      </w:pPr>
      <w:r>
        <w:rPr>
          <w:noProof/>
        </w:rPr>
        <w:t>5.4</w:t>
      </w:r>
      <w:r>
        <w:rPr>
          <w:rFonts w:asciiTheme="minorHAnsi" w:eastAsiaTheme="minorEastAsia" w:hAnsiTheme="minorHAnsi" w:cstheme="minorBidi"/>
          <w:noProof/>
          <w:sz w:val="22"/>
          <w:szCs w:val="22"/>
        </w:rPr>
        <w:tab/>
      </w:r>
      <w:r>
        <w:rPr>
          <w:noProof/>
        </w:rPr>
        <w:t>Data handling conventions</w:t>
      </w:r>
      <w:r>
        <w:rPr>
          <w:noProof/>
        </w:rPr>
        <w:tab/>
      </w:r>
      <w:r w:rsidR="00FF5BA3">
        <w:rPr>
          <w:noProof/>
        </w:rPr>
        <w:fldChar w:fldCharType="begin"/>
      </w:r>
      <w:r>
        <w:rPr>
          <w:noProof/>
        </w:rPr>
        <w:instrText xml:space="preserve"> PAGEREF _Toc461617875 \h </w:instrText>
      </w:r>
      <w:r w:rsidR="00FF5BA3">
        <w:rPr>
          <w:noProof/>
        </w:rPr>
      </w:r>
      <w:r w:rsidR="00FF5BA3">
        <w:rPr>
          <w:noProof/>
        </w:rPr>
        <w:fldChar w:fldCharType="separate"/>
      </w:r>
      <w:r w:rsidR="007C78F1">
        <w:rPr>
          <w:noProof/>
        </w:rPr>
        <w:t>38</w:t>
      </w:r>
      <w:r w:rsidR="00FF5BA3">
        <w:rPr>
          <w:noProof/>
        </w:rPr>
        <w:fldChar w:fldCharType="end"/>
      </w:r>
    </w:p>
    <w:p w:rsidR="0092759A" w:rsidRDefault="0092759A">
      <w:pPr>
        <w:pStyle w:val="30"/>
        <w:rPr>
          <w:rFonts w:asciiTheme="minorHAnsi" w:eastAsiaTheme="minorEastAsia" w:hAnsiTheme="minorHAnsi" w:cstheme="minorBidi"/>
          <w:sz w:val="22"/>
          <w:szCs w:val="22"/>
        </w:rPr>
      </w:pPr>
      <w:r>
        <w:t>5.4.1</w:t>
      </w:r>
      <w:r>
        <w:rPr>
          <w:rFonts w:asciiTheme="minorHAnsi" w:eastAsiaTheme="minorEastAsia" w:hAnsiTheme="minorHAnsi" w:cstheme="minorBidi"/>
          <w:sz w:val="22"/>
          <w:szCs w:val="22"/>
        </w:rPr>
        <w:tab/>
      </w:r>
      <w:r>
        <w:t>Baseline definitions</w:t>
      </w:r>
      <w:r>
        <w:tab/>
      </w:r>
      <w:r w:rsidR="00FF5BA3">
        <w:fldChar w:fldCharType="begin"/>
      </w:r>
      <w:r>
        <w:instrText xml:space="preserve"> PAGEREF _Toc461617876 \h </w:instrText>
      </w:r>
      <w:r w:rsidR="00FF5BA3">
        <w:fldChar w:fldCharType="separate"/>
      </w:r>
      <w:r w:rsidR="007C78F1">
        <w:t>38</w:t>
      </w:r>
      <w:r w:rsidR="00FF5BA3">
        <w:fldChar w:fldCharType="end"/>
      </w:r>
    </w:p>
    <w:p w:rsidR="0092759A" w:rsidRDefault="0092759A">
      <w:pPr>
        <w:pStyle w:val="30"/>
        <w:rPr>
          <w:rFonts w:asciiTheme="minorHAnsi" w:eastAsiaTheme="minorEastAsia" w:hAnsiTheme="minorHAnsi" w:cstheme="minorBidi"/>
          <w:sz w:val="22"/>
          <w:szCs w:val="22"/>
        </w:rPr>
      </w:pPr>
      <w:r>
        <w:t>5.4.2</w:t>
      </w:r>
      <w:r>
        <w:rPr>
          <w:rFonts w:asciiTheme="minorHAnsi" w:eastAsiaTheme="minorEastAsia" w:hAnsiTheme="minorHAnsi" w:cstheme="minorBidi"/>
          <w:sz w:val="22"/>
          <w:szCs w:val="22"/>
        </w:rPr>
        <w:tab/>
      </w:r>
      <w:r>
        <w:t>Retest, Outliers</w:t>
      </w:r>
      <w:r>
        <w:tab/>
      </w:r>
      <w:r w:rsidR="00FF5BA3">
        <w:fldChar w:fldCharType="begin"/>
      </w:r>
      <w:r>
        <w:instrText xml:space="preserve"> PAGEREF _Toc461617877 \h </w:instrText>
      </w:r>
      <w:r w:rsidR="00FF5BA3">
        <w:fldChar w:fldCharType="separate"/>
      </w:r>
      <w:r w:rsidR="007C78F1">
        <w:t>38</w:t>
      </w:r>
      <w:r w:rsidR="00FF5BA3">
        <w:fldChar w:fldCharType="end"/>
      </w:r>
    </w:p>
    <w:p w:rsidR="0092759A" w:rsidRDefault="0092759A">
      <w:pPr>
        <w:pStyle w:val="40"/>
        <w:rPr>
          <w:rFonts w:asciiTheme="minorHAnsi" w:eastAsiaTheme="minorEastAsia" w:hAnsiTheme="minorHAnsi" w:cstheme="minorBidi"/>
          <w:i w:val="0"/>
          <w:sz w:val="22"/>
        </w:rPr>
      </w:pPr>
      <w:r>
        <w:t>5.4.2.1</w:t>
      </w:r>
      <w:r>
        <w:rPr>
          <w:rFonts w:asciiTheme="minorHAnsi" w:eastAsiaTheme="minorEastAsia" w:hAnsiTheme="minorHAnsi" w:cstheme="minorBidi"/>
          <w:i w:val="0"/>
          <w:sz w:val="22"/>
        </w:rPr>
        <w:tab/>
      </w:r>
      <w:r>
        <w:t>Retests</w:t>
      </w:r>
      <w:r>
        <w:tab/>
      </w:r>
      <w:r w:rsidR="00FF5BA3">
        <w:fldChar w:fldCharType="begin"/>
      </w:r>
      <w:r>
        <w:instrText xml:space="preserve"> PAGEREF _Toc461617878 \h </w:instrText>
      </w:r>
      <w:r w:rsidR="00FF5BA3">
        <w:fldChar w:fldCharType="separate"/>
      </w:r>
      <w:r w:rsidR="007C78F1">
        <w:t>38</w:t>
      </w:r>
      <w:r w:rsidR="00FF5BA3">
        <w:fldChar w:fldCharType="end"/>
      </w:r>
    </w:p>
    <w:p w:rsidR="0092759A" w:rsidRDefault="0092759A">
      <w:pPr>
        <w:pStyle w:val="40"/>
        <w:rPr>
          <w:rFonts w:asciiTheme="minorHAnsi" w:eastAsiaTheme="minorEastAsia" w:hAnsiTheme="minorHAnsi" w:cstheme="minorBidi"/>
          <w:i w:val="0"/>
          <w:sz w:val="22"/>
        </w:rPr>
      </w:pPr>
      <w:r>
        <w:t>5.4.2.2</w:t>
      </w:r>
      <w:r>
        <w:rPr>
          <w:rFonts w:asciiTheme="minorHAnsi" w:eastAsiaTheme="minorEastAsia" w:hAnsiTheme="minorHAnsi" w:cstheme="minorBidi"/>
          <w:i w:val="0"/>
          <w:sz w:val="22"/>
        </w:rPr>
        <w:tab/>
      </w:r>
      <w:r>
        <w:t>Outliers</w:t>
      </w:r>
      <w:r>
        <w:tab/>
      </w:r>
      <w:r w:rsidR="00FF5BA3">
        <w:fldChar w:fldCharType="begin"/>
      </w:r>
      <w:r>
        <w:instrText xml:space="preserve"> PAGEREF _Toc461617879 \h </w:instrText>
      </w:r>
      <w:r w:rsidR="00FF5BA3">
        <w:fldChar w:fldCharType="separate"/>
      </w:r>
      <w:r w:rsidR="007C78F1">
        <w:t>39</w:t>
      </w:r>
      <w:r w:rsidR="00FF5BA3">
        <w:fldChar w:fldCharType="end"/>
      </w:r>
    </w:p>
    <w:p w:rsidR="0092759A" w:rsidRDefault="0092759A">
      <w:pPr>
        <w:pStyle w:val="30"/>
        <w:rPr>
          <w:rFonts w:asciiTheme="minorHAnsi" w:eastAsiaTheme="minorEastAsia" w:hAnsiTheme="minorHAnsi" w:cstheme="minorBidi"/>
          <w:sz w:val="22"/>
          <w:szCs w:val="22"/>
        </w:rPr>
      </w:pPr>
      <w:r>
        <w:t>5.4.3</w:t>
      </w:r>
      <w:r>
        <w:rPr>
          <w:rFonts w:asciiTheme="minorHAnsi" w:eastAsiaTheme="minorEastAsia" w:hAnsiTheme="minorHAnsi" w:cstheme="minorBidi"/>
          <w:sz w:val="22"/>
          <w:szCs w:val="22"/>
        </w:rPr>
        <w:tab/>
      </w:r>
      <w:r>
        <w:t>Windows for time points</w:t>
      </w:r>
      <w:r>
        <w:tab/>
      </w:r>
      <w:r w:rsidR="00FF5BA3">
        <w:fldChar w:fldCharType="begin"/>
      </w:r>
      <w:r>
        <w:instrText xml:space="preserve"> PAGEREF _Toc461617880 \h </w:instrText>
      </w:r>
      <w:r w:rsidR="00FF5BA3">
        <w:fldChar w:fldCharType="separate"/>
      </w:r>
      <w:r w:rsidR="007C78F1">
        <w:t>39</w:t>
      </w:r>
      <w:r w:rsidR="00FF5BA3">
        <w:fldChar w:fldCharType="end"/>
      </w:r>
    </w:p>
    <w:p w:rsidR="0092759A" w:rsidRDefault="0092759A">
      <w:pPr>
        <w:pStyle w:val="30"/>
        <w:rPr>
          <w:rFonts w:asciiTheme="minorHAnsi" w:eastAsiaTheme="minorEastAsia" w:hAnsiTheme="minorHAnsi" w:cstheme="minorBidi"/>
          <w:sz w:val="22"/>
          <w:szCs w:val="22"/>
        </w:rPr>
      </w:pPr>
      <w:r>
        <w:t>5.4.4</w:t>
      </w:r>
      <w:r>
        <w:rPr>
          <w:rFonts w:asciiTheme="minorHAnsi" w:eastAsiaTheme="minorEastAsia" w:hAnsiTheme="minorHAnsi" w:cstheme="minorBidi"/>
          <w:sz w:val="22"/>
          <w:szCs w:val="22"/>
        </w:rPr>
        <w:tab/>
      </w:r>
      <w:r>
        <w:t>Unscheduled visits</w:t>
      </w:r>
      <w:r>
        <w:tab/>
      </w:r>
      <w:r w:rsidR="00FF5BA3">
        <w:fldChar w:fldCharType="begin"/>
      </w:r>
      <w:r>
        <w:instrText xml:space="preserve"> PAGEREF _Toc461617881 \h </w:instrText>
      </w:r>
      <w:r w:rsidR="00FF5BA3">
        <w:fldChar w:fldCharType="separate"/>
      </w:r>
      <w:r w:rsidR="007C78F1">
        <w:t>40</w:t>
      </w:r>
      <w:r w:rsidR="00FF5BA3">
        <w:fldChar w:fldCharType="end"/>
      </w:r>
    </w:p>
    <w:p w:rsidR="0092759A" w:rsidRDefault="0092759A">
      <w:pPr>
        <w:pStyle w:val="10"/>
        <w:rPr>
          <w:rFonts w:asciiTheme="minorHAnsi" w:eastAsiaTheme="minorEastAsia" w:hAnsiTheme="minorHAnsi" w:cstheme="minorBidi"/>
          <w:b w:val="0"/>
          <w:noProof/>
          <w:sz w:val="22"/>
          <w:szCs w:val="22"/>
        </w:rPr>
      </w:pPr>
      <w:r>
        <w:rPr>
          <w:noProof/>
        </w:rPr>
        <w:t>6</w:t>
      </w:r>
      <w:r>
        <w:rPr>
          <w:rFonts w:asciiTheme="minorHAnsi" w:eastAsiaTheme="minorEastAsia" w:hAnsiTheme="minorHAnsi" w:cstheme="minorBidi"/>
          <w:b w:val="0"/>
          <w:noProof/>
          <w:sz w:val="22"/>
          <w:szCs w:val="22"/>
        </w:rPr>
        <w:tab/>
      </w:r>
      <w:r>
        <w:rPr>
          <w:noProof/>
        </w:rPr>
        <w:t>Modifications from the statistical sections in the protocol</w:t>
      </w:r>
      <w:r>
        <w:rPr>
          <w:noProof/>
        </w:rPr>
        <w:tab/>
      </w:r>
      <w:r w:rsidR="00FF5BA3">
        <w:rPr>
          <w:noProof/>
        </w:rPr>
        <w:fldChar w:fldCharType="begin"/>
      </w:r>
      <w:r>
        <w:rPr>
          <w:noProof/>
        </w:rPr>
        <w:instrText xml:space="preserve"> PAGEREF _Toc461617882 \h </w:instrText>
      </w:r>
      <w:r w:rsidR="00FF5BA3">
        <w:rPr>
          <w:noProof/>
        </w:rPr>
      </w:r>
      <w:r w:rsidR="00FF5BA3">
        <w:rPr>
          <w:noProof/>
        </w:rPr>
        <w:fldChar w:fldCharType="separate"/>
      </w:r>
      <w:r w:rsidR="007C78F1">
        <w:rPr>
          <w:noProof/>
        </w:rPr>
        <w:t>40</w:t>
      </w:r>
      <w:r w:rsidR="00FF5BA3">
        <w:rPr>
          <w:noProof/>
        </w:rPr>
        <w:fldChar w:fldCharType="end"/>
      </w:r>
    </w:p>
    <w:p w:rsidR="0092759A" w:rsidRDefault="0092759A">
      <w:pPr>
        <w:pStyle w:val="10"/>
        <w:rPr>
          <w:rFonts w:asciiTheme="minorHAnsi" w:eastAsiaTheme="minorEastAsia" w:hAnsiTheme="minorHAnsi" w:cstheme="minorBidi"/>
          <w:b w:val="0"/>
          <w:noProof/>
          <w:sz w:val="22"/>
          <w:szCs w:val="22"/>
        </w:rPr>
      </w:pPr>
      <w:r>
        <w:rPr>
          <w:noProof/>
        </w:rPr>
        <w:t>7</w:t>
      </w:r>
      <w:r>
        <w:rPr>
          <w:rFonts w:asciiTheme="minorHAnsi" w:eastAsiaTheme="minorEastAsia" w:hAnsiTheme="minorHAnsi" w:cstheme="minorBidi"/>
          <w:b w:val="0"/>
          <w:noProof/>
          <w:sz w:val="22"/>
          <w:szCs w:val="22"/>
        </w:rPr>
        <w:tab/>
      </w:r>
      <w:r>
        <w:rPr>
          <w:noProof/>
        </w:rPr>
        <w:t>Software documentation</w:t>
      </w:r>
      <w:r>
        <w:rPr>
          <w:noProof/>
        </w:rPr>
        <w:tab/>
      </w:r>
      <w:r w:rsidR="00FF5BA3">
        <w:rPr>
          <w:noProof/>
        </w:rPr>
        <w:fldChar w:fldCharType="begin"/>
      </w:r>
      <w:r>
        <w:rPr>
          <w:noProof/>
        </w:rPr>
        <w:instrText xml:space="preserve"> PAGEREF _Toc461617883 \h </w:instrText>
      </w:r>
      <w:r w:rsidR="00FF5BA3">
        <w:rPr>
          <w:noProof/>
        </w:rPr>
      </w:r>
      <w:r w:rsidR="00FF5BA3">
        <w:rPr>
          <w:noProof/>
        </w:rPr>
        <w:fldChar w:fldCharType="separate"/>
      </w:r>
      <w:r w:rsidR="007C78F1">
        <w:rPr>
          <w:noProof/>
        </w:rPr>
        <w:t>42</w:t>
      </w:r>
      <w:r w:rsidR="00FF5BA3">
        <w:rPr>
          <w:noProof/>
        </w:rPr>
        <w:fldChar w:fldCharType="end"/>
      </w:r>
    </w:p>
    <w:p w:rsidR="0092759A" w:rsidRDefault="0092759A">
      <w:pPr>
        <w:pStyle w:val="10"/>
        <w:rPr>
          <w:rFonts w:asciiTheme="minorHAnsi" w:eastAsiaTheme="minorEastAsia" w:hAnsiTheme="minorHAnsi" w:cstheme="minorBidi"/>
          <w:b w:val="0"/>
          <w:noProof/>
          <w:sz w:val="22"/>
          <w:szCs w:val="22"/>
        </w:rPr>
      </w:pPr>
      <w:r>
        <w:rPr>
          <w:noProof/>
        </w:rPr>
        <w:t>8</w:t>
      </w:r>
      <w:r>
        <w:rPr>
          <w:rFonts w:asciiTheme="minorHAnsi" w:eastAsiaTheme="minorEastAsia" w:hAnsiTheme="minorHAnsi" w:cstheme="minorBidi"/>
          <w:b w:val="0"/>
          <w:noProof/>
          <w:sz w:val="22"/>
          <w:szCs w:val="22"/>
        </w:rPr>
        <w:tab/>
      </w:r>
      <w:r>
        <w:rPr>
          <w:noProof/>
        </w:rPr>
        <w:t>Derived data</w:t>
      </w:r>
      <w:r>
        <w:rPr>
          <w:noProof/>
        </w:rPr>
        <w:tab/>
      </w:r>
      <w:r w:rsidR="00FF5BA3">
        <w:rPr>
          <w:noProof/>
        </w:rPr>
        <w:fldChar w:fldCharType="begin"/>
      </w:r>
      <w:r>
        <w:rPr>
          <w:noProof/>
        </w:rPr>
        <w:instrText xml:space="preserve"> PAGEREF _Toc461617884 \h </w:instrText>
      </w:r>
      <w:r w:rsidR="00FF5BA3">
        <w:rPr>
          <w:noProof/>
        </w:rPr>
      </w:r>
      <w:r w:rsidR="00FF5BA3">
        <w:rPr>
          <w:noProof/>
        </w:rPr>
        <w:fldChar w:fldCharType="separate"/>
      </w:r>
      <w:r w:rsidR="007C78F1">
        <w:rPr>
          <w:noProof/>
        </w:rPr>
        <w:t>42</w:t>
      </w:r>
      <w:r w:rsidR="00FF5BA3">
        <w:rPr>
          <w:noProof/>
        </w:rPr>
        <w:fldChar w:fldCharType="end"/>
      </w:r>
    </w:p>
    <w:p w:rsidR="0092759A" w:rsidRDefault="0092759A">
      <w:pPr>
        <w:pStyle w:val="10"/>
        <w:rPr>
          <w:rFonts w:asciiTheme="minorHAnsi" w:eastAsiaTheme="minorEastAsia" w:hAnsiTheme="minorHAnsi" w:cstheme="minorBidi"/>
          <w:b w:val="0"/>
          <w:noProof/>
          <w:sz w:val="22"/>
          <w:szCs w:val="22"/>
        </w:rPr>
      </w:pPr>
      <w:r>
        <w:rPr>
          <w:noProof/>
        </w:rPr>
        <w:t>9</w:t>
      </w:r>
      <w:r>
        <w:rPr>
          <w:rFonts w:asciiTheme="minorHAnsi" w:eastAsiaTheme="minorEastAsia" w:hAnsiTheme="minorHAnsi" w:cstheme="minorBidi"/>
          <w:b w:val="0"/>
          <w:noProof/>
          <w:sz w:val="22"/>
          <w:szCs w:val="22"/>
        </w:rPr>
        <w:tab/>
      </w:r>
      <w:r>
        <w:rPr>
          <w:noProof/>
        </w:rPr>
        <w:t>References</w:t>
      </w:r>
      <w:r>
        <w:rPr>
          <w:noProof/>
        </w:rPr>
        <w:tab/>
      </w:r>
      <w:r w:rsidR="00FF5BA3">
        <w:rPr>
          <w:noProof/>
        </w:rPr>
        <w:fldChar w:fldCharType="begin"/>
      </w:r>
      <w:r>
        <w:rPr>
          <w:noProof/>
        </w:rPr>
        <w:instrText xml:space="preserve"> PAGEREF _Toc461617885 \h </w:instrText>
      </w:r>
      <w:r w:rsidR="00FF5BA3">
        <w:rPr>
          <w:noProof/>
        </w:rPr>
      </w:r>
      <w:r w:rsidR="00FF5BA3">
        <w:rPr>
          <w:noProof/>
        </w:rPr>
        <w:fldChar w:fldCharType="separate"/>
      </w:r>
      <w:r w:rsidR="007C78F1">
        <w:rPr>
          <w:noProof/>
        </w:rPr>
        <w:t>43</w:t>
      </w:r>
      <w:r w:rsidR="00FF5BA3">
        <w:rPr>
          <w:noProof/>
        </w:rPr>
        <w:fldChar w:fldCharType="end"/>
      </w:r>
    </w:p>
    <w:p w:rsidR="0092759A" w:rsidRDefault="0092759A">
      <w:pPr>
        <w:pStyle w:val="10"/>
        <w:rPr>
          <w:rFonts w:asciiTheme="minorHAnsi" w:eastAsiaTheme="minorEastAsia" w:hAnsiTheme="minorHAnsi" w:cstheme="minorBidi"/>
          <w:b w:val="0"/>
          <w:noProof/>
          <w:sz w:val="22"/>
          <w:szCs w:val="22"/>
        </w:rPr>
      </w:pPr>
      <w:r>
        <w:rPr>
          <w:noProof/>
        </w:rPr>
        <w:t>10</w:t>
      </w:r>
      <w:r>
        <w:rPr>
          <w:rFonts w:asciiTheme="minorHAnsi" w:eastAsiaTheme="minorEastAsia" w:hAnsiTheme="minorHAnsi" w:cstheme="minorBidi"/>
          <w:b w:val="0"/>
          <w:noProof/>
          <w:sz w:val="22"/>
          <w:szCs w:val="22"/>
        </w:rPr>
        <w:tab/>
      </w:r>
      <w:r>
        <w:rPr>
          <w:noProof/>
        </w:rPr>
        <w:t>Appendices</w:t>
      </w:r>
      <w:r>
        <w:rPr>
          <w:noProof/>
        </w:rPr>
        <w:tab/>
      </w:r>
      <w:r w:rsidR="00FF5BA3">
        <w:rPr>
          <w:noProof/>
        </w:rPr>
        <w:fldChar w:fldCharType="begin"/>
      </w:r>
      <w:r>
        <w:rPr>
          <w:noProof/>
        </w:rPr>
        <w:instrText xml:space="preserve"> PAGEREF _Toc461617886 \h </w:instrText>
      </w:r>
      <w:r w:rsidR="00FF5BA3">
        <w:rPr>
          <w:noProof/>
        </w:rPr>
      </w:r>
      <w:r w:rsidR="00FF5BA3">
        <w:rPr>
          <w:noProof/>
        </w:rPr>
        <w:fldChar w:fldCharType="separate"/>
      </w:r>
      <w:r w:rsidR="007C78F1">
        <w:rPr>
          <w:noProof/>
        </w:rPr>
        <w:t>44</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10.1</w:t>
      </w:r>
      <w:r>
        <w:rPr>
          <w:rFonts w:asciiTheme="minorHAnsi" w:eastAsiaTheme="minorEastAsia" w:hAnsiTheme="minorHAnsi" w:cstheme="minorBidi"/>
          <w:noProof/>
          <w:sz w:val="22"/>
          <w:szCs w:val="22"/>
        </w:rPr>
        <w:tab/>
      </w:r>
      <w:r>
        <w:rPr>
          <w:noProof/>
        </w:rPr>
        <w:t>Appendix 1: Statistical Tables List</w:t>
      </w:r>
      <w:r>
        <w:rPr>
          <w:noProof/>
        </w:rPr>
        <w:tab/>
      </w:r>
      <w:r w:rsidR="00FF5BA3">
        <w:rPr>
          <w:noProof/>
        </w:rPr>
        <w:fldChar w:fldCharType="begin"/>
      </w:r>
      <w:r>
        <w:rPr>
          <w:noProof/>
        </w:rPr>
        <w:instrText xml:space="preserve"> PAGEREF _Toc461617887 \h </w:instrText>
      </w:r>
      <w:r w:rsidR="00FF5BA3">
        <w:rPr>
          <w:noProof/>
        </w:rPr>
      </w:r>
      <w:r w:rsidR="00FF5BA3">
        <w:rPr>
          <w:noProof/>
        </w:rPr>
        <w:fldChar w:fldCharType="separate"/>
      </w:r>
      <w:r w:rsidR="007C78F1">
        <w:rPr>
          <w:noProof/>
        </w:rPr>
        <w:t>44</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10.2</w:t>
      </w:r>
      <w:r>
        <w:rPr>
          <w:rFonts w:asciiTheme="minorHAnsi" w:eastAsiaTheme="minorEastAsia" w:hAnsiTheme="minorHAnsi" w:cstheme="minorBidi"/>
          <w:noProof/>
          <w:sz w:val="22"/>
          <w:szCs w:val="22"/>
        </w:rPr>
        <w:tab/>
      </w:r>
      <w:r>
        <w:rPr>
          <w:noProof/>
        </w:rPr>
        <w:t>Appendix 2: Statistical Figures List</w:t>
      </w:r>
      <w:r>
        <w:rPr>
          <w:noProof/>
        </w:rPr>
        <w:tab/>
      </w:r>
      <w:r w:rsidR="00FF5BA3">
        <w:rPr>
          <w:noProof/>
        </w:rPr>
        <w:fldChar w:fldCharType="begin"/>
      </w:r>
      <w:r>
        <w:rPr>
          <w:noProof/>
        </w:rPr>
        <w:instrText xml:space="preserve"> PAGEREF _Toc461617888 \h </w:instrText>
      </w:r>
      <w:r w:rsidR="00FF5BA3">
        <w:rPr>
          <w:noProof/>
        </w:rPr>
      </w:r>
      <w:r w:rsidR="00FF5BA3">
        <w:rPr>
          <w:noProof/>
        </w:rPr>
        <w:fldChar w:fldCharType="separate"/>
      </w:r>
      <w:r w:rsidR="007C78F1">
        <w:rPr>
          <w:noProof/>
        </w:rPr>
        <w:t>46</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Pr>
          <w:noProof/>
        </w:rPr>
        <w:t>10.3</w:t>
      </w:r>
      <w:r>
        <w:rPr>
          <w:rFonts w:asciiTheme="minorHAnsi" w:eastAsiaTheme="minorEastAsia" w:hAnsiTheme="minorHAnsi" w:cstheme="minorBidi"/>
          <w:noProof/>
          <w:sz w:val="22"/>
          <w:szCs w:val="22"/>
        </w:rPr>
        <w:tab/>
      </w:r>
      <w:r>
        <w:rPr>
          <w:noProof/>
        </w:rPr>
        <w:t>Appendix 3: Individual Data Listings List</w:t>
      </w:r>
      <w:r>
        <w:rPr>
          <w:noProof/>
        </w:rPr>
        <w:tab/>
      </w:r>
      <w:r w:rsidR="00FF5BA3">
        <w:rPr>
          <w:noProof/>
        </w:rPr>
        <w:fldChar w:fldCharType="begin"/>
      </w:r>
      <w:r>
        <w:rPr>
          <w:noProof/>
        </w:rPr>
        <w:instrText xml:space="preserve"> PAGEREF _Toc461617889 \h </w:instrText>
      </w:r>
      <w:r w:rsidR="00FF5BA3">
        <w:rPr>
          <w:noProof/>
        </w:rPr>
      </w:r>
      <w:r w:rsidR="00FF5BA3">
        <w:rPr>
          <w:noProof/>
        </w:rPr>
        <w:fldChar w:fldCharType="separate"/>
      </w:r>
      <w:r w:rsidR="007C78F1">
        <w:rPr>
          <w:noProof/>
        </w:rPr>
        <w:t>46</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sidRPr="00FA5FAA">
        <w:rPr>
          <w:noProof/>
        </w:rPr>
        <w:t>10.4</w:t>
      </w:r>
      <w:r>
        <w:rPr>
          <w:rFonts w:asciiTheme="minorHAnsi" w:eastAsiaTheme="minorEastAsia" w:hAnsiTheme="minorHAnsi" w:cstheme="minorBidi"/>
          <w:noProof/>
          <w:sz w:val="22"/>
          <w:szCs w:val="22"/>
        </w:rPr>
        <w:tab/>
      </w:r>
      <w:r w:rsidRPr="00FA5FAA">
        <w:rPr>
          <w:noProof/>
        </w:rPr>
        <w:t>Appendix 4: TNM Clinical Classification of Lung Cancer</w:t>
      </w:r>
      <w:r>
        <w:rPr>
          <w:noProof/>
        </w:rPr>
        <w:tab/>
      </w:r>
      <w:r w:rsidR="00FF5BA3">
        <w:rPr>
          <w:noProof/>
        </w:rPr>
        <w:fldChar w:fldCharType="begin"/>
      </w:r>
      <w:r>
        <w:rPr>
          <w:noProof/>
        </w:rPr>
        <w:instrText xml:space="preserve"> PAGEREF _Toc461617890 \h </w:instrText>
      </w:r>
      <w:r w:rsidR="00FF5BA3">
        <w:rPr>
          <w:noProof/>
        </w:rPr>
      </w:r>
      <w:r w:rsidR="00FF5BA3">
        <w:rPr>
          <w:noProof/>
        </w:rPr>
        <w:fldChar w:fldCharType="separate"/>
      </w:r>
      <w:r w:rsidR="007C78F1">
        <w:rPr>
          <w:noProof/>
        </w:rPr>
        <w:t>48</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sidRPr="00FA5FAA">
        <w:rPr>
          <w:noProof/>
        </w:rPr>
        <w:t>10.5</w:t>
      </w:r>
      <w:r>
        <w:rPr>
          <w:rFonts w:asciiTheme="minorHAnsi" w:eastAsiaTheme="minorEastAsia" w:hAnsiTheme="minorHAnsi" w:cstheme="minorBidi"/>
          <w:noProof/>
          <w:sz w:val="22"/>
          <w:szCs w:val="22"/>
        </w:rPr>
        <w:tab/>
      </w:r>
      <w:r w:rsidRPr="00FA5FAA">
        <w:rPr>
          <w:noProof/>
        </w:rPr>
        <w:t>Appendix 5: ECOG Performance Status</w:t>
      </w:r>
      <w:r>
        <w:rPr>
          <w:noProof/>
        </w:rPr>
        <w:tab/>
      </w:r>
      <w:r w:rsidR="00FF5BA3">
        <w:rPr>
          <w:noProof/>
        </w:rPr>
        <w:fldChar w:fldCharType="begin"/>
      </w:r>
      <w:r>
        <w:rPr>
          <w:noProof/>
        </w:rPr>
        <w:instrText xml:space="preserve"> PAGEREF _Toc461617891 \h </w:instrText>
      </w:r>
      <w:r w:rsidR="00FF5BA3">
        <w:rPr>
          <w:noProof/>
        </w:rPr>
      </w:r>
      <w:r w:rsidR="00FF5BA3">
        <w:rPr>
          <w:noProof/>
        </w:rPr>
        <w:fldChar w:fldCharType="separate"/>
      </w:r>
      <w:r w:rsidR="007C78F1">
        <w:rPr>
          <w:noProof/>
        </w:rPr>
        <w:t>50</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sidRPr="00FA5FAA">
        <w:rPr>
          <w:noProof/>
        </w:rPr>
        <w:t>10.6</w:t>
      </w:r>
      <w:r>
        <w:rPr>
          <w:rFonts w:asciiTheme="minorHAnsi" w:eastAsiaTheme="minorEastAsia" w:hAnsiTheme="minorHAnsi" w:cstheme="minorBidi"/>
          <w:noProof/>
          <w:sz w:val="22"/>
          <w:szCs w:val="22"/>
        </w:rPr>
        <w:tab/>
      </w:r>
      <w:r w:rsidRPr="00FA5FAA">
        <w:rPr>
          <w:noProof/>
        </w:rPr>
        <w:t>Appendix 6: Revised RECIST guideline (version 1.1)</w:t>
      </w:r>
      <w:r>
        <w:rPr>
          <w:noProof/>
        </w:rPr>
        <w:tab/>
      </w:r>
      <w:r w:rsidR="00FF5BA3">
        <w:rPr>
          <w:noProof/>
        </w:rPr>
        <w:fldChar w:fldCharType="begin"/>
      </w:r>
      <w:r>
        <w:rPr>
          <w:noProof/>
        </w:rPr>
        <w:instrText xml:space="preserve"> PAGEREF _Toc461617892 \h </w:instrText>
      </w:r>
      <w:r w:rsidR="00FF5BA3">
        <w:rPr>
          <w:noProof/>
        </w:rPr>
      </w:r>
      <w:r w:rsidR="00FF5BA3">
        <w:rPr>
          <w:noProof/>
        </w:rPr>
        <w:fldChar w:fldCharType="separate"/>
      </w:r>
      <w:r w:rsidR="007C78F1">
        <w:rPr>
          <w:noProof/>
        </w:rPr>
        <w:t>51</w:t>
      </w:r>
      <w:r w:rsidR="00FF5BA3">
        <w:rPr>
          <w:noProof/>
        </w:rPr>
        <w:fldChar w:fldCharType="end"/>
      </w:r>
    </w:p>
    <w:p w:rsidR="0092759A" w:rsidRDefault="0092759A">
      <w:pPr>
        <w:pStyle w:val="20"/>
        <w:rPr>
          <w:rFonts w:asciiTheme="minorHAnsi" w:eastAsiaTheme="minorEastAsia" w:hAnsiTheme="minorHAnsi" w:cstheme="minorBidi"/>
          <w:noProof/>
          <w:sz w:val="22"/>
          <w:szCs w:val="22"/>
        </w:rPr>
      </w:pPr>
      <w:r w:rsidRPr="00FA5FAA">
        <w:rPr>
          <w:noProof/>
        </w:rPr>
        <w:t>10.7</w:t>
      </w:r>
      <w:r>
        <w:rPr>
          <w:rFonts w:asciiTheme="minorHAnsi" w:eastAsiaTheme="minorEastAsia" w:hAnsiTheme="minorHAnsi" w:cstheme="minorBidi"/>
          <w:noProof/>
          <w:sz w:val="22"/>
          <w:szCs w:val="22"/>
        </w:rPr>
        <w:tab/>
      </w:r>
      <w:r w:rsidRPr="00FA5FAA">
        <w:rPr>
          <w:noProof/>
        </w:rPr>
        <w:t>Appendix 7: U.S. National Cancer Institute (NCI) Common Terminology Criteria for Adverse Events (CTCAE)</w:t>
      </w:r>
      <w:r>
        <w:rPr>
          <w:noProof/>
        </w:rPr>
        <w:tab/>
      </w:r>
      <w:r w:rsidR="00FF5BA3">
        <w:rPr>
          <w:noProof/>
        </w:rPr>
        <w:fldChar w:fldCharType="begin"/>
      </w:r>
      <w:r>
        <w:rPr>
          <w:noProof/>
        </w:rPr>
        <w:instrText xml:space="preserve"> PAGEREF _Toc461617893 \h </w:instrText>
      </w:r>
      <w:r w:rsidR="00FF5BA3">
        <w:rPr>
          <w:noProof/>
        </w:rPr>
      </w:r>
      <w:r w:rsidR="00FF5BA3">
        <w:rPr>
          <w:noProof/>
        </w:rPr>
        <w:fldChar w:fldCharType="separate"/>
      </w:r>
      <w:r w:rsidR="007C78F1">
        <w:rPr>
          <w:noProof/>
        </w:rPr>
        <w:t>56</w:t>
      </w:r>
      <w:r w:rsidR="00FF5BA3">
        <w:rPr>
          <w:noProof/>
        </w:rPr>
        <w:fldChar w:fldCharType="end"/>
      </w:r>
    </w:p>
    <w:p w:rsidR="00AF3917" w:rsidRPr="008D610C" w:rsidRDefault="00FF5BA3">
      <w:pPr>
        <w:sectPr w:rsidR="00AF3917" w:rsidRPr="008D610C">
          <w:headerReference w:type="even" r:id="rId8"/>
          <w:headerReference w:type="default" r:id="rId9"/>
          <w:footerReference w:type="even" r:id="rId10"/>
          <w:footerReference w:type="default" r:id="rId11"/>
          <w:pgSz w:w="11907" w:h="16839" w:code="9"/>
          <w:pgMar w:top="1701" w:right="851" w:bottom="2268" w:left="1588" w:header="1134" w:footer="851" w:gutter="0"/>
          <w:cols w:space="720"/>
          <w:docGrid w:linePitch="326"/>
        </w:sectPr>
      </w:pPr>
      <w:r w:rsidRPr="008D610C">
        <w:rPr>
          <w:rFonts w:ascii="Arial" w:hAnsi="Arial"/>
          <w:b/>
          <w:caps/>
          <w:sz w:val="20"/>
        </w:rPr>
        <w:fldChar w:fldCharType="end"/>
      </w:r>
    </w:p>
    <w:p w:rsidR="00AF3917" w:rsidRPr="008D610C" w:rsidRDefault="00AF3917">
      <w:pPr>
        <w:pStyle w:val="Heading1NoNumbering"/>
      </w:pPr>
      <w:bookmarkStart w:id="1" w:name="_Ref374261638"/>
      <w:bookmarkStart w:id="2" w:name="_Toc461617807"/>
      <w:r w:rsidRPr="008D610C">
        <w:lastRenderedPageBreak/>
        <w:t>Abbreviations and definitions</w:t>
      </w:r>
      <w:bookmarkEnd w:id="1"/>
      <w:bookmarkEnd w:id="2"/>
    </w:p>
    <w:tbl>
      <w:tblPr>
        <w:tblW w:w="0" w:type="auto"/>
        <w:tblLook w:val="0000"/>
      </w:tblPr>
      <w:tblGrid>
        <w:gridCol w:w="2053"/>
        <w:gridCol w:w="7415"/>
      </w:tblGrid>
      <w:tr w:rsidR="009511F1" w:rsidRPr="00120F8B" w:rsidTr="009511F1">
        <w:tc>
          <w:tcPr>
            <w:tcW w:w="2053" w:type="dxa"/>
          </w:tcPr>
          <w:p w:rsidR="009511F1" w:rsidRPr="009511F1" w:rsidRDefault="009511F1" w:rsidP="009511F1">
            <w:pPr>
              <w:rPr>
                <w:b/>
                <w:bCs/>
              </w:rPr>
            </w:pPr>
            <w:r w:rsidRPr="009511F1">
              <w:rPr>
                <w:b/>
                <w:bCs/>
              </w:rPr>
              <w:t>Ad</w:t>
            </w:r>
          </w:p>
        </w:tc>
        <w:tc>
          <w:tcPr>
            <w:tcW w:w="7415" w:type="dxa"/>
          </w:tcPr>
          <w:p w:rsidR="009511F1" w:rsidRPr="009511F1" w:rsidRDefault="009511F1" w:rsidP="009511F1">
            <w:r w:rsidRPr="009511F1">
              <w:t>Adenocarcinoma</w:t>
            </w:r>
          </w:p>
        </w:tc>
      </w:tr>
      <w:tr w:rsidR="009511F1" w:rsidRPr="00120F8B" w:rsidTr="009511F1">
        <w:tc>
          <w:tcPr>
            <w:tcW w:w="2053" w:type="dxa"/>
          </w:tcPr>
          <w:p w:rsidR="009511F1" w:rsidRPr="009511F1" w:rsidRDefault="009511F1" w:rsidP="009511F1">
            <w:pPr>
              <w:rPr>
                <w:b/>
                <w:bCs/>
              </w:rPr>
            </w:pPr>
            <w:r w:rsidRPr="009511F1">
              <w:rPr>
                <w:b/>
                <w:bCs/>
              </w:rPr>
              <w:t>AE(s)</w:t>
            </w:r>
          </w:p>
        </w:tc>
        <w:tc>
          <w:tcPr>
            <w:tcW w:w="7415" w:type="dxa"/>
          </w:tcPr>
          <w:p w:rsidR="009511F1" w:rsidRPr="009511F1" w:rsidRDefault="009511F1" w:rsidP="009511F1">
            <w:r w:rsidRPr="009511F1">
              <w:t>Adverse Event(s)</w:t>
            </w:r>
          </w:p>
        </w:tc>
      </w:tr>
      <w:tr w:rsidR="009511F1" w:rsidRPr="00120F8B" w:rsidTr="009511F1">
        <w:tc>
          <w:tcPr>
            <w:tcW w:w="2053" w:type="dxa"/>
          </w:tcPr>
          <w:p w:rsidR="009511F1" w:rsidRPr="009511F1" w:rsidRDefault="009511F1" w:rsidP="009511F1">
            <w:pPr>
              <w:rPr>
                <w:b/>
                <w:bCs/>
              </w:rPr>
            </w:pPr>
            <w:r w:rsidRPr="009511F1">
              <w:rPr>
                <w:b/>
                <w:bCs/>
              </w:rPr>
              <w:t>ALP</w:t>
            </w:r>
          </w:p>
        </w:tc>
        <w:tc>
          <w:tcPr>
            <w:tcW w:w="7415" w:type="dxa"/>
          </w:tcPr>
          <w:p w:rsidR="009511F1" w:rsidRPr="009511F1" w:rsidRDefault="009511F1" w:rsidP="009511F1">
            <w:r w:rsidRPr="009511F1">
              <w:t>ALkaline Phosphatase</w:t>
            </w:r>
          </w:p>
        </w:tc>
      </w:tr>
      <w:tr w:rsidR="009511F1" w:rsidRPr="00120F8B" w:rsidTr="009511F1">
        <w:tc>
          <w:tcPr>
            <w:tcW w:w="2053" w:type="dxa"/>
          </w:tcPr>
          <w:p w:rsidR="009511F1" w:rsidRPr="009511F1" w:rsidRDefault="009511F1" w:rsidP="009511F1">
            <w:pPr>
              <w:rPr>
                <w:b/>
                <w:bCs/>
              </w:rPr>
            </w:pPr>
            <w:r w:rsidRPr="009511F1">
              <w:rPr>
                <w:b/>
                <w:bCs/>
              </w:rPr>
              <w:t>ALT (SGPT)</w:t>
            </w:r>
          </w:p>
        </w:tc>
        <w:tc>
          <w:tcPr>
            <w:tcW w:w="7415" w:type="dxa"/>
          </w:tcPr>
          <w:p w:rsidR="009511F1" w:rsidRPr="009511F1" w:rsidRDefault="009511F1" w:rsidP="009511F1">
            <w:r w:rsidRPr="009511F1">
              <w:t xml:space="preserve">ALanine aminoTransferase </w:t>
            </w:r>
          </w:p>
        </w:tc>
      </w:tr>
      <w:tr w:rsidR="009511F1" w:rsidRPr="00120F8B" w:rsidTr="009511F1">
        <w:tc>
          <w:tcPr>
            <w:tcW w:w="2053" w:type="dxa"/>
          </w:tcPr>
          <w:p w:rsidR="009511F1" w:rsidRPr="009511F1" w:rsidRDefault="009511F1" w:rsidP="009511F1">
            <w:pPr>
              <w:rPr>
                <w:b/>
                <w:bCs/>
              </w:rPr>
            </w:pPr>
            <w:r w:rsidRPr="009511F1">
              <w:rPr>
                <w:b/>
                <w:bCs/>
              </w:rPr>
              <w:t>APC</w:t>
            </w:r>
          </w:p>
        </w:tc>
        <w:tc>
          <w:tcPr>
            <w:tcW w:w="7415" w:type="dxa"/>
          </w:tcPr>
          <w:p w:rsidR="009511F1" w:rsidRPr="009511F1" w:rsidRDefault="009511F1" w:rsidP="009511F1">
            <w:r w:rsidRPr="009511F1">
              <w:t>Antigen Presenting Cell</w:t>
            </w:r>
          </w:p>
        </w:tc>
      </w:tr>
      <w:tr w:rsidR="009511F1" w:rsidRPr="00120F8B" w:rsidTr="009511F1">
        <w:tc>
          <w:tcPr>
            <w:tcW w:w="2053" w:type="dxa"/>
          </w:tcPr>
          <w:p w:rsidR="009511F1" w:rsidRPr="009511F1" w:rsidRDefault="009511F1" w:rsidP="009511F1">
            <w:pPr>
              <w:rPr>
                <w:b/>
                <w:bCs/>
              </w:rPr>
            </w:pPr>
            <w:r w:rsidRPr="009511F1">
              <w:rPr>
                <w:b/>
                <w:bCs/>
              </w:rPr>
              <w:t>ARG</w:t>
            </w:r>
          </w:p>
        </w:tc>
        <w:tc>
          <w:tcPr>
            <w:tcW w:w="7415" w:type="dxa"/>
          </w:tcPr>
          <w:p w:rsidR="009511F1" w:rsidRPr="009511F1" w:rsidRDefault="009511F1" w:rsidP="009511F1">
            <w:r w:rsidRPr="009511F1">
              <w:t>Arginine</w:t>
            </w:r>
          </w:p>
        </w:tc>
      </w:tr>
      <w:tr w:rsidR="009511F1" w:rsidRPr="00120F8B" w:rsidTr="009511F1">
        <w:tc>
          <w:tcPr>
            <w:tcW w:w="2053" w:type="dxa"/>
          </w:tcPr>
          <w:p w:rsidR="009511F1" w:rsidRPr="009511F1" w:rsidRDefault="009511F1" w:rsidP="009511F1">
            <w:pPr>
              <w:rPr>
                <w:b/>
                <w:bCs/>
              </w:rPr>
            </w:pPr>
            <w:r w:rsidRPr="009511F1">
              <w:rPr>
                <w:b/>
                <w:bCs/>
              </w:rPr>
              <w:t>AST (SGOT)</w:t>
            </w:r>
          </w:p>
        </w:tc>
        <w:tc>
          <w:tcPr>
            <w:tcW w:w="7415" w:type="dxa"/>
          </w:tcPr>
          <w:p w:rsidR="009511F1" w:rsidRPr="009511F1" w:rsidRDefault="009511F1" w:rsidP="009511F1">
            <w:r w:rsidRPr="009511F1">
              <w:t xml:space="preserve">ASpartate aminoTransferase </w:t>
            </w:r>
          </w:p>
        </w:tc>
      </w:tr>
      <w:tr w:rsidR="009511F1" w:rsidRPr="00120F8B" w:rsidTr="009511F1">
        <w:tc>
          <w:tcPr>
            <w:tcW w:w="2053" w:type="dxa"/>
          </w:tcPr>
          <w:p w:rsidR="009511F1" w:rsidRPr="009511F1" w:rsidRDefault="009511F1" w:rsidP="009511F1">
            <w:pPr>
              <w:rPr>
                <w:b/>
                <w:bCs/>
              </w:rPr>
            </w:pPr>
            <w:r w:rsidRPr="009511F1">
              <w:rPr>
                <w:b/>
                <w:bCs/>
              </w:rPr>
              <w:t>BUN</w:t>
            </w:r>
          </w:p>
        </w:tc>
        <w:tc>
          <w:tcPr>
            <w:tcW w:w="7415" w:type="dxa"/>
          </w:tcPr>
          <w:p w:rsidR="009511F1" w:rsidRPr="009511F1" w:rsidRDefault="009511F1" w:rsidP="009511F1">
            <w:r w:rsidRPr="009511F1">
              <w:t>Blood Urea Nitrogen</w:t>
            </w:r>
          </w:p>
        </w:tc>
      </w:tr>
      <w:tr w:rsidR="009511F1" w:rsidRPr="00120F8B" w:rsidTr="009511F1">
        <w:tc>
          <w:tcPr>
            <w:tcW w:w="2053" w:type="dxa"/>
          </w:tcPr>
          <w:p w:rsidR="009511F1" w:rsidRPr="009511F1" w:rsidRDefault="009511F1" w:rsidP="009511F1">
            <w:pPr>
              <w:rPr>
                <w:b/>
                <w:bCs/>
              </w:rPr>
            </w:pPr>
            <w:r w:rsidRPr="009511F1">
              <w:rPr>
                <w:b/>
                <w:bCs/>
              </w:rPr>
              <w:t>CD</w:t>
            </w:r>
          </w:p>
        </w:tc>
        <w:tc>
          <w:tcPr>
            <w:tcW w:w="7415" w:type="dxa"/>
          </w:tcPr>
          <w:p w:rsidR="009511F1" w:rsidRPr="009511F1" w:rsidRDefault="009511F1" w:rsidP="009511F1">
            <w:r w:rsidRPr="009511F1">
              <w:t>Cluster of Differentiation</w:t>
            </w:r>
          </w:p>
        </w:tc>
      </w:tr>
      <w:tr w:rsidR="009511F1" w:rsidRPr="00120F8B" w:rsidTr="009511F1">
        <w:tc>
          <w:tcPr>
            <w:tcW w:w="2053" w:type="dxa"/>
          </w:tcPr>
          <w:p w:rsidR="009511F1" w:rsidRPr="009511F1" w:rsidRDefault="009511F1" w:rsidP="009511F1">
            <w:pPr>
              <w:rPr>
                <w:b/>
                <w:bCs/>
              </w:rPr>
            </w:pPr>
            <w:r w:rsidRPr="009511F1">
              <w:rPr>
                <w:b/>
                <w:bCs/>
              </w:rPr>
              <w:t>CR</w:t>
            </w:r>
          </w:p>
        </w:tc>
        <w:tc>
          <w:tcPr>
            <w:tcW w:w="7415" w:type="dxa"/>
          </w:tcPr>
          <w:p w:rsidR="009511F1" w:rsidRPr="009511F1" w:rsidRDefault="009511F1" w:rsidP="009511F1">
            <w:r w:rsidRPr="009511F1">
              <w:t>Complete Response</w:t>
            </w:r>
          </w:p>
        </w:tc>
      </w:tr>
      <w:tr w:rsidR="009511F1" w:rsidRPr="00120F8B" w:rsidTr="009511F1">
        <w:tc>
          <w:tcPr>
            <w:tcW w:w="2053" w:type="dxa"/>
          </w:tcPr>
          <w:p w:rsidR="009511F1" w:rsidRPr="009511F1" w:rsidRDefault="009511F1" w:rsidP="009511F1">
            <w:pPr>
              <w:rPr>
                <w:b/>
                <w:bCs/>
              </w:rPr>
            </w:pPr>
            <w:r w:rsidRPr="009511F1">
              <w:rPr>
                <w:b/>
                <w:bCs/>
              </w:rPr>
              <w:t>CRA</w:t>
            </w:r>
          </w:p>
        </w:tc>
        <w:tc>
          <w:tcPr>
            <w:tcW w:w="7415" w:type="dxa"/>
          </w:tcPr>
          <w:p w:rsidR="009511F1" w:rsidRPr="009511F1" w:rsidRDefault="009511F1" w:rsidP="009511F1">
            <w:r w:rsidRPr="009511F1">
              <w:t>Clinical Research Associate</w:t>
            </w:r>
          </w:p>
        </w:tc>
      </w:tr>
      <w:tr w:rsidR="009511F1" w:rsidRPr="00120F8B" w:rsidTr="009511F1">
        <w:tc>
          <w:tcPr>
            <w:tcW w:w="2053" w:type="dxa"/>
          </w:tcPr>
          <w:p w:rsidR="009511F1" w:rsidRPr="009511F1" w:rsidRDefault="009511F1" w:rsidP="009511F1">
            <w:pPr>
              <w:rPr>
                <w:b/>
                <w:bCs/>
              </w:rPr>
            </w:pPr>
            <w:r w:rsidRPr="009511F1">
              <w:rPr>
                <w:b/>
                <w:bCs/>
              </w:rPr>
              <w:t>CT</w:t>
            </w:r>
          </w:p>
        </w:tc>
        <w:tc>
          <w:tcPr>
            <w:tcW w:w="7415" w:type="dxa"/>
          </w:tcPr>
          <w:p w:rsidR="009511F1" w:rsidRPr="009511F1" w:rsidRDefault="009511F1" w:rsidP="009511F1">
            <w:r w:rsidRPr="009511F1">
              <w:t>Computed Tomography</w:t>
            </w:r>
          </w:p>
        </w:tc>
      </w:tr>
      <w:tr w:rsidR="009511F1" w:rsidRPr="00120F8B" w:rsidTr="009511F1">
        <w:tc>
          <w:tcPr>
            <w:tcW w:w="2053" w:type="dxa"/>
          </w:tcPr>
          <w:p w:rsidR="009511F1" w:rsidRPr="009511F1" w:rsidRDefault="009511F1" w:rsidP="009511F1">
            <w:pPr>
              <w:rPr>
                <w:b/>
                <w:bCs/>
              </w:rPr>
            </w:pPr>
            <w:r w:rsidRPr="009511F1">
              <w:rPr>
                <w:b/>
                <w:bCs/>
              </w:rPr>
              <w:t>CTL</w:t>
            </w:r>
          </w:p>
        </w:tc>
        <w:tc>
          <w:tcPr>
            <w:tcW w:w="7415" w:type="dxa"/>
          </w:tcPr>
          <w:p w:rsidR="009511F1" w:rsidRPr="009511F1" w:rsidRDefault="009511F1" w:rsidP="009511F1">
            <w:r w:rsidRPr="009511F1">
              <w:t>Cytotoxic T Lymphocyte</w:t>
            </w:r>
          </w:p>
        </w:tc>
      </w:tr>
      <w:tr w:rsidR="009511F1" w:rsidRPr="00120F8B" w:rsidTr="009511F1">
        <w:tc>
          <w:tcPr>
            <w:tcW w:w="2053" w:type="dxa"/>
          </w:tcPr>
          <w:p w:rsidR="009511F1" w:rsidRPr="009511F1" w:rsidRDefault="009511F1" w:rsidP="009511F1">
            <w:pPr>
              <w:rPr>
                <w:b/>
                <w:bCs/>
              </w:rPr>
            </w:pPr>
            <w:r w:rsidRPr="009511F1">
              <w:rPr>
                <w:b/>
                <w:bCs/>
              </w:rPr>
              <w:t>DC</w:t>
            </w:r>
          </w:p>
        </w:tc>
        <w:tc>
          <w:tcPr>
            <w:tcW w:w="7415" w:type="dxa"/>
          </w:tcPr>
          <w:p w:rsidR="009511F1" w:rsidRPr="009511F1" w:rsidRDefault="009511F1" w:rsidP="009511F1">
            <w:r w:rsidRPr="009511F1">
              <w:t>Disease Control</w:t>
            </w:r>
          </w:p>
        </w:tc>
      </w:tr>
      <w:tr w:rsidR="009511F1" w:rsidRPr="00120F8B" w:rsidTr="009511F1">
        <w:tc>
          <w:tcPr>
            <w:tcW w:w="2053" w:type="dxa"/>
          </w:tcPr>
          <w:p w:rsidR="009511F1" w:rsidRPr="009511F1" w:rsidRDefault="009511F1" w:rsidP="009511F1">
            <w:pPr>
              <w:rPr>
                <w:b/>
                <w:bCs/>
              </w:rPr>
            </w:pPr>
            <w:r w:rsidRPr="009511F1">
              <w:rPr>
                <w:b/>
                <w:bCs/>
              </w:rPr>
              <w:t>dL</w:t>
            </w:r>
          </w:p>
        </w:tc>
        <w:tc>
          <w:tcPr>
            <w:tcW w:w="7415" w:type="dxa"/>
          </w:tcPr>
          <w:p w:rsidR="009511F1" w:rsidRPr="009511F1" w:rsidRDefault="009511F1" w:rsidP="009511F1">
            <w:r w:rsidRPr="009511F1">
              <w:t>Deciliter (100ml)</w:t>
            </w:r>
          </w:p>
        </w:tc>
      </w:tr>
      <w:tr w:rsidR="009511F1" w:rsidRPr="00120F8B" w:rsidTr="009511F1">
        <w:tc>
          <w:tcPr>
            <w:tcW w:w="2053" w:type="dxa"/>
          </w:tcPr>
          <w:p w:rsidR="009511F1" w:rsidRPr="009511F1" w:rsidRDefault="009511F1" w:rsidP="009511F1">
            <w:pPr>
              <w:rPr>
                <w:b/>
                <w:bCs/>
              </w:rPr>
            </w:pPr>
            <w:r w:rsidRPr="009511F1">
              <w:rPr>
                <w:b/>
                <w:bCs/>
              </w:rPr>
              <w:t>DNA</w:t>
            </w:r>
          </w:p>
        </w:tc>
        <w:tc>
          <w:tcPr>
            <w:tcW w:w="7415" w:type="dxa"/>
          </w:tcPr>
          <w:p w:rsidR="009511F1" w:rsidRPr="009511F1" w:rsidRDefault="009511F1" w:rsidP="009511F1">
            <w:r w:rsidRPr="009511F1">
              <w:t>DeoxyriboNucleic Acid</w:t>
            </w:r>
          </w:p>
        </w:tc>
      </w:tr>
      <w:tr w:rsidR="009511F1" w:rsidRPr="00120F8B" w:rsidTr="009511F1">
        <w:tc>
          <w:tcPr>
            <w:tcW w:w="2053" w:type="dxa"/>
          </w:tcPr>
          <w:p w:rsidR="009511F1" w:rsidRPr="009511F1" w:rsidRDefault="009511F1" w:rsidP="009511F1">
            <w:pPr>
              <w:rPr>
                <w:b/>
                <w:bCs/>
              </w:rPr>
            </w:pPr>
            <w:r w:rsidRPr="009511F1">
              <w:rPr>
                <w:b/>
                <w:bCs/>
              </w:rPr>
              <w:t>DSR</w:t>
            </w:r>
          </w:p>
        </w:tc>
        <w:tc>
          <w:tcPr>
            <w:tcW w:w="7415" w:type="dxa"/>
          </w:tcPr>
          <w:p w:rsidR="009511F1" w:rsidRPr="009511F1" w:rsidRDefault="009511F1" w:rsidP="009511F1">
            <w:r w:rsidRPr="009511F1">
              <w:t>Data Summary Report</w:t>
            </w:r>
          </w:p>
        </w:tc>
      </w:tr>
      <w:tr w:rsidR="009511F1" w:rsidRPr="008D610C" w:rsidTr="009511F1">
        <w:tc>
          <w:tcPr>
            <w:tcW w:w="2053" w:type="dxa"/>
          </w:tcPr>
          <w:p w:rsidR="009511F1" w:rsidRPr="008D610C" w:rsidRDefault="009511F1" w:rsidP="009511F1">
            <w:pPr>
              <w:rPr>
                <w:b/>
                <w:bCs/>
              </w:rPr>
            </w:pPr>
            <w:r>
              <w:rPr>
                <w:b/>
                <w:bCs/>
              </w:rPr>
              <w:t>DSMB</w:t>
            </w:r>
          </w:p>
        </w:tc>
        <w:tc>
          <w:tcPr>
            <w:tcW w:w="7415" w:type="dxa"/>
          </w:tcPr>
          <w:p w:rsidR="009511F1" w:rsidRPr="008D610C" w:rsidRDefault="009511F1" w:rsidP="009511F1">
            <w:r>
              <w:t>Data Safety and Monitoring Board</w:t>
            </w:r>
          </w:p>
        </w:tc>
      </w:tr>
      <w:tr w:rsidR="009511F1" w:rsidRPr="00120F8B" w:rsidTr="009511F1">
        <w:tc>
          <w:tcPr>
            <w:tcW w:w="2053" w:type="dxa"/>
          </w:tcPr>
          <w:p w:rsidR="009511F1" w:rsidRPr="009511F1" w:rsidRDefault="009511F1" w:rsidP="009511F1">
            <w:pPr>
              <w:rPr>
                <w:b/>
                <w:bCs/>
              </w:rPr>
            </w:pPr>
            <w:r w:rsidRPr="009511F1">
              <w:rPr>
                <w:b/>
                <w:bCs/>
              </w:rPr>
              <w:t>ECG</w:t>
            </w:r>
          </w:p>
        </w:tc>
        <w:tc>
          <w:tcPr>
            <w:tcW w:w="7415" w:type="dxa"/>
          </w:tcPr>
          <w:p w:rsidR="009511F1" w:rsidRPr="009511F1" w:rsidRDefault="009511F1" w:rsidP="009511F1">
            <w:r w:rsidRPr="009511F1">
              <w:t>ElectroCardioGram</w:t>
            </w:r>
          </w:p>
        </w:tc>
      </w:tr>
      <w:tr w:rsidR="009511F1" w:rsidRPr="00120F8B" w:rsidTr="009511F1">
        <w:tc>
          <w:tcPr>
            <w:tcW w:w="2053" w:type="dxa"/>
          </w:tcPr>
          <w:p w:rsidR="009511F1" w:rsidRPr="009511F1" w:rsidRDefault="009511F1" w:rsidP="009511F1">
            <w:pPr>
              <w:rPr>
                <w:b/>
                <w:bCs/>
              </w:rPr>
            </w:pPr>
            <w:r w:rsidRPr="009511F1">
              <w:rPr>
                <w:b/>
                <w:bCs/>
              </w:rPr>
              <w:t>ECOG</w:t>
            </w:r>
          </w:p>
        </w:tc>
        <w:tc>
          <w:tcPr>
            <w:tcW w:w="7415" w:type="dxa"/>
          </w:tcPr>
          <w:p w:rsidR="009511F1" w:rsidRPr="009511F1" w:rsidRDefault="009511F1" w:rsidP="009511F1">
            <w:r w:rsidRPr="009511F1">
              <w:t>Eastern Cooperative Oncology Group</w:t>
            </w:r>
          </w:p>
        </w:tc>
      </w:tr>
      <w:tr w:rsidR="009511F1" w:rsidRPr="00120F8B" w:rsidTr="009511F1">
        <w:tc>
          <w:tcPr>
            <w:tcW w:w="2053" w:type="dxa"/>
          </w:tcPr>
          <w:p w:rsidR="009511F1" w:rsidRPr="009511F1" w:rsidRDefault="009511F1" w:rsidP="009511F1">
            <w:pPr>
              <w:rPr>
                <w:b/>
                <w:bCs/>
              </w:rPr>
            </w:pPr>
            <w:r w:rsidRPr="009511F1">
              <w:rPr>
                <w:b/>
                <w:bCs/>
              </w:rPr>
              <w:t>eCRF</w:t>
            </w:r>
          </w:p>
        </w:tc>
        <w:tc>
          <w:tcPr>
            <w:tcW w:w="7415" w:type="dxa"/>
          </w:tcPr>
          <w:p w:rsidR="009511F1" w:rsidRPr="009511F1" w:rsidRDefault="009511F1" w:rsidP="009511F1">
            <w:r w:rsidRPr="009511F1">
              <w:t>electronic Case Report Form</w:t>
            </w:r>
          </w:p>
        </w:tc>
      </w:tr>
      <w:tr w:rsidR="009511F1" w:rsidRPr="00120F8B" w:rsidTr="009511F1">
        <w:tc>
          <w:tcPr>
            <w:tcW w:w="2053" w:type="dxa"/>
          </w:tcPr>
          <w:p w:rsidR="009511F1" w:rsidRPr="009511F1" w:rsidRDefault="009511F1" w:rsidP="009511F1">
            <w:pPr>
              <w:rPr>
                <w:b/>
                <w:bCs/>
              </w:rPr>
            </w:pPr>
            <w:r w:rsidRPr="009511F1">
              <w:rPr>
                <w:b/>
                <w:bCs/>
              </w:rPr>
              <w:t>ELISPOT</w:t>
            </w:r>
          </w:p>
        </w:tc>
        <w:tc>
          <w:tcPr>
            <w:tcW w:w="7415" w:type="dxa"/>
          </w:tcPr>
          <w:p w:rsidR="009511F1" w:rsidRPr="009511F1" w:rsidRDefault="009511F1" w:rsidP="009511F1">
            <w:r w:rsidRPr="009511F1">
              <w:t>Enzyme-LInked immuno-Sorbent spot assay</w:t>
            </w:r>
            <w:r w:rsidRPr="009511F1" w:rsidDel="002617F4">
              <w:t xml:space="preserve"> </w:t>
            </w:r>
          </w:p>
        </w:tc>
      </w:tr>
      <w:tr w:rsidR="009511F1" w:rsidRPr="00120F8B" w:rsidTr="009511F1">
        <w:tc>
          <w:tcPr>
            <w:tcW w:w="2053" w:type="dxa"/>
          </w:tcPr>
          <w:p w:rsidR="009511F1" w:rsidRPr="009511F1" w:rsidRDefault="009511F1" w:rsidP="009511F1">
            <w:pPr>
              <w:rPr>
                <w:b/>
                <w:bCs/>
              </w:rPr>
            </w:pPr>
            <w:r w:rsidRPr="009511F1">
              <w:rPr>
                <w:b/>
                <w:bCs/>
              </w:rPr>
              <w:t>FAS</w:t>
            </w:r>
          </w:p>
        </w:tc>
        <w:tc>
          <w:tcPr>
            <w:tcW w:w="7415" w:type="dxa"/>
          </w:tcPr>
          <w:p w:rsidR="009511F1" w:rsidRPr="009511F1" w:rsidRDefault="009511F1" w:rsidP="009511F1">
            <w:r w:rsidRPr="009511F1">
              <w:t>Primary Analysis Set</w:t>
            </w:r>
          </w:p>
        </w:tc>
      </w:tr>
      <w:tr w:rsidR="009511F1" w:rsidRPr="00120F8B" w:rsidTr="009511F1">
        <w:tc>
          <w:tcPr>
            <w:tcW w:w="2053" w:type="dxa"/>
          </w:tcPr>
          <w:p w:rsidR="009511F1" w:rsidRPr="009511F1" w:rsidRDefault="009511F1" w:rsidP="009511F1">
            <w:pPr>
              <w:rPr>
                <w:b/>
                <w:bCs/>
              </w:rPr>
            </w:pPr>
            <w:r w:rsidRPr="009511F1">
              <w:rPr>
                <w:b/>
                <w:bCs/>
              </w:rPr>
              <w:t>FDA</w:t>
            </w:r>
          </w:p>
        </w:tc>
        <w:tc>
          <w:tcPr>
            <w:tcW w:w="7415" w:type="dxa"/>
          </w:tcPr>
          <w:p w:rsidR="009511F1" w:rsidRPr="009511F1" w:rsidRDefault="009511F1" w:rsidP="009511F1">
            <w:r w:rsidRPr="009511F1">
              <w:t>Food and Drug Administration</w:t>
            </w:r>
          </w:p>
        </w:tc>
      </w:tr>
      <w:tr w:rsidR="009511F1" w:rsidRPr="00120F8B" w:rsidTr="009511F1">
        <w:tc>
          <w:tcPr>
            <w:tcW w:w="2053" w:type="dxa"/>
          </w:tcPr>
          <w:p w:rsidR="009511F1" w:rsidRPr="009511F1" w:rsidRDefault="009511F1" w:rsidP="009511F1">
            <w:pPr>
              <w:rPr>
                <w:b/>
                <w:bCs/>
              </w:rPr>
            </w:pPr>
            <w:r w:rsidRPr="009511F1">
              <w:rPr>
                <w:b/>
                <w:bCs/>
              </w:rPr>
              <w:t>GCP</w:t>
            </w:r>
          </w:p>
        </w:tc>
        <w:tc>
          <w:tcPr>
            <w:tcW w:w="7415" w:type="dxa"/>
          </w:tcPr>
          <w:p w:rsidR="009511F1" w:rsidRPr="009511F1" w:rsidRDefault="009511F1" w:rsidP="009511F1">
            <w:r w:rsidRPr="009511F1">
              <w:t>Good Clinical Practice</w:t>
            </w:r>
          </w:p>
        </w:tc>
      </w:tr>
      <w:tr w:rsidR="009511F1" w:rsidRPr="00120F8B" w:rsidTr="009511F1">
        <w:tc>
          <w:tcPr>
            <w:tcW w:w="2053" w:type="dxa"/>
          </w:tcPr>
          <w:p w:rsidR="009511F1" w:rsidRPr="009511F1" w:rsidRDefault="009511F1" w:rsidP="009511F1">
            <w:pPr>
              <w:rPr>
                <w:b/>
                <w:bCs/>
              </w:rPr>
            </w:pPr>
            <w:r w:rsidRPr="009511F1">
              <w:rPr>
                <w:b/>
                <w:bCs/>
              </w:rPr>
              <w:t>GCSP</w:t>
            </w:r>
          </w:p>
        </w:tc>
        <w:tc>
          <w:tcPr>
            <w:tcW w:w="7415" w:type="dxa"/>
          </w:tcPr>
          <w:p w:rsidR="009511F1" w:rsidRPr="009511F1" w:rsidRDefault="009511F1" w:rsidP="009511F1">
            <w:r w:rsidRPr="009511F1">
              <w:t>Global Clinical Safety and Pharmacovigilance</w:t>
            </w:r>
          </w:p>
        </w:tc>
      </w:tr>
      <w:tr w:rsidR="009511F1" w:rsidRPr="00120F8B" w:rsidTr="009511F1">
        <w:tc>
          <w:tcPr>
            <w:tcW w:w="2053" w:type="dxa"/>
          </w:tcPr>
          <w:p w:rsidR="009511F1" w:rsidRPr="009511F1" w:rsidRDefault="009511F1" w:rsidP="009511F1">
            <w:pPr>
              <w:rPr>
                <w:b/>
                <w:bCs/>
              </w:rPr>
            </w:pPr>
            <w:r w:rsidRPr="009511F1">
              <w:rPr>
                <w:b/>
                <w:bCs/>
              </w:rPr>
              <w:t>GMP</w:t>
            </w:r>
          </w:p>
        </w:tc>
        <w:tc>
          <w:tcPr>
            <w:tcW w:w="7415" w:type="dxa"/>
          </w:tcPr>
          <w:p w:rsidR="009511F1" w:rsidRPr="009511F1" w:rsidRDefault="009511F1" w:rsidP="009511F1">
            <w:r w:rsidRPr="009511F1">
              <w:t xml:space="preserve">Good Manufacturing Practice </w:t>
            </w:r>
          </w:p>
        </w:tc>
      </w:tr>
      <w:tr w:rsidR="009511F1" w:rsidRPr="00120F8B" w:rsidTr="009511F1">
        <w:tc>
          <w:tcPr>
            <w:tcW w:w="2053" w:type="dxa"/>
          </w:tcPr>
          <w:p w:rsidR="009511F1" w:rsidRPr="009511F1" w:rsidRDefault="009511F1" w:rsidP="009511F1">
            <w:pPr>
              <w:rPr>
                <w:b/>
                <w:bCs/>
              </w:rPr>
            </w:pPr>
            <w:r w:rsidRPr="009511F1">
              <w:rPr>
                <w:b/>
                <w:bCs/>
              </w:rPr>
              <w:t>GM-CSF</w:t>
            </w:r>
          </w:p>
        </w:tc>
        <w:tc>
          <w:tcPr>
            <w:tcW w:w="7415" w:type="dxa"/>
          </w:tcPr>
          <w:p w:rsidR="009511F1" w:rsidRPr="009511F1" w:rsidRDefault="009511F1" w:rsidP="009511F1">
            <w:r w:rsidRPr="009511F1">
              <w:t>Granulocyte-Macrophage Colony Stimulating Factor</w:t>
            </w:r>
          </w:p>
        </w:tc>
      </w:tr>
      <w:tr w:rsidR="009511F1" w:rsidRPr="00120F8B" w:rsidTr="009511F1">
        <w:tc>
          <w:tcPr>
            <w:tcW w:w="2053" w:type="dxa"/>
          </w:tcPr>
          <w:p w:rsidR="009511F1" w:rsidRPr="009511F1" w:rsidRDefault="009511F1" w:rsidP="009511F1">
            <w:pPr>
              <w:rPr>
                <w:b/>
                <w:bCs/>
              </w:rPr>
            </w:pPr>
            <w:r w:rsidRPr="009511F1">
              <w:rPr>
                <w:b/>
                <w:bCs/>
              </w:rPr>
              <w:t>HLA</w:t>
            </w:r>
          </w:p>
        </w:tc>
        <w:tc>
          <w:tcPr>
            <w:tcW w:w="7415" w:type="dxa"/>
          </w:tcPr>
          <w:p w:rsidR="009511F1" w:rsidRPr="009511F1" w:rsidRDefault="009511F1" w:rsidP="009511F1">
            <w:r w:rsidRPr="009511F1">
              <w:t>Human Leukocyte Antigen</w:t>
            </w:r>
          </w:p>
        </w:tc>
      </w:tr>
      <w:tr w:rsidR="009511F1" w:rsidRPr="00120F8B" w:rsidTr="009511F1">
        <w:tc>
          <w:tcPr>
            <w:tcW w:w="2053" w:type="dxa"/>
          </w:tcPr>
          <w:p w:rsidR="009511F1" w:rsidRPr="009511F1" w:rsidRDefault="009511F1" w:rsidP="009511F1">
            <w:pPr>
              <w:rPr>
                <w:b/>
                <w:bCs/>
              </w:rPr>
            </w:pPr>
            <w:r w:rsidRPr="009511F1">
              <w:rPr>
                <w:b/>
                <w:bCs/>
              </w:rPr>
              <w:t>HLA I</w:t>
            </w:r>
          </w:p>
        </w:tc>
        <w:tc>
          <w:tcPr>
            <w:tcW w:w="7415" w:type="dxa"/>
          </w:tcPr>
          <w:p w:rsidR="009511F1" w:rsidRPr="009511F1" w:rsidRDefault="009511F1" w:rsidP="009511F1">
            <w:r w:rsidRPr="009511F1">
              <w:t>Human Leukocyte Antigen class I</w:t>
            </w:r>
          </w:p>
        </w:tc>
      </w:tr>
      <w:tr w:rsidR="009511F1" w:rsidRPr="00120F8B" w:rsidTr="009511F1">
        <w:tc>
          <w:tcPr>
            <w:tcW w:w="2053" w:type="dxa"/>
          </w:tcPr>
          <w:p w:rsidR="009511F1" w:rsidRPr="009511F1" w:rsidRDefault="009511F1" w:rsidP="009511F1">
            <w:pPr>
              <w:rPr>
                <w:b/>
                <w:bCs/>
              </w:rPr>
            </w:pPr>
            <w:r w:rsidRPr="009511F1">
              <w:rPr>
                <w:b/>
                <w:bCs/>
              </w:rPr>
              <w:t>HPLC</w:t>
            </w:r>
          </w:p>
        </w:tc>
        <w:tc>
          <w:tcPr>
            <w:tcW w:w="7415" w:type="dxa"/>
          </w:tcPr>
          <w:p w:rsidR="009511F1" w:rsidRPr="009511F1" w:rsidRDefault="009511F1" w:rsidP="009511F1">
            <w:r w:rsidRPr="009511F1">
              <w:t>High Pressure Liquid Chromatography</w:t>
            </w:r>
          </w:p>
        </w:tc>
      </w:tr>
      <w:tr w:rsidR="009511F1" w:rsidRPr="00120F8B" w:rsidTr="009511F1">
        <w:tc>
          <w:tcPr>
            <w:tcW w:w="2053" w:type="dxa"/>
          </w:tcPr>
          <w:p w:rsidR="009511F1" w:rsidRPr="009511F1" w:rsidRDefault="009511F1" w:rsidP="009511F1">
            <w:pPr>
              <w:rPr>
                <w:b/>
                <w:bCs/>
              </w:rPr>
            </w:pPr>
            <w:r w:rsidRPr="009511F1">
              <w:rPr>
                <w:b/>
                <w:bCs/>
              </w:rPr>
              <w:t>IB</w:t>
            </w:r>
          </w:p>
        </w:tc>
        <w:tc>
          <w:tcPr>
            <w:tcW w:w="7415" w:type="dxa"/>
          </w:tcPr>
          <w:p w:rsidR="009511F1" w:rsidRPr="009511F1" w:rsidRDefault="009511F1" w:rsidP="009511F1">
            <w:r w:rsidRPr="009511F1">
              <w:t>Investigator Brochure</w:t>
            </w:r>
          </w:p>
        </w:tc>
      </w:tr>
      <w:tr w:rsidR="009511F1" w:rsidRPr="00120F8B" w:rsidTr="009511F1">
        <w:tc>
          <w:tcPr>
            <w:tcW w:w="2053" w:type="dxa"/>
          </w:tcPr>
          <w:p w:rsidR="009511F1" w:rsidRPr="009511F1" w:rsidRDefault="009511F1" w:rsidP="009511F1">
            <w:pPr>
              <w:rPr>
                <w:b/>
                <w:bCs/>
              </w:rPr>
            </w:pPr>
            <w:r w:rsidRPr="009511F1">
              <w:rPr>
                <w:b/>
                <w:bCs/>
              </w:rPr>
              <w:t>ICF</w:t>
            </w:r>
          </w:p>
        </w:tc>
        <w:tc>
          <w:tcPr>
            <w:tcW w:w="7415" w:type="dxa"/>
          </w:tcPr>
          <w:p w:rsidR="009511F1" w:rsidRPr="009511F1" w:rsidRDefault="009511F1" w:rsidP="009511F1">
            <w:r w:rsidRPr="009511F1">
              <w:t>Informed Consent Form</w:t>
            </w:r>
          </w:p>
        </w:tc>
      </w:tr>
      <w:tr w:rsidR="009511F1" w:rsidRPr="00120F8B" w:rsidTr="009511F1">
        <w:tc>
          <w:tcPr>
            <w:tcW w:w="2053" w:type="dxa"/>
          </w:tcPr>
          <w:p w:rsidR="009511F1" w:rsidRPr="009511F1" w:rsidRDefault="009511F1" w:rsidP="009511F1">
            <w:pPr>
              <w:rPr>
                <w:b/>
                <w:bCs/>
              </w:rPr>
            </w:pPr>
            <w:r w:rsidRPr="009511F1">
              <w:rPr>
                <w:b/>
                <w:bCs/>
              </w:rPr>
              <w:t>ID</w:t>
            </w:r>
          </w:p>
        </w:tc>
        <w:tc>
          <w:tcPr>
            <w:tcW w:w="7415" w:type="dxa"/>
          </w:tcPr>
          <w:p w:rsidR="009511F1" w:rsidRPr="009511F1" w:rsidRDefault="009511F1" w:rsidP="009511F1">
            <w:r w:rsidRPr="009511F1">
              <w:t>IDentification</w:t>
            </w:r>
          </w:p>
        </w:tc>
      </w:tr>
      <w:tr w:rsidR="009511F1" w:rsidRPr="00120F8B" w:rsidTr="009511F1">
        <w:tc>
          <w:tcPr>
            <w:tcW w:w="2053" w:type="dxa"/>
          </w:tcPr>
          <w:p w:rsidR="009511F1" w:rsidRPr="009511F1" w:rsidRDefault="009511F1" w:rsidP="009511F1">
            <w:pPr>
              <w:rPr>
                <w:b/>
                <w:bCs/>
              </w:rPr>
            </w:pPr>
            <w:r w:rsidRPr="009511F1">
              <w:rPr>
                <w:b/>
                <w:bCs/>
              </w:rPr>
              <w:t>IEC</w:t>
            </w:r>
          </w:p>
        </w:tc>
        <w:tc>
          <w:tcPr>
            <w:tcW w:w="7415" w:type="dxa"/>
          </w:tcPr>
          <w:p w:rsidR="009511F1" w:rsidRPr="009511F1" w:rsidRDefault="009511F1" w:rsidP="009511F1">
            <w:r w:rsidRPr="009511F1">
              <w:t>Independent Ethics Committee</w:t>
            </w:r>
          </w:p>
        </w:tc>
      </w:tr>
      <w:tr w:rsidR="009511F1" w:rsidRPr="00120F8B" w:rsidTr="009511F1">
        <w:tc>
          <w:tcPr>
            <w:tcW w:w="2053" w:type="dxa"/>
          </w:tcPr>
          <w:p w:rsidR="009511F1" w:rsidRPr="009511F1" w:rsidRDefault="009511F1" w:rsidP="009511F1">
            <w:pPr>
              <w:rPr>
                <w:b/>
                <w:bCs/>
              </w:rPr>
            </w:pPr>
            <w:r w:rsidRPr="009511F1">
              <w:rPr>
                <w:b/>
                <w:bCs/>
              </w:rPr>
              <w:t>IFA</w:t>
            </w:r>
          </w:p>
        </w:tc>
        <w:tc>
          <w:tcPr>
            <w:tcW w:w="7415" w:type="dxa"/>
          </w:tcPr>
          <w:p w:rsidR="009511F1" w:rsidRPr="009511F1" w:rsidRDefault="009511F1" w:rsidP="009511F1">
            <w:r w:rsidRPr="009511F1">
              <w:t>Incomplete Freund Adjuvant</w:t>
            </w:r>
          </w:p>
        </w:tc>
      </w:tr>
      <w:tr w:rsidR="009511F1" w:rsidRPr="00120F8B" w:rsidTr="009511F1">
        <w:tc>
          <w:tcPr>
            <w:tcW w:w="2053" w:type="dxa"/>
          </w:tcPr>
          <w:p w:rsidR="009511F1" w:rsidRPr="009511F1" w:rsidRDefault="009511F1" w:rsidP="009511F1">
            <w:pPr>
              <w:rPr>
                <w:b/>
                <w:bCs/>
              </w:rPr>
            </w:pPr>
            <w:r w:rsidRPr="009511F1">
              <w:rPr>
                <w:b/>
                <w:bCs/>
              </w:rPr>
              <w:t>IFN-</w:t>
            </w:r>
            <w:r w:rsidRPr="009511F1">
              <w:rPr>
                <w:b/>
                <w:bCs/>
              </w:rPr>
              <w:t></w:t>
            </w:r>
          </w:p>
        </w:tc>
        <w:tc>
          <w:tcPr>
            <w:tcW w:w="7415" w:type="dxa"/>
          </w:tcPr>
          <w:p w:rsidR="009511F1" w:rsidRPr="009511F1" w:rsidRDefault="009511F1" w:rsidP="009511F1">
            <w:r w:rsidRPr="009511F1">
              <w:t>Interferon-gamma</w:t>
            </w:r>
          </w:p>
        </w:tc>
      </w:tr>
      <w:tr w:rsidR="009511F1" w:rsidRPr="00606D12" w:rsidTr="009511F1">
        <w:tc>
          <w:tcPr>
            <w:tcW w:w="2053" w:type="dxa"/>
          </w:tcPr>
          <w:p w:rsidR="009511F1" w:rsidRPr="009511F1" w:rsidRDefault="009511F1" w:rsidP="009511F1">
            <w:pPr>
              <w:rPr>
                <w:b/>
                <w:bCs/>
              </w:rPr>
            </w:pPr>
            <w:r w:rsidRPr="009511F1">
              <w:rPr>
                <w:b/>
                <w:bCs/>
              </w:rPr>
              <w:t>IL</w:t>
            </w:r>
          </w:p>
        </w:tc>
        <w:tc>
          <w:tcPr>
            <w:tcW w:w="7415" w:type="dxa"/>
          </w:tcPr>
          <w:p w:rsidR="009511F1" w:rsidRPr="00650B7E" w:rsidRDefault="009511F1" w:rsidP="009511F1">
            <w:pPr>
              <w:rPr>
                <w:lang w:val="fr-FR"/>
              </w:rPr>
            </w:pPr>
            <w:r w:rsidRPr="00650B7E">
              <w:rPr>
                <w:lang w:val="fr-FR"/>
              </w:rPr>
              <w:t>InterLeukin (subtypes IL-2, IL-4 etc)</w:t>
            </w:r>
          </w:p>
        </w:tc>
      </w:tr>
      <w:tr w:rsidR="009511F1" w:rsidRPr="00120F8B" w:rsidTr="009511F1">
        <w:tc>
          <w:tcPr>
            <w:tcW w:w="2053" w:type="dxa"/>
          </w:tcPr>
          <w:p w:rsidR="009511F1" w:rsidRPr="009511F1" w:rsidRDefault="009511F1" w:rsidP="009511F1">
            <w:pPr>
              <w:rPr>
                <w:b/>
                <w:bCs/>
              </w:rPr>
            </w:pPr>
            <w:r w:rsidRPr="009511F1">
              <w:rPr>
                <w:b/>
                <w:bCs/>
              </w:rPr>
              <w:t>IND</w:t>
            </w:r>
          </w:p>
        </w:tc>
        <w:tc>
          <w:tcPr>
            <w:tcW w:w="7415" w:type="dxa"/>
          </w:tcPr>
          <w:p w:rsidR="009511F1" w:rsidRPr="009511F1" w:rsidRDefault="009511F1" w:rsidP="009511F1">
            <w:r w:rsidRPr="009511F1">
              <w:t>Investigational New Drug</w:t>
            </w:r>
          </w:p>
        </w:tc>
      </w:tr>
      <w:tr w:rsidR="009511F1" w:rsidRPr="00120F8B" w:rsidTr="009511F1">
        <w:tc>
          <w:tcPr>
            <w:tcW w:w="2053" w:type="dxa"/>
          </w:tcPr>
          <w:p w:rsidR="009511F1" w:rsidRPr="009511F1" w:rsidRDefault="009511F1" w:rsidP="009511F1">
            <w:pPr>
              <w:rPr>
                <w:b/>
                <w:bCs/>
              </w:rPr>
            </w:pPr>
            <w:r w:rsidRPr="009511F1">
              <w:rPr>
                <w:b/>
                <w:bCs/>
              </w:rPr>
              <w:t>IRB</w:t>
            </w:r>
          </w:p>
        </w:tc>
        <w:tc>
          <w:tcPr>
            <w:tcW w:w="7415" w:type="dxa"/>
          </w:tcPr>
          <w:p w:rsidR="009511F1" w:rsidRPr="009511F1" w:rsidRDefault="009511F1" w:rsidP="009511F1">
            <w:r w:rsidRPr="009511F1">
              <w:t>Institutional Review Board</w:t>
            </w:r>
          </w:p>
        </w:tc>
      </w:tr>
      <w:tr w:rsidR="009511F1" w:rsidRPr="00120F8B" w:rsidTr="009511F1">
        <w:tc>
          <w:tcPr>
            <w:tcW w:w="2053" w:type="dxa"/>
          </w:tcPr>
          <w:p w:rsidR="009511F1" w:rsidRPr="009511F1" w:rsidRDefault="009511F1" w:rsidP="009511F1">
            <w:pPr>
              <w:rPr>
                <w:b/>
                <w:bCs/>
              </w:rPr>
            </w:pPr>
            <w:r w:rsidRPr="009511F1">
              <w:rPr>
                <w:b/>
                <w:bCs/>
              </w:rPr>
              <w:t>ISR</w:t>
            </w:r>
          </w:p>
        </w:tc>
        <w:tc>
          <w:tcPr>
            <w:tcW w:w="7415" w:type="dxa"/>
          </w:tcPr>
          <w:p w:rsidR="009511F1" w:rsidRPr="009511F1" w:rsidRDefault="009511F1" w:rsidP="009511F1">
            <w:r w:rsidRPr="009511F1">
              <w:t>Injection Site Reaction</w:t>
            </w:r>
          </w:p>
        </w:tc>
      </w:tr>
      <w:tr w:rsidR="009511F1" w:rsidRPr="00120F8B" w:rsidTr="009511F1">
        <w:tc>
          <w:tcPr>
            <w:tcW w:w="2053" w:type="dxa"/>
          </w:tcPr>
          <w:p w:rsidR="009511F1" w:rsidRPr="009511F1" w:rsidRDefault="009511F1" w:rsidP="009511F1">
            <w:pPr>
              <w:rPr>
                <w:b/>
                <w:bCs/>
              </w:rPr>
            </w:pPr>
            <w:r w:rsidRPr="009511F1">
              <w:rPr>
                <w:b/>
                <w:bCs/>
              </w:rPr>
              <w:t>ITT</w:t>
            </w:r>
          </w:p>
        </w:tc>
        <w:tc>
          <w:tcPr>
            <w:tcW w:w="7415" w:type="dxa"/>
          </w:tcPr>
          <w:p w:rsidR="009511F1" w:rsidRPr="009511F1" w:rsidRDefault="009511F1" w:rsidP="009511F1">
            <w:r w:rsidRPr="009511F1">
              <w:t>Intent-To-Treat</w:t>
            </w:r>
          </w:p>
        </w:tc>
      </w:tr>
      <w:tr w:rsidR="009511F1" w:rsidRPr="00120F8B" w:rsidTr="009511F1">
        <w:tc>
          <w:tcPr>
            <w:tcW w:w="2053" w:type="dxa"/>
          </w:tcPr>
          <w:p w:rsidR="009511F1" w:rsidRPr="009511F1" w:rsidRDefault="009511F1" w:rsidP="009511F1">
            <w:pPr>
              <w:rPr>
                <w:b/>
                <w:bCs/>
              </w:rPr>
            </w:pPr>
            <w:r w:rsidRPr="009511F1">
              <w:rPr>
                <w:b/>
                <w:bCs/>
              </w:rPr>
              <w:t>IV</w:t>
            </w:r>
          </w:p>
        </w:tc>
        <w:tc>
          <w:tcPr>
            <w:tcW w:w="7415" w:type="dxa"/>
          </w:tcPr>
          <w:p w:rsidR="009511F1" w:rsidRPr="009511F1" w:rsidRDefault="009511F1" w:rsidP="009511F1">
            <w:r w:rsidRPr="009511F1">
              <w:t>IntraVenous</w:t>
            </w:r>
          </w:p>
        </w:tc>
      </w:tr>
      <w:tr w:rsidR="009511F1" w:rsidRPr="00120F8B" w:rsidTr="009511F1">
        <w:tc>
          <w:tcPr>
            <w:tcW w:w="2053" w:type="dxa"/>
          </w:tcPr>
          <w:p w:rsidR="009511F1" w:rsidRPr="009511F1" w:rsidRDefault="009511F1" w:rsidP="009511F1">
            <w:pPr>
              <w:rPr>
                <w:b/>
                <w:bCs/>
              </w:rPr>
            </w:pPr>
            <w:r w:rsidRPr="009511F1">
              <w:rPr>
                <w:b/>
                <w:bCs/>
              </w:rPr>
              <w:t>IWRS</w:t>
            </w:r>
          </w:p>
        </w:tc>
        <w:tc>
          <w:tcPr>
            <w:tcW w:w="7415" w:type="dxa"/>
          </w:tcPr>
          <w:p w:rsidR="009511F1" w:rsidRPr="009511F1" w:rsidRDefault="009511F1" w:rsidP="009511F1">
            <w:r w:rsidRPr="009511F1">
              <w:t>Interactive Web Response System</w:t>
            </w:r>
          </w:p>
        </w:tc>
      </w:tr>
      <w:tr w:rsidR="009511F1" w:rsidRPr="00120F8B" w:rsidTr="009511F1">
        <w:tc>
          <w:tcPr>
            <w:tcW w:w="2053" w:type="dxa"/>
          </w:tcPr>
          <w:p w:rsidR="009511F1" w:rsidRPr="009511F1" w:rsidRDefault="009511F1" w:rsidP="009511F1">
            <w:pPr>
              <w:rPr>
                <w:b/>
                <w:bCs/>
              </w:rPr>
            </w:pPr>
            <w:r w:rsidRPr="009511F1">
              <w:rPr>
                <w:b/>
                <w:bCs/>
              </w:rPr>
              <w:t>LCC</w:t>
            </w:r>
          </w:p>
        </w:tc>
        <w:tc>
          <w:tcPr>
            <w:tcW w:w="7415" w:type="dxa"/>
          </w:tcPr>
          <w:p w:rsidR="009511F1" w:rsidRPr="009511F1" w:rsidRDefault="009511F1" w:rsidP="009511F1">
            <w:r w:rsidRPr="009511F1">
              <w:t>Large Cell Carcinoma</w:t>
            </w:r>
          </w:p>
        </w:tc>
      </w:tr>
      <w:tr w:rsidR="009511F1" w:rsidRPr="00120F8B" w:rsidTr="009511F1">
        <w:tc>
          <w:tcPr>
            <w:tcW w:w="2053" w:type="dxa"/>
          </w:tcPr>
          <w:p w:rsidR="009511F1" w:rsidRPr="009511F1" w:rsidRDefault="009511F1" w:rsidP="009511F1">
            <w:pPr>
              <w:rPr>
                <w:b/>
                <w:bCs/>
              </w:rPr>
            </w:pPr>
            <w:r w:rsidRPr="009511F1">
              <w:rPr>
                <w:b/>
                <w:bCs/>
              </w:rPr>
              <w:lastRenderedPageBreak/>
              <w:t>LD</w:t>
            </w:r>
          </w:p>
        </w:tc>
        <w:tc>
          <w:tcPr>
            <w:tcW w:w="7415" w:type="dxa"/>
          </w:tcPr>
          <w:p w:rsidR="009511F1" w:rsidRPr="009511F1" w:rsidRDefault="009511F1" w:rsidP="009511F1">
            <w:r w:rsidRPr="009511F1">
              <w:t>Longest Diameter</w:t>
            </w:r>
          </w:p>
        </w:tc>
      </w:tr>
      <w:tr w:rsidR="009511F1" w:rsidRPr="00120F8B" w:rsidTr="009511F1">
        <w:tc>
          <w:tcPr>
            <w:tcW w:w="2053" w:type="dxa"/>
          </w:tcPr>
          <w:p w:rsidR="009511F1" w:rsidRPr="009511F1" w:rsidRDefault="009511F1" w:rsidP="009511F1">
            <w:pPr>
              <w:rPr>
                <w:b/>
                <w:bCs/>
              </w:rPr>
            </w:pPr>
            <w:r w:rsidRPr="009511F1">
              <w:rPr>
                <w:b/>
                <w:bCs/>
              </w:rPr>
              <w:t>LLT</w:t>
            </w:r>
          </w:p>
        </w:tc>
        <w:tc>
          <w:tcPr>
            <w:tcW w:w="7415" w:type="dxa"/>
          </w:tcPr>
          <w:p w:rsidR="009511F1" w:rsidRPr="009511F1" w:rsidRDefault="009511F1" w:rsidP="009511F1">
            <w:r w:rsidRPr="009511F1">
              <w:t>Lower Level Term</w:t>
            </w:r>
          </w:p>
        </w:tc>
      </w:tr>
      <w:tr w:rsidR="009511F1" w:rsidRPr="00120F8B" w:rsidTr="009511F1">
        <w:tc>
          <w:tcPr>
            <w:tcW w:w="2053" w:type="dxa"/>
          </w:tcPr>
          <w:p w:rsidR="009511F1" w:rsidRPr="009511F1" w:rsidRDefault="009511F1" w:rsidP="009511F1">
            <w:pPr>
              <w:rPr>
                <w:b/>
                <w:bCs/>
              </w:rPr>
            </w:pPr>
            <w:r w:rsidRPr="009511F1">
              <w:rPr>
                <w:b/>
                <w:bCs/>
              </w:rPr>
              <w:t>mAb</w:t>
            </w:r>
          </w:p>
        </w:tc>
        <w:tc>
          <w:tcPr>
            <w:tcW w:w="7415" w:type="dxa"/>
          </w:tcPr>
          <w:p w:rsidR="009511F1" w:rsidRPr="009511F1" w:rsidRDefault="009511F1" w:rsidP="009511F1">
            <w:r w:rsidRPr="009511F1">
              <w:t>monoclonal Antibody</w:t>
            </w:r>
          </w:p>
        </w:tc>
      </w:tr>
      <w:tr w:rsidR="009511F1" w:rsidRPr="00120F8B" w:rsidTr="009511F1">
        <w:tc>
          <w:tcPr>
            <w:tcW w:w="2053" w:type="dxa"/>
          </w:tcPr>
          <w:p w:rsidR="009511F1" w:rsidRPr="009511F1" w:rsidRDefault="009511F1" w:rsidP="009511F1">
            <w:pPr>
              <w:rPr>
                <w:b/>
                <w:bCs/>
              </w:rPr>
            </w:pPr>
            <w:r w:rsidRPr="009511F1">
              <w:rPr>
                <w:b/>
                <w:bCs/>
              </w:rPr>
              <w:t>MedDRA</w:t>
            </w:r>
          </w:p>
        </w:tc>
        <w:tc>
          <w:tcPr>
            <w:tcW w:w="7415" w:type="dxa"/>
          </w:tcPr>
          <w:p w:rsidR="009511F1" w:rsidRPr="009511F1" w:rsidRDefault="009511F1" w:rsidP="009511F1">
            <w:r w:rsidRPr="009511F1">
              <w:t>Medical Dictionary for Regulatory Activities</w:t>
            </w:r>
          </w:p>
        </w:tc>
      </w:tr>
      <w:tr w:rsidR="009511F1" w:rsidRPr="00120F8B" w:rsidTr="009511F1">
        <w:tc>
          <w:tcPr>
            <w:tcW w:w="2053" w:type="dxa"/>
          </w:tcPr>
          <w:p w:rsidR="009511F1" w:rsidRPr="009511F1" w:rsidRDefault="009511F1" w:rsidP="009511F1">
            <w:pPr>
              <w:rPr>
                <w:b/>
                <w:bCs/>
              </w:rPr>
            </w:pPr>
            <w:r w:rsidRPr="009511F1">
              <w:rPr>
                <w:b/>
                <w:bCs/>
              </w:rPr>
              <w:t>MHC</w:t>
            </w:r>
          </w:p>
        </w:tc>
        <w:tc>
          <w:tcPr>
            <w:tcW w:w="7415" w:type="dxa"/>
          </w:tcPr>
          <w:p w:rsidR="009511F1" w:rsidRPr="009511F1" w:rsidRDefault="009511F1" w:rsidP="009511F1">
            <w:r w:rsidRPr="009511F1">
              <w:t>Major Histocompatibility Complex</w:t>
            </w:r>
          </w:p>
        </w:tc>
      </w:tr>
      <w:tr w:rsidR="009511F1" w:rsidRPr="00120F8B" w:rsidTr="009511F1">
        <w:tc>
          <w:tcPr>
            <w:tcW w:w="2053" w:type="dxa"/>
          </w:tcPr>
          <w:p w:rsidR="009511F1" w:rsidRPr="009511F1" w:rsidRDefault="009511F1" w:rsidP="009511F1">
            <w:pPr>
              <w:rPr>
                <w:b/>
                <w:bCs/>
              </w:rPr>
            </w:pPr>
            <w:r w:rsidRPr="009511F1">
              <w:rPr>
                <w:b/>
                <w:bCs/>
              </w:rPr>
              <w:t>MRI</w:t>
            </w:r>
          </w:p>
        </w:tc>
        <w:tc>
          <w:tcPr>
            <w:tcW w:w="7415" w:type="dxa"/>
          </w:tcPr>
          <w:p w:rsidR="009511F1" w:rsidRPr="009511F1" w:rsidRDefault="009511F1" w:rsidP="009511F1">
            <w:r w:rsidRPr="009511F1">
              <w:t>Magnetic Resonance Imaging</w:t>
            </w:r>
          </w:p>
        </w:tc>
      </w:tr>
      <w:tr w:rsidR="009511F1" w:rsidRPr="00120F8B" w:rsidTr="009511F1">
        <w:tc>
          <w:tcPr>
            <w:tcW w:w="2053" w:type="dxa"/>
          </w:tcPr>
          <w:p w:rsidR="009511F1" w:rsidRPr="009511F1" w:rsidRDefault="009511F1" w:rsidP="009511F1">
            <w:pPr>
              <w:rPr>
                <w:b/>
                <w:bCs/>
              </w:rPr>
            </w:pPr>
            <w:r w:rsidRPr="009511F1">
              <w:rPr>
                <w:b/>
                <w:bCs/>
              </w:rPr>
              <w:t>MTD</w:t>
            </w:r>
          </w:p>
        </w:tc>
        <w:tc>
          <w:tcPr>
            <w:tcW w:w="7415" w:type="dxa"/>
          </w:tcPr>
          <w:p w:rsidR="009511F1" w:rsidRPr="009511F1" w:rsidRDefault="009511F1" w:rsidP="009511F1">
            <w:r w:rsidRPr="009511F1">
              <w:t>Maximum Tolerated Dose</w:t>
            </w:r>
          </w:p>
        </w:tc>
      </w:tr>
      <w:tr w:rsidR="009511F1" w:rsidRPr="00120F8B" w:rsidTr="009511F1">
        <w:tc>
          <w:tcPr>
            <w:tcW w:w="2053" w:type="dxa"/>
          </w:tcPr>
          <w:p w:rsidR="009511F1" w:rsidRPr="009511F1" w:rsidRDefault="009511F1" w:rsidP="009511F1">
            <w:pPr>
              <w:rPr>
                <w:b/>
                <w:bCs/>
              </w:rPr>
            </w:pPr>
            <w:r w:rsidRPr="009511F1">
              <w:rPr>
                <w:b/>
                <w:bCs/>
              </w:rPr>
              <w:t>NCI-CTCAE</w:t>
            </w:r>
          </w:p>
        </w:tc>
        <w:tc>
          <w:tcPr>
            <w:tcW w:w="7415" w:type="dxa"/>
          </w:tcPr>
          <w:p w:rsidR="009511F1" w:rsidRPr="009511F1" w:rsidRDefault="009511F1" w:rsidP="009511F1">
            <w:r w:rsidRPr="009511F1">
              <w:t>National Cancer Institute - Common Terminology Criteria for Adverse Events</w:t>
            </w:r>
          </w:p>
        </w:tc>
      </w:tr>
      <w:tr w:rsidR="009511F1" w:rsidRPr="00120F8B" w:rsidTr="009511F1">
        <w:tc>
          <w:tcPr>
            <w:tcW w:w="2053" w:type="dxa"/>
          </w:tcPr>
          <w:p w:rsidR="009511F1" w:rsidRPr="009511F1" w:rsidRDefault="009511F1" w:rsidP="009511F1">
            <w:pPr>
              <w:rPr>
                <w:b/>
                <w:bCs/>
              </w:rPr>
            </w:pPr>
            <w:r w:rsidRPr="009511F1">
              <w:rPr>
                <w:b/>
                <w:bCs/>
              </w:rPr>
              <w:t>NE</w:t>
            </w:r>
          </w:p>
        </w:tc>
        <w:tc>
          <w:tcPr>
            <w:tcW w:w="7415" w:type="dxa"/>
          </w:tcPr>
          <w:p w:rsidR="009511F1" w:rsidRPr="009511F1" w:rsidRDefault="009511F1" w:rsidP="009511F1">
            <w:r w:rsidRPr="009511F1">
              <w:t>Not Evaluable</w:t>
            </w:r>
          </w:p>
        </w:tc>
      </w:tr>
      <w:tr w:rsidR="009511F1" w:rsidRPr="00120F8B" w:rsidTr="009511F1">
        <w:tc>
          <w:tcPr>
            <w:tcW w:w="2053" w:type="dxa"/>
          </w:tcPr>
          <w:p w:rsidR="009511F1" w:rsidRPr="009511F1" w:rsidRDefault="009511F1" w:rsidP="009511F1">
            <w:pPr>
              <w:rPr>
                <w:b/>
                <w:bCs/>
              </w:rPr>
            </w:pPr>
            <w:r w:rsidRPr="009511F1">
              <w:rPr>
                <w:b/>
                <w:bCs/>
              </w:rPr>
              <w:t>NSCLC</w:t>
            </w:r>
          </w:p>
        </w:tc>
        <w:tc>
          <w:tcPr>
            <w:tcW w:w="7415" w:type="dxa"/>
          </w:tcPr>
          <w:p w:rsidR="009511F1" w:rsidRPr="009511F1" w:rsidRDefault="009511F1" w:rsidP="009511F1">
            <w:r w:rsidRPr="009511F1">
              <w:t>Non-Small Cell Lung Cancer</w:t>
            </w:r>
          </w:p>
        </w:tc>
      </w:tr>
      <w:tr w:rsidR="009511F1" w:rsidRPr="00120F8B" w:rsidTr="009511F1">
        <w:tc>
          <w:tcPr>
            <w:tcW w:w="2053" w:type="dxa"/>
          </w:tcPr>
          <w:p w:rsidR="009511F1" w:rsidRPr="009511F1" w:rsidRDefault="009511F1" w:rsidP="009511F1">
            <w:pPr>
              <w:rPr>
                <w:b/>
                <w:bCs/>
              </w:rPr>
            </w:pPr>
            <w:r w:rsidRPr="009511F1">
              <w:rPr>
                <w:b/>
                <w:bCs/>
              </w:rPr>
              <w:t>OR</w:t>
            </w:r>
          </w:p>
        </w:tc>
        <w:tc>
          <w:tcPr>
            <w:tcW w:w="7415" w:type="dxa"/>
          </w:tcPr>
          <w:p w:rsidR="009511F1" w:rsidRPr="009511F1" w:rsidRDefault="009511F1" w:rsidP="009511F1">
            <w:r w:rsidRPr="009511F1">
              <w:t>Overall Response</w:t>
            </w:r>
          </w:p>
        </w:tc>
      </w:tr>
      <w:tr w:rsidR="009511F1" w:rsidRPr="00120F8B" w:rsidTr="009511F1">
        <w:tc>
          <w:tcPr>
            <w:tcW w:w="2053" w:type="dxa"/>
          </w:tcPr>
          <w:p w:rsidR="009511F1" w:rsidRPr="009511F1" w:rsidRDefault="009511F1" w:rsidP="009511F1">
            <w:pPr>
              <w:rPr>
                <w:b/>
                <w:bCs/>
              </w:rPr>
            </w:pPr>
            <w:r w:rsidRPr="009511F1">
              <w:rPr>
                <w:b/>
                <w:bCs/>
              </w:rPr>
              <w:t>OS</w:t>
            </w:r>
          </w:p>
        </w:tc>
        <w:tc>
          <w:tcPr>
            <w:tcW w:w="7415" w:type="dxa"/>
          </w:tcPr>
          <w:p w:rsidR="009511F1" w:rsidRPr="009511F1" w:rsidRDefault="009511F1" w:rsidP="009511F1">
            <w:r w:rsidRPr="009511F1">
              <w:t>Overall Survival</w:t>
            </w:r>
          </w:p>
        </w:tc>
      </w:tr>
      <w:tr w:rsidR="009511F1" w:rsidRPr="00120F8B" w:rsidTr="009511F1">
        <w:tc>
          <w:tcPr>
            <w:tcW w:w="2053" w:type="dxa"/>
          </w:tcPr>
          <w:p w:rsidR="009511F1" w:rsidRPr="009511F1" w:rsidRDefault="009511F1" w:rsidP="009511F1">
            <w:pPr>
              <w:rPr>
                <w:b/>
                <w:bCs/>
              </w:rPr>
            </w:pPr>
            <w:r w:rsidRPr="009511F1">
              <w:rPr>
                <w:b/>
                <w:bCs/>
              </w:rPr>
              <w:t>PBMC</w:t>
            </w:r>
          </w:p>
        </w:tc>
        <w:tc>
          <w:tcPr>
            <w:tcW w:w="7415" w:type="dxa"/>
          </w:tcPr>
          <w:p w:rsidR="009511F1" w:rsidRPr="009511F1" w:rsidRDefault="009511F1" w:rsidP="009511F1">
            <w:r w:rsidRPr="009511F1">
              <w:t>Peripheral Blood Mononuclear Cell</w:t>
            </w:r>
          </w:p>
        </w:tc>
      </w:tr>
      <w:tr w:rsidR="009511F1" w:rsidRPr="00120F8B" w:rsidTr="009511F1">
        <w:tc>
          <w:tcPr>
            <w:tcW w:w="2053" w:type="dxa"/>
          </w:tcPr>
          <w:p w:rsidR="009511F1" w:rsidRPr="009511F1" w:rsidRDefault="009511F1" w:rsidP="009511F1">
            <w:pPr>
              <w:rPr>
                <w:b/>
                <w:bCs/>
              </w:rPr>
            </w:pPr>
            <w:r w:rsidRPr="009511F1">
              <w:rPr>
                <w:b/>
                <w:bCs/>
              </w:rPr>
              <w:t>PD</w:t>
            </w:r>
          </w:p>
        </w:tc>
        <w:tc>
          <w:tcPr>
            <w:tcW w:w="7415" w:type="dxa"/>
          </w:tcPr>
          <w:p w:rsidR="009511F1" w:rsidRPr="009511F1" w:rsidRDefault="009511F1" w:rsidP="009511F1">
            <w:r w:rsidRPr="009511F1">
              <w:t>Progressive Disease</w:t>
            </w:r>
          </w:p>
        </w:tc>
      </w:tr>
      <w:tr w:rsidR="009511F1" w:rsidRPr="00120F8B" w:rsidTr="009511F1">
        <w:tc>
          <w:tcPr>
            <w:tcW w:w="2053" w:type="dxa"/>
          </w:tcPr>
          <w:p w:rsidR="009511F1" w:rsidRPr="009511F1" w:rsidRDefault="009511F1" w:rsidP="009511F1">
            <w:pPr>
              <w:rPr>
                <w:b/>
                <w:bCs/>
              </w:rPr>
            </w:pPr>
            <w:r w:rsidRPr="009511F1">
              <w:rPr>
                <w:b/>
                <w:bCs/>
              </w:rPr>
              <w:t>PET</w:t>
            </w:r>
          </w:p>
        </w:tc>
        <w:tc>
          <w:tcPr>
            <w:tcW w:w="7415" w:type="dxa"/>
          </w:tcPr>
          <w:p w:rsidR="009511F1" w:rsidRPr="009511F1" w:rsidRDefault="009511F1" w:rsidP="009511F1">
            <w:r w:rsidRPr="009511F1">
              <w:t>Positron Emission Tomography</w:t>
            </w:r>
          </w:p>
        </w:tc>
      </w:tr>
      <w:tr w:rsidR="009511F1" w:rsidRPr="00120F8B" w:rsidTr="009511F1">
        <w:tc>
          <w:tcPr>
            <w:tcW w:w="2053" w:type="dxa"/>
          </w:tcPr>
          <w:p w:rsidR="009511F1" w:rsidRPr="009511F1" w:rsidRDefault="009511F1" w:rsidP="009511F1">
            <w:pPr>
              <w:rPr>
                <w:b/>
                <w:bCs/>
              </w:rPr>
            </w:pPr>
            <w:r w:rsidRPr="009511F1">
              <w:rPr>
                <w:b/>
                <w:bCs/>
              </w:rPr>
              <w:t>PFS</w:t>
            </w:r>
          </w:p>
        </w:tc>
        <w:tc>
          <w:tcPr>
            <w:tcW w:w="7415" w:type="dxa"/>
          </w:tcPr>
          <w:p w:rsidR="009511F1" w:rsidRPr="009511F1" w:rsidRDefault="009511F1" w:rsidP="009511F1">
            <w:r w:rsidRPr="009511F1">
              <w:t>Progression-Free Survival</w:t>
            </w:r>
          </w:p>
        </w:tc>
      </w:tr>
      <w:tr w:rsidR="009511F1" w:rsidRPr="00120F8B" w:rsidTr="009511F1">
        <w:tc>
          <w:tcPr>
            <w:tcW w:w="2053" w:type="dxa"/>
          </w:tcPr>
          <w:p w:rsidR="009511F1" w:rsidRPr="009511F1" w:rsidRDefault="009511F1" w:rsidP="009511F1">
            <w:pPr>
              <w:rPr>
                <w:b/>
                <w:bCs/>
              </w:rPr>
            </w:pPr>
            <w:r w:rsidRPr="009511F1">
              <w:rPr>
                <w:b/>
                <w:bCs/>
              </w:rPr>
              <w:t>PP</w:t>
            </w:r>
          </w:p>
        </w:tc>
        <w:tc>
          <w:tcPr>
            <w:tcW w:w="7415" w:type="dxa"/>
          </w:tcPr>
          <w:p w:rsidR="009511F1" w:rsidRPr="009511F1" w:rsidRDefault="009511F1" w:rsidP="009511F1">
            <w:r w:rsidRPr="009511F1">
              <w:t>Per Protocol</w:t>
            </w:r>
          </w:p>
        </w:tc>
      </w:tr>
      <w:tr w:rsidR="009511F1" w:rsidRPr="00120F8B" w:rsidTr="009511F1">
        <w:tc>
          <w:tcPr>
            <w:tcW w:w="2053" w:type="dxa"/>
          </w:tcPr>
          <w:p w:rsidR="009511F1" w:rsidRPr="009511F1" w:rsidRDefault="009511F1" w:rsidP="009511F1">
            <w:pPr>
              <w:rPr>
                <w:b/>
                <w:bCs/>
              </w:rPr>
            </w:pPr>
            <w:r w:rsidRPr="009511F1">
              <w:rPr>
                <w:b/>
                <w:bCs/>
              </w:rPr>
              <w:t>PR</w:t>
            </w:r>
          </w:p>
        </w:tc>
        <w:tc>
          <w:tcPr>
            <w:tcW w:w="7415" w:type="dxa"/>
          </w:tcPr>
          <w:p w:rsidR="009511F1" w:rsidRPr="009511F1" w:rsidRDefault="009511F1" w:rsidP="009511F1">
            <w:r w:rsidRPr="009511F1">
              <w:t>Partial Response</w:t>
            </w:r>
          </w:p>
        </w:tc>
      </w:tr>
      <w:tr w:rsidR="009511F1" w:rsidRPr="00120F8B" w:rsidTr="009511F1">
        <w:tc>
          <w:tcPr>
            <w:tcW w:w="2053" w:type="dxa"/>
          </w:tcPr>
          <w:p w:rsidR="009511F1" w:rsidRPr="009511F1" w:rsidRDefault="009511F1" w:rsidP="009511F1">
            <w:pPr>
              <w:rPr>
                <w:b/>
                <w:bCs/>
              </w:rPr>
            </w:pPr>
            <w:r w:rsidRPr="009511F1">
              <w:rPr>
                <w:b/>
                <w:bCs/>
              </w:rPr>
              <w:t>PT</w:t>
            </w:r>
          </w:p>
        </w:tc>
        <w:tc>
          <w:tcPr>
            <w:tcW w:w="7415" w:type="dxa"/>
          </w:tcPr>
          <w:p w:rsidR="009511F1" w:rsidRPr="009511F1" w:rsidRDefault="009511F1" w:rsidP="009511F1">
            <w:r w:rsidRPr="009511F1">
              <w:t>Preferred Term</w:t>
            </w:r>
          </w:p>
        </w:tc>
      </w:tr>
      <w:tr w:rsidR="009511F1" w:rsidRPr="00120F8B" w:rsidTr="009511F1">
        <w:tc>
          <w:tcPr>
            <w:tcW w:w="2053" w:type="dxa"/>
          </w:tcPr>
          <w:p w:rsidR="009511F1" w:rsidRPr="009511F1" w:rsidRDefault="009511F1" w:rsidP="009511F1">
            <w:pPr>
              <w:rPr>
                <w:b/>
                <w:bCs/>
              </w:rPr>
            </w:pPr>
            <w:r w:rsidRPr="009511F1">
              <w:rPr>
                <w:b/>
                <w:bCs/>
              </w:rPr>
              <w:t>PV</w:t>
            </w:r>
          </w:p>
        </w:tc>
        <w:tc>
          <w:tcPr>
            <w:tcW w:w="7415" w:type="dxa"/>
          </w:tcPr>
          <w:p w:rsidR="009511F1" w:rsidRPr="009511F1" w:rsidRDefault="009511F1" w:rsidP="009511F1">
            <w:r w:rsidRPr="009511F1">
              <w:t>PharmacoVigilance</w:t>
            </w:r>
          </w:p>
        </w:tc>
      </w:tr>
      <w:tr w:rsidR="009511F1" w:rsidRPr="00120F8B" w:rsidTr="009511F1">
        <w:tc>
          <w:tcPr>
            <w:tcW w:w="2053" w:type="dxa"/>
          </w:tcPr>
          <w:p w:rsidR="009511F1" w:rsidRPr="009511F1" w:rsidRDefault="009511F1" w:rsidP="009511F1">
            <w:pPr>
              <w:rPr>
                <w:b/>
                <w:bCs/>
              </w:rPr>
            </w:pPr>
            <w:r w:rsidRPr="009511F1">
              <w:rPr>
                <w:b/>
                <w:bCs/>
              </w:rPr>
              <w:t>QC</w:t>
            </w:r>
          </w:p>
        </w:tc>
        <w:tc>
          <w:tcPr>
            <w:tcW w:w="7415" w:type="dxa"/>
          </w:tcPr>
          <w:p w:rsidR="009511F1" w:rsidRPr="009511F1" w:rsidRDefault="009511F1" w:rsidP="009511F1">
            <w:r w:rsidRPr="009511F1">
              <w:t>Quality Control</w:t>
            </w:r>
          </w:p>
        </w:tc>
      </w:tr>
      <w:tr w:rsidR="009511F1" w:rsidRPr="00120F8B" w:rsidTr="009511F1">
        <w:tc>
          <w:tcPr>
            <w:tcW w:w="2053" w:type="dxa"/>
          </w:tcPr>
          <w:p w:rsidR="009511F1" w:rsidRPr="009511F1" w:rsidRDefault="009511F1" w:rsidP="009511F1">
            <w:pPr>
              <w:rPr>
                <w:b/>
                <w:bCs/>
              </w:rPr>
            </w:pPr>
            <w:r w:rsidRPr="009511F1">
              <w:rPr>
                <w:b/>
                <w:bCs/>
              </w:rPr>
              <w:t>RA</w:t>
            </w:r>
          </w:p>
        </w:tc>
        <w:tc>
          <w:tcPr>
            <w:tcW w:w="7415" w:type="dxa"/>
          </w:tcPr>
          <w:p w:rsidR="009511F1" w:rsidRPr="009511F1" w:rsidRDefault="009511F1" w:rsidP="009511F1">
            <w:r w:rsidRPr="009511F1">
              <w:t>Relative Affinity</w:t>
            </w:r>
          </w:p>
        </w:tc>
      </w:tr>
      <w:tr w:rsidR="009511F1" w:rsidRPr="00120F8B" w:rsidTr="009511F1">
        <w:tc>
          <w:tcPr>
            <w:tcW w:w="2053" w:type="dxa"/>
          </w:tcPr>
          <w:p w:rsidR="009511F1" w:rsidRPr="009511F1" w:rsidRDefault="009511F1" w:rsidP="009511F1">
            <w:pPr>
              <w:rPr>
                <w:b/>
                <w:bCs/>
              </w:rPr>
            </w:pPr>
            <w:r w:rsidRPr="009511F1">
              <w:rPr>
                <w:b/>
                <w:bCs/>
              </w:rPr>
              <w:t>RECIST</w:t>
            </w:r>
          </w:p>
        </w:tc>
        <w:tc>
          <w:tcPr>
            <w:tcW w:w="7415" w:type="dxa"/>
          </w:tcPr>
          <w:p w:rsidR="009511F1" w:rsidRPr="009511F1" w:rsidRDefault="009511F1" w:rsidP="009511F1">
            <w:r w:rsidRPr="009511F1">
              <w:t xml:space="preserve">Response Evaluation Criteria In Solid Tumors </w:t>
            </w:r>
          </w:p>
        </w:tc>
      </w:tr>
      <w:tr w:rsidR="009511F1" w:rsidRPr="00120F8B" w:rsidTr="009511F1">
        <w:tc>
          <w:tcPr>
            <w:tcW w:w="2053" w:type="dxa"/>
          </w:tcPr>
          <w:p w:rsidR="009511F1" w:rsidRPr="009511F1" w:rsidRDefault="009511F1" w:rsidP="009511F1">
            <w:pPr>
              <w:rPr>
                <w:b/>
                <w:bCs/>
              </w:rPr>
            </w:pPr>
            <w:r w:rsidRPr="009511F1">
              <w:rPr>
                <w:b/>
                <w:bCs/>
              </w:rPr>
              <w:t>RT</w:t>
            </w:r>
          </w:p>
        </w:tc>
        <w:tc>
          <w:tcPr>
            <w:tcW w:w="7415" w:type="dxa"/>
          </w:tcPr>
          <w:p w:rsidR="009511F1" w:rsidRPr="009511F1" w:rsidRDefault="009511F1" w:rsidP="009511F1">
            <w:r w:rsidRPr="009511F1">
              <w:t>RadioTherapy</w:t>
            </w:r>
          </w:p>
        </w:tc>
      </w:tr>
      <w:tr w:rsidR="009511F1" w:rsidRPr="00120F8B" w:rsidTr="009511F1">
        <w:tc>
          <w:tcPr>
            <w:tcW w:w="2053" w:type="dxa"/>
          </w:tcPr>
          <w:p w:rsidR="009511F1" w:rsidRPr="009511F1" w:rsidRDefault="009511F1" w:rsidP="009511F1">
            <w:pPr>
              <w:rPr>
                <w:b/>
                <w:bCs/>
              </w:rPr>
            </w:pPr>
            <w:r w:rsidRPr="009511F1">
              <w:rPr>
                <w:b/>
                <w:bCs/>
              </w:rPr>
              <w:t>SAE</w:t>
            </w:r>
          </w:p>
        </w:tc>
        <w:tc>
          <w:tcPr>
            <w:tcW w:w="7415" w:type="dxa"/>
          </w:tcPr>
          <w:p w:rsidR="009511F1" w:rsidRPr="009511F1" w:rsidRDefault="009511F1" w:rsidP="009511F1">
            <w:r w:rsidRPr="009511F1">
              <w:t>Serious Adverse Event</w:t>
            </w:r>
          </w:p>
        </w:tc>
      </w:tr>
      <w:tr w:rsidR="009511F1" w:rsidRPr="00120F8B" w:rsidTr="009511F1">
        <w:tc>
          <w:tcPr>
            <w:tcW w:w="2053" w:type="dxa"/>
          </w:tcPr>
          <w:p w:rsidR="009511F1" w:rsidRPr="009511F1" w:rsidRDefault="009511F1" w:rsidP="009511F1">
            <w:pPr>
              <w:rPr>
                <w:b/>
                <w:bCs/>
              </w:rPr>
            </w:pPr>
            <w:r w:rsidRPr="009511F1">
              <w:rPr>
                <w:b/>
                <w:bCs/>
              </w:rPr>
              <w:t>SAP</w:t>
            </w:r>
          </w:p>
        </w:tc>
        <w:tc>
          <w:tcPr>
            <w:tcW w:w="7415" w:type="dxa"/>
          </w:tcPr>
          <w:p w:rsidR="009511F1" w:rsidRPr="009511F1" w:rsidRDefault="009511F1" w:rsidP="009511F1">
            <w:r w:rsidRPr="009511F1">
              <w:t>Statistical Analysis Plan</w:t>
            </w:r>
          </w:p>
        </w:tc>
      </w:tr>
      <w:tr w:rsidR="009511F1" w:rsidRPr="00120F8B" w:rsidTr="009511F1">
        <w:tc>
          <w:tcPr>
            <w:tcW w:w="2053" w:type="dxa"/>
          </w:tcPr>
          <w:p w:rsidR="009511F1" w:rsidRPr="009511F1" w:rsidRDefault="009511F1" w:rsidP="009511F1">
            <w:pPr>
              <w:rPr>
                <w:b/>
                <w:bCs/>
              </w:rPr>
            </w:pPr>
            <w:r w:rsidRPr="009511F1">
              <w:rPr>
                <w:b/>
                <w:bCs/>
              </w:rPr>
              <w:t>SCC</w:t>
            </w:r>
          </w:p>
        </w:tc>
        <w:tc>
          <w:tcPr>
            <w:tcW w:w="7415" w:type="dxa"/>
          </w:tcPr>
          <w:p w:rsidR="009511F1" w:rsidRPr="009511F1" w:rsidRDefault="009511F1" w:rsidP="009511F1">
            <w:r w:rsidRPr="009511F1">
              <w:t>Squamous Cell Carcinoma</w:t>
            </w:r>
          </w:p>
        </w:tc>
      </w:tr>
      <w:tr w:rsidR="009511F1" w:rsidRPr="00120F8B" w:rsidTr="009511F1">
        <w:tc>
          <w:tcPr>
            <w:tcW w:w="2053" w:type="dxa"/>
          </w:tcPr>
          <w:p w:rsidR="009511F1" w:rsidRPr="009511F1" w:rsidRDefault="009511F1" w:rsidP="009511F1">
            <w:pPr>
              <w:rPr>
                <w:b/>
                <w:bCs/>
              </w:rPr>
            </w:pPr>
            <w:r w:rsidRPr="009511F1">
              <w:rPr>
                <w:b/>
                <w:bCs/>
              </w:rPr>
              <w:t>SCLC</w:t>
            </w:r>
          </w:p>
        </w:tc>
        <w:tc>
          <w:tcPr>
            <w:tcW w:w="7415" w:type="dxa"/>
          </w:tcPr>
          <w:p w:rsidR="009511F1" w:rsidRPr="009511F1" w:rsidRDefault="009511F1" w:rsidP="009511F1">
            <w:r w:rsidRPr="009511F1">
              <w:t>Small Cell Lung Cancer</w:t>
            </w:r>
          </w:p>
        </w:tc>
      </w:tr>
      <w:tr w:rsidR="009511F1" w:rsidRPr="00120F8B" w:rsidTr="009511F1">
        <w:tc>
          <w:tcPr>
            <w:tcW w:w="2053" w:type="dxa"/>
          </w:tcPr>
          <w:p w:rsidR="009511F1" w:rsidRPr="009511F1" w:rsidRDefault="009511F1" w:rsidP="009511F1">
            <w:pPr>
              <w:rPr>
                <w:b/>
                <w:bCs/>
              </w:rPr>
            </w:pPr>
            <w:r w:rsidRPr="009511F1">
              <w:rPr>
                <w:b/>
                <w:bCs/>
              </w:rPr>
              <w:t>SD</w:t>
            </w:r>
          </w:p>
        </w:tc>
        <w:tc>
          <w:tcPr>
            <w:tcW w:w="7415" w:type="dxa"/>
          </w:tcPr>
          <w:p w:rsidR="009511F1" w:rsidRPr="009511F1" w:rsidRDefault="009511F1" w:rsidP="009511F1">
            <w:r w:rsidRPr="009511F1">
              <w:t>Stable Disease</w:t>
            </w:r>
          </w:p>
        </w:tc>
      </w:tr>
      <w:tr w:rsidR="009511F1" w:rsidRPr="00120F8B" w:rsidTr="009511F1">
        <w:tc>
          <w:tcPr>
            <w:tcW w:w="2053" w:type="dxa"/>
          </w:tcPr>
          <w:p w:rsidR="009511F1" w:rsidRPr="009511F1" w:rsidRDefault="009511F1" w:rsidP="009511F1">
            <w:pPr>
              <w:rPr>
                <w:b/>
                <w:bCs/>
              </w:rPr>
            </w:pPr>
            <w:r w:rsidRPr="009511F1">
              <w:rPr>
                <w:b/>
                <w:bCs/>
              </w:rPr>
              <w:t>SM</w:t>
            </w:r>
          </w:p>
        </w:tc>
        <w:tc>
          <w:tcPr>
            <w:tcW w:w="7415" w:type="dxa"/>
          </w:tcPr>
          <w:p w:rsidR="009511F1" w:rsidRPr="009511F1" w:rsidRDefault="009511F1" w:rsidP="009511F1">
            <w:r w:rsidRPr="009511F1">
              <w:t>Study Manual</w:t>
            </w:r>
          </w:p>
        </w:tc>
      </w:tr>
      <w:tr w:rsidR="009511F1" w:rsidRPr="00120F8B" w:rsidTr="009511F1">
        <w:tc>
          <w:tcPr>
            <w:tcW w:w="2053" w:type="dxa"/>
          </w:tcPr>
          <w:p w:rsidR="009511F1" w:rsidRPr="009511F1" w:rsidRDefault="009511F1" w:rsidP="009511F1">
            <w:pPr>
              <w:rPr>
                <w:b/>
                <w:bCs/>
              </w:rPr>
            </w:pPr>
            <w:r w:rsidRPr="009511F1">
              <w:rPr>
                <w:b/>
                <w:bCs/>
              </w:rPr>
              <w:t>SOC</w:t>
            </w:r>
          </w:p>
        </w:tc>
        <w:tc>
          <w:tcPr>
            <w:tcW w:w="7415" w:type="dxa"/>
          </w:tcPr>
          <w:p w:rsidR="009511F1" w:rsidRPr="009511F1" w:rsidRDefault="009511F1" w:rsidP="009511F1">
            <w:r w:rsidRPr="009511F1">
              <w:t>System Organ Class</w:t>
            </w:r>
          </w:p>
        </w:tc>
      </w:tr>
      <w:tr w:rsidR="009511F1" w:rsidRPr="00120F8B" w:rsidTr="009511F1">
        <w:tc>
          <w:tcPr>
            <w:tcW w:w="2053" w:type="dxa"/>
          </w:tcPr>
          <w:p w:rsidR="009511F1" w:rsidRPr="009511F1" w:rsidRDefault="009511F1" w:rsidP="009511F1">
            <w:pPr>
              <w:rPr>
                <w:b/>
                <w:bCs/>
              </w:rPr>
            </w:pPr>
            <w:r w:rsidRPr="009511F1">
              <w:rPr>
                <w:b/>
                <w:bCs/>
              </w:rPr>
              <w:t>SSR</w:t>
            </w:r>
          </w:p>
        </w:tc>
        <w:tc>
          <w:tcPr>
            <w:tcW w:w="7415" w:type="dxa"/>
          </w:tcPr>
          <w:p w:rsidR="009511F1" w:rsidRPr="009511F1" w:rsidRDefault="009511F1" w:rsidP="009511F1">
            <w:r w:rsidRPr="009511F1">
              <w:t>Sample Size Reestimation</w:t>
            </w:r>
          </w:p>
        </w:tc>
      </w:tr>
      <w:tr w:rsidR="009511F1" w:rsidRPr="00120F8B" w:rsidTr="009511F1">
        <w:tc>
          <w:tcPr>
            <w:tcW w:w="2053" w:type="dxa"/>
          </w:tcPr>
          <w:p w:rsidR="009511F1" w:rsidRPr="009511F1" w:rsidRDefault="009511F1" w:rsidP="009511F1">
            <w:pPr>
              <w:rPr>
                <w:b/>
                <w:bCs/>
              </w:rPr>
            </w:pPr>
            <w:r w:rsidRPr="009511F1">
              <w:rPr>
                <w:b/>
                <w:bCs/>
              </w:rPr>
              <w:t>TCR</w:t>
            </w:r>
          </w:p>
        </w:tc>
        <w:tc>
          <w:tcPr>
            <w:tcW w:w="7415" w:type="dxa"/>
          </w:tcPr>
          <w:p w:rsidR="009511F1" w:rsidRPr="009511F1" w:rsidRDefault="009511F1" w:rsidP="009511F1">
            <w:r w:rsidRPr="009511F1">
              <w:t>T-Cell Receptor</w:t>
            </w:r>
          </w:p>
        </w:tc>
      </w:tr>
      <w:tr w:rsidR="009511F1" w:rsidRPr="00120F8B" w:rsidTr="009511F1">
        <w:tc>
          <w:tcPr>
            <w:tcW w:w="2053" w:type="dxa"/>
          </w:tcPr>
          <w:p w:rsidR="009511F1" w:rsidRPr="009511F1" w:rsidRDefault="009511F1" w:rsidP="009511F1">
            <w:pPr>
              <w:rPr>
                <w:b/>
                <w:bCs/>
              </w:rPr>
            </w:pPr>
            <w:r w:rsidRPr="008D610C">
              <w:rPr>
                <w:b/>
                <w:bCs/>
              </w:rPr>
              <w:t>TEAE</w:t>
            </w:r>
          </w:p>
        </w:tc>
        <w:tc>
          <w:tcPr>
            <w:tcW w:w="7415" w:type="dxa"/>
          </w:tcPr>
          <w:p w:rsidR="009511F1" w:rsidRPr="009511F1" w:rsidRDefault="009511F1" w:rsidP="009511F1">
            <w:r w:rsidRPr="008D610C">
              <w:t>Treatment-Emergent Adverse Event</w:t>
            </w:r>
          </w:p>
        </w:tc>
      </w:tr>
      <w:tr w:rsidR="009511F1" w:rsidRPr="00120F8B" w:rsidTr="009511F1">
        <w:tc>
          <w:tcPr>
            <w:tcW w:w="2053" w:type="dxa"/>
          </w:tcPr>
          <w:p w:rsidR="009511F1" w:rsidRPr="009511F1" w:rsidRDefault="009511F1" w:rsidP="009511F1">
            <w:pPr>
              <w:rPr>
                <w:b/>
                <w:bCs/>
              </w:rPr>
            </w:pPr>
            <w:r w:rsidRPr="009511F1">
              <w:rPr>
                <w:b/>
                <w:bCs/>
              </w:rPr>
              <w:t>TERT</w:t>
            </w:r>
          </w:p>
        </w:tc>
        <w:tc>
          <w:tcPr>
            <w:tcW w:w="7415" w:type="dxa"/>
          </w:tcPr>
          <w:p w:rsidR="009511F1" w:rsidRPr="009511F1" w:rsidRDefault="009511F1" w:rsidP="009511F1">
            <w:r w:rsidRPr="009511F1">
              <w:t>TElomerase Reverse Transcriptase</w:t>
            </w:r>
          </w:p>
        </w:tc>
      </w:tr>
      <w:tr w:rsidR="009511F1" w:rsidRPr="008D610C" w:rsidTr="009511F1">
        <w:tc>
          <w:tcPr>
            <w:tcW w:w="2053" w:type="dxa"/>
          </w:tcPr>
          <w:p w:rsidR="009511F1" w:rsidRPr="008D610C" w:rsidRDefault="009511F1" w:rsidP="009511F1">
            <w:pPr>
              <w:rPr>
                <w:b/>
                <w:bCs/>
              </w:rPr>
            </w:pPr>
            <w:r w:rsidRPr="008D610C">
              <w:rPr>
                <w:b/>
                <w:bCs/>
              </w:rPr>
              <w:t>TE</w:t>
            </w:r>
            <w:r>
              <w:rPr>
                <w:b/>
                <w:bCs/>
              </w:rPr>
              <w:t>S</w:t>
            </w:r>
            <w:r w:rsidRPr="008D610C">
              <w:rPr>
                <w:b/>
                <w:bCs/>
              </w:rPr>
              <w:t>AE</w:t>
            </w:r>
          </w:p>
        </w:tc>
        <w:tc>
          <w:tcPr>
            <w:tcW w:w="7415" w:type="dxa"/>
          </w:tcPr>
          <w:p w:rsidR="009511F1" w:rsidRPr="008D610C" w:rsidRDefault="009511F1" w:rsidP="009511F1">
            <w:r w:rsidRPr="008D610C">
              <w:t xml:space="preserve">Treatment-Emergent </w:t>
            </w:r>
            <w:r>
              <w:t xml:space="preserve">Serious </w:t>
            </w:r>
            <w:r w:rsidRPr="008D610C">
              <w:t>Adverse Event</w:t>
            </w:r>
          </w:p>
        </w:tc>
      </w:tr>
      <w:tr w:rsidR="009511F1" w:rsidRPr="00120F8B" w:rsidTr="009511F1">
        <w:tc>
          <w:tcPr>
            <w:tcW w:w="2053" w:type="dxa"/>
          </w:tcPr>
          <w:p w:rsidR="009511F1" w:rsidRPr="009511F1" w:rsidRDefault="009511F1" w:rsidP="009511F1">
            <w:pPr>
              <w:rPr>
                <w:b/>
                <w:bCs/>
              </w:rPr>
            </w:pPr>
            <w:r w:rsidRPr="009511F1">
              <w:rPr>
                <w:b/>
                <w:bCs/>
              </w:rPr>
              <w:t>TYR</w:t>
            </w:r>
          </w:p>
        </w:tc>
        <w:tc>
          <w:tcPr>
            <w:tcW w:w="7415" w:type="dxa"/>
          </w:tcPr>
          <w:p w:rsidR="009511F1" w:rsidRPr="009511F1" w:rsidRDefault="009511F1" w:rsidP="009511F1">
            <w:r w:rsidRPr="009511F1">
              <w:t>Tyrosine</w:t>
            </w:r>
          </w:p>
        </w:tc>
      </w:tr>
      <w:tr w:rsidR="009511F1" w:rsidRPr="00120F8B" w:rsidTr="009511F1">
        <w:tc>
          <w:tcPr>
            <w:tcW w:w="2053" w:type="dxa"/>
          </w:tcPr>
          <w:p w:rsidR="009511F1" w:rsidRPr="009511F1" w:rsidRDefault="009511F1" w:rsidP="009511F1">
            <w:pPr>
              <w:rPr>
                <w:b/>
                <w:bCs/>
              </w:rPr>
            </w:pPr>
            <w:r w:rsidRPr="009511F1">
              <w:rPr>
                <w:b/>
                <w:bCs/>
              </w:rPr>
              <w:t>ULN</w:t>
            </w:r>
          </w:p>
        </w:tc>
        <w:tc>
          <w:tcPr>
            <w:tcW w:w="7415" w:type="dxa"/>
          </w:tcPr>
          <w:p w:rsidR="009511F1" w:rsidRPr="009511F1" w:rsidRDefault="009511F1" w:rsidP="009511F1">
            <w:r w:rsidRPr="009511F1">
              <w:t>Upper Limit of Normal</w:t>
            </w:r>
          </w:p>
        </w:tc>
      </w:tr>
      <w:tr w:rsidR="009511F1" w:rsidRPr="00120F8B" w:rsidTr="009511F1">
        <w:tc>
          <w:tcPr>
            <w:tcW w:w="2053" w:type="dxa"/>
          </w:tcPr>
          <w:p w:rsidR="009511F1" w:rsidRPr="009511F1" w:rsidRDefault="009511F1" w:rsidP="009511F1">
            <w:pPr>
              <w:rPr>
                <w:b/>
                <w:bCs/>
              </w:rPr>
            </w:pPr>
            <w:r w:rsidRPr="009511F1">
              <w:rPr>
                <w:b/>
                <w:bCs/>
              </w:rPr>
              <w:t>vs</w:t>
            </w:r>
          </w:p>
        </w:tc>
        <w:tc>
          <w:tcPr>
            <w:tcW w:w="7415" w:type="dxa"/>
          </w:tcPr>
          <w:p w:rsidR="009511F1" w:rsidRPr="009511F1" w:rsidRDefault="009511F1" w:rsidP="009511F1">
            <w:r w:rsidRPr="009511F1">
              <w:t>versus</w:t>
            </w:r>
          </w:p>
        </w:tc>
      </w:tr>
      <w:tr w:rsidR="009511F1" w:rsidRPr="00120F8B" w:rsidTr="009511F1">
        <w:tc>
          <w:tcPr>
            <w:tcW w:w="2053" w:type="dxa"/>
          </w:tcPr>
          <w:p w:rsidR="009511F1" w:rsidRPr="009511F1" w:rsidRDefault="009511F1" w:rsidP="009511F1">
            <w:pPr>
              <w:rPr>
                <w:b/>
                <w:bCs/>
              </w:rPr>
            </w:pPr>
            <w:r w:rsidRPr="009511F1">
              <w:rPr>
                <w:b/>
                <w:bCs/>
              </w:rPr>
              <w:t>WBC</w:t>
            </w:r>
          </w:p>
        </w:tc>
        <w:tc>
          <w:tcPr>
            <w:tcW w:w="7415" w:type="dxa"/>
          </w:tcPr>
          <w:p w:rsidR="009511F1" w:rsidRPr="009511F1" w:rsidRDefault="009511F1" w:rsidP="009511F1">
            <w:r w:rsidRPr="009511F1">
              <w:t>White Blood Cells</w:t>
            </w:r>
          </w:p>
        </w:tc>
      </w:tr>
      <w:tr w:rsidR="009511F1" w:rsidRPr="00120F8B" w:rsidTr="009511F1">
        <w:tc>
          <w:tcPr>
            <w:tcW w:w="2053" w:type="dxa"/>
          </w:tcPr>
          <w:p w:rsidR="009511F1" w:rsidRPr="009511F1" w:rsidRDefault="009511F1" w:rsidP="009511F1">
            <w:pPr>
              <w:rPr>
                <w:b/>
                <w:bCs/>
              </w:rPr>
            </w:pPr>
            <w:r w:rsidRPr="009511F1">
              <w:rPr>
                <w:b/>
                <w:bCs/>
              </w:rPr>
              <w:t>WHO</w:t>
            </w:r>
          </w:p>
        </w:tc>
        <w:tc>
          <w:tcPr>
            <w:tcW w:w="7415" w:type="dxa"/>
          </w:tcPr>
          <w:p w:rsidR="009511F1" w:rsidRPr="009511F1" w:rsidRDefault="009511F1" w:rsidP="009511F1">
            <w:r w:rsidRPr="009511F1">
              <w:t>World Health Organization</w:t>
            </w:r>
          </w:p>
        </w:tc>
      </w:tr>
    </w:tbl>
    <w:p w:rsidR="00AF3917" w:rsidRPr="008D610C" w:rsidRDefault="00AF3917"/>
    <w:p w:rsidR="00AF3917" w:rsidRPr="008D610C" w:rsidRDefault="00AF3917">
      <w:pPr>
        <w:keepNext/>
        <w:keepLines/>
        <w:pageBreakBefore/>
        <w:rPr>
          <w:b/>
        </w:rPr>
        <w:sectPr w:rsidR="00AF3917" w:rsidRPr="008D610C">
          <w:pgSz w:w="11907" w:h="16839" w:code="9"/>
          <w:pgMar w:top="1701" w:right="851" w:bottom="2268" w:left="1588" w:header="1134" w:footer="851" w:gutter="0"/>
          <w:cols w:space="720"/>
          <w:docGrid w:linePitch="326"/>
        </w:sectPr>
      </w:pPr>
    </w:p>
    <w:p w:rsidR="00AF3917" w:rsidRPr="008D610C" w:rsidRDefault="00542E7F" w:rsidP="00542E7F">
      <w:pPr>
        <w:pStyle w:val="1"/>
      </w:pPr>
      <w:bookmarkStart w:id="3" w:name="_Toc348250992"/>
      <w:bookmarkStart w:id="4" w:name="_Toc461617808"/>
      <w:r>
        <w:lastRenderedPageBreak/>
        <w:t>Introduction</w:t>
      </w:r>
      <w:bookmarkEnd w:id="3"/>
      <w:bookmarkEnd w:id="4"/>
    </w:p>
    <w:p w:rsidR="002077CD" w:rsidRDefault="002077CD" w:rsidP="00E63CA6">
      <w:pPr>
        <w:spacing w:line="360" w:lineRule="auto"/>
        <w:rPr>
          <w:rStyle w:val="Instruction"/>
          <w:b w:val="0"/>
          <w:bCs/>
          <w:i w:val="0"/>
          <w:iCs/>
          <w:color w:val="auto"/>
        </w:rPr>
      </w:pPr>
      <w:r w:rsidRPr="0091700E">
        <w:rPr>
          <w:rStyle w:val="Instruction"/>
          <w:b w:val="0"/>
          <w:bCs/>
          <w:i w:val="0"/>
          <w:iCs/>
          <w:color w:val="auto"/>
        </w:rPr>
        <w:t>This document is the statistical analysis plan (SAP) for the</w:t>
      </w:r>
      <w:r w:rsidR="00807E42" w:rsidRPr="0091700E">
        <w:rPr>
          <w:rStyle w:val="Instruction"/>
          <w:b w:val="0"/>
          <w:bCs/>
          <w:i w:val="0"/>
          <w:iCs/>
          <w:color w:val="auto"/>
        </w:rPr>
        <w:t xml:space="preserve"> </w:t>
      </w:r>
      <w:r w:rsidR="0091700E" w:rsidRPr="0091700E">
        <w:rPr>
          <w:rStyle w:val="Instruction"/>
          <w:b w:val="0"/>
          <w:bCs/>
          <w:i w:val="0"/>
          <w:iCs/>
          <w:color w:val="auto"/>
        </w:rPr>
        <w:t>VaxLung</w:t>
      </w:r>
      <w:r w:rsidRPr="0091700E">
        <w:rPr>
          <w:rStyle w:val="Instruction"/>
          <w:b w:val="0"/>
          <w:bCs/>
          <w:i w:val="0"/>
          <w:iCs/>
          <w:color w:val="auto"/>
        </w:rPr>
        <w:t xml:space="preserve"> </w:t>
      </w:r>
      <w:r w:rsidR="00DA361F">
        <w:rPr>
          <w:rStyle w:val="Instruction"/>
          <w:b w:val="0"/>
          <w:bCs/>
          <w:i w:val="0"/>
          <w:iCs/>
          <w:color w:val="auto"/>
        </w:rPr>
        <w:t xml:space="preserve">Vx-001-201 </w:t>
      </w:r>
      <w:r w:rsidRPr="0091700E">
        <w:rPr>
          <w:rStyle w:val="Instruction"/>
          <w:b w:val="0"/>
          <w:bCs/>
          <w:i w:val="0"/>
          <w:iCs/>
          <w:color w:val="auto"/>
        </w:rPr>
        <w:t xml:space="preserve">study. The purpose of this SAP is to provide a comprehensive and detailed description of the statistical analyses that will be carried out to assess the clinical efficacy and safety of the study treatment, as outlined in the </w:t>
      </w:r>
      <w:r w:rsidR="00E17781">
        <w:rPr>
          <w:rStyle w:val="Instruction"/>
          <w:b w:val="0"/>
          <w:bCs/>
          <w:i w:val="0"/>
          <w:iCs/>
          <w:color w:val="auto"/>
        </w:rPr>
        <w:t xml:space="preserve">latest version of </w:t>
      </w:r>
      <w:r w:rsidR="002F0E19">
        <w:rPr>
          <w:rStyle w:val="Instruction"/>
          <w:b w:val="0"/>
          <w:bCs/>
          <w:i w:val="0"/>
          <w:iCs/>
          <w:color w:val="auto"/>
        </w:rPr>
        <w:t xml:space="preserve">the </w:t>
      </w:r>
      <w:r w:rsidRPr="0091700E">
        <w:rPr>
          <w:rStyle w:val="Instruction"/>
          <w:b w:val="0"/>
          <w:bCs/>
          <w:i w:val="0"/>
          <w:iCs/>
          <w:color w:val="auto"/>
        </w:rPr>
        <w:t>study protocol</w:t>
      </w:r>
      <w:r w:rsidR="0091700E" w:rsidRPr="0091700E">
        <w:rPr>
          <w:rStyle w:val="Instruction"/>
          <w:b w:val="0"/>
          <w:bCs/>
          <w:i w:val="0"/>
          <w:iCs/>
          <w:color w:val="auto"/>
        </w:rPr>
        <w:t>, dated 07 July 2015</w:t>
      </w:r>
      <w:r w:rsidRPr="0091700E">
        <w:rPr>
          <w:rStyle w:val="Instruction"/>
          <w:b w:val="0"/>
          <w:bCs/>
          <w:i w:val="0"/>
          <w:iCs/>
          <w:color w:val="auto"/>
        </w:rPr>
        <w:t>.  The SAP pre-specifies the statistical approaches to be used and is validated prior to the study database lock and the unblinding of the randomisation schedule to ensure the credibility of the study findings.</w:t>
      </w:r>
    </w:p>
    <w:p w:rsidR="00DA361F" w:rsidRDefault="00DA361F" w:rsidP="00E63CA6">
      <w:pPr>
        <w:spacing w:line="360" w:lineRule="auto"/>
        <w:rPr>
          <w:rStyle w:val="Instruction"/>
          <w:b w:val="0"/>
          <w:bCs/>
          <w:i w:val="0"/>
          <w:iCs/>
          <w:color w:val="auto"/>
        </w:rPr>
      </w:pPr>
      <w:r>
        <w:rPr>
          <w:rStyle w:val="Instruction"/>
          <w:b w:val="0"/>
          <w:bCs/>
          <w:i w:val="0"/>
          <w:iCs/>
          <w:color w:val="auto"/>
        </w:rPr>
        <w:t xml:space="preserve">This is </w:t>
      </w:r>
      <w:r w:rsidR="00EE79BE">
        <w:rPr>
          <w:rStyle w:val="Instruction"/>
          <w:b w:val="0"/>
          <w:bCs/>
          <w:i w:val="0"/>
          <w:iCs/>
          <w:color w:val="auto"/>
        </w:rPr>
        <w:t xml:space="preserve">the third version of the SAP with </w:t>
      </w:r>
      <w:r w:rsidR="007518BE">
        <w:rPr>
          <w:rStyle w:val="Instruction"/>
          <w:b w:val="0"/>
          <w:bCs/>
          <w:i w:val="0"/>
          <w:iCs/>
          <w:color w:val="auto"/>
        </w:rPr>
        <w:t>added</w:t>
      </w:r>
      <w:r w:rsidR="00EE79BE">
        <w:rPr>
          <w:rStyle w:val="Instruction"/>
          <w:b w:val="0"/>
          <w:bCs/>
          <w:i w:val="0"/>
          <w:iCs/>
          <w:color w:val="auto"/>
        </w:rPr>
        <w:t xml:space="preserve"> </w:t>
      </w:r>
      <w:r w:rsidR="007518BE">
        <w:rPr>
          <w:rStyle w:val="Instruction"/>
          <w:b w:val="0"/>
          <w:bCs/>
          <w:i w:val="0"/>
          <w:iCs/>
          <w:color w:val="auto"/>
        </w:rPr>
        <w:t>f</w:t>
      </w:r>
      <w:r w:rsidR="00EE79BE" w:rsidRPr="007518BE">
        <w:rPr>
          <w:rStyle w:val="Instruction"/>
          <w:b w:val="0"/>
          <w:bCs/>
          <w:i w:val="0"/>
          <w:iCs/>
          <w:color w:val="auto"/>
        </w:rPr>
        <w:t>igures and complete</w:t>
      </w:r>
      <w:r w:rsidR="007518BE">
        <w:rPr>
          <w:rStyle w:val="Instruction"/>
          <w:b w:val="0"/>
          <w:bCs/>
          <w:i w:val="0"/>
          <w:iCs/>
          <w:color w:val="auto"/>
        </w:rPr>
        <w:t>d</w:t>
      </w:r>
      <w:r w:rsidR="00EE79BE" w:rsidRPr="007518BE">
        <w:rPr>
          <w:rStyle w:val="Instruction"/>
          <w:b w:val="0"/>
          <w:bCs/>
          <w:i w:val="0"/>
          <w:iCs/>
          <w:color w:val="auto"/>
        </w:rPr>
        <w:t xml:space="preserve"> exploratory analysis. T</w:t>
      </w:r>
      <w:r>
        <w:rPr>
          <w:rStyle w:val="Instruction"/>
          <w:b w:val="0"/>
          <w:bCs/>
          <w:i w:val="0"/>
          <w:iCs/>
          <w:color w:val="auto"/>
        </w:rPr>
        <w:t>he second version of the SAP, developed following a protocol amendment aiming at modifying the planned primary analysis</w:t>
      </w:r>
      <w:r w:rsidR="00EE79BE">
        <w:rPr>
          <w:rStyle w:val="Instruction"/>
          <w:b w:val="0"/>
          <w:bCs/>
          <w:i w:val="0"/>
          <w:iCs/>
          <w:color w:val="auto"/>
        </w:rPr>
        <w:t xml:space="preserve"> was finalised on 16</w:t>
      </w:r>
      <w:r w:rsidR="00EE79BE" w:rsidRPr="007518BE">
        <w:rPr>
          <w:rStyle w:val="Instruction"/>
          <w:b w:val="0"/>
          <w:bCs/>
          <w:i w:val="0"/>
          <w:iCs/>
          <w:color w:val="auto"/>
          <w:vertAlign w:val="superscript"/>
        </w:rPr>
        <w:t>th</w:t>
      </w:r>
      <w:r w:rsidR="00EE79BE">
        <w:rPr>
          <w:rStyle w:val="Instruction"/>
          <w:b w:val="0"/>
          <w:bCs/>
          <w:i w:val="0"/>
          <w:iCs/>
          <w:color w:val="auto"/>
        </w:rPr>
        <w:t xml:space="preserve"> March 201</w:t>
      </w:r>
      <w:r w:rsidR="007518BE">
        <w:rPr>
          <w:rStyle w:val="Instruction"/>
          <w:b w:val="0"/>
          <w:bCs/>
          <w:i w:val="0"/>
          <w:iCs/>
          <w:color w:val="auto"/>
        </w:rPr>
        <w:t>6</w:t>
      </w:r>
      <w:r>
        <w:rPr>
          <w:rStyle w:val="Instruction"/>
          <w:b w:val="0"/>
          <w:bCs/>
          <w:i w:val="0"/>
          <w:iCs/>
          <w:color w:val="auto"/>
        </w:rPr>
        <w:t>. The first version of the SAP was finalised on 10</w:t>
      </w:r>
      <w:r w:rsidRPr="00DA361F">
        <w:rPr>
          <w:rStyle w:val="Instruction"/>
          <w:b w:val="0"/>
          <w:bCs/>
          <w:i w:val="0"/>
          <w:iCs/>
          <w:color w:val="auto"/>
          <w:vertAlign w:val="superscript"/>
        </w:rPr>
        <w:t>th</w:t>
      </w:r>
      <w:r>
        <w:rPr>
          <w:rStyle w:val="Instruction"/>
          <w:b w:val="0"/>
          <w:bCs/>
          <w:i w:val="0"/>
          <w:iCs/>
          <w:color w:val="auto"/>
        </w:rPr>
        <w:t xml:space="preserve"> February 2015.</w:t>
      </w:r>
    </w:p>
    <w:p w:rsidR="00596EEB" w:rsidRDefault="00596EEB" w:rsidP="00E63CA6">
      <w:pPr>
        <w:pStyle w:val="1"/>
        <w:spacing w:line="360" w:lineRule="auto"/>
      </w:pPr>
      <w:bookmarkStart w:id="5" w:name="_Toc461617809"/>
      <w:bookmarkStart w:id="6" w:name="_Toc348250994"/>
      <w:r>
        <w:t>Highlights from study protocol</w:t>
      </w:r>
      <w:bookmarkEnd w:id="5"/>
    </w:p>
    <w:p w:rsidR="00AF3917" w:rsidRPr="008D610C" w:rsidRDefault="00AF3917" w:rsidP="00E63CA6">
      <w:pPr>
        <w:pStyle w:val="2"/>
        <w:spacing w:line="360" w:lineRule="auto"/>
      </w:pPr>
      <w:bookmarkStart w:id="7" w:name="_Toc461617810"/>
      <w:r w:rsidRPr="008D610C">
        <w:t>Background/Rationale</w:t>
      </w:r>
      <w:bookmarkEnd w:id="7"/>
    </w:p>
    <w:p w:rsidR="0046306E" w:rsidRPr="00394E17" w:rsidRDefault="0046306E" w:rsidP="00E63CA6">
      <w:pPr>
        <w:spacing w:line="360" w:lineRule="auto"/>
        <w:rPr>
          <w:rStyle w:val="Instruction"/>
          <w:b w:val="0"/>
          <w:bCs/>
          <w:i w:val="0"/>
          <w:color w:val="auto"/>
        </w:rPr>
      </w:pPr>
      <w:r w:rsidRPr="00394E17">
        <w:rPr>
          <w:rStyle w:val="Instruction"/>
          <w:b w:val="0"/>
          <w:bCs/>
          <w:i w:val="0"/>
          <w:color w:val="auto"/>
        </w:rPr>
        <w:t>Full details of the background and rationale for the study are provided in Section 1 of the protocol.</w:t>
      </w:r>
    </w:p>
    <w:p w:rsidR="00AF3917" w:rsidRPr="008D610C" w:rsidRDefault="00F8740E" w:rsidP="00E63CA6">
      <w:pPr>
        <w:pStyle w:val="2"/>
        <w:spacing w:line="360" w:lineRule="auto"/>
      </w:pPr>
      <w:bookmarkStart w:id="8" w:name="_Toc461617811"/>
      <w:r>
        <w:t xml:space="preserve">Study </w:t>
      </w:r>
      <w:r w:rsidR="00AF3917" w:rsidRPr="008D610C">
        <w:t>Objectives</w:t>
      </w:r>
      <w:bookmarkEnd w:id="8"/>
    </w:p>
    <w:p w:rsidR="00AF3917" w:rsidRPr="008D610C" w:rsidRDefault="00AF3917" w:rsidP="00E63CA6">
      <w:pPr>
        <w:pStyle w:val="3"/>
        <w:spacing w:line="360" w:lineRule="auto"/>
      </w:pPr>
      <w:bookmarkStart w:id="9" w:name="_Toc461617812"/>
      <w:r w:rsidRPr="008D610C">
        <w:t>Primary objective</w:t>
      </w:r>
      <w:r w:rsidR="00343086">
        <w:t>(</w:t>
      </w:r>
      <w:r w:rsidRPr="008D610C">
        <w:t>s</w:t>
      </w:r>
      <w:r w:rsidR="00343086">
        <w:t>)</w:t>
      </w:r>
      <w:bookmarkEnd w:id="9"/>
    </w:p>
    <w:p w:rsidR="0046306E" w:rsidRDefault="0046306E" w:rsidP="00E63CA6">
      <w:pPr>
        <w:spacing w:line="360" w:lineRule="auto"/>
        <w:rPr>
          <w:rStyle w:val="Instruction"/>
          <w:b w:val="0"/>
          <w:bCs/>
          <w:i w:val="0"/>
          <w:iCs/>
          <w:color w:val="auto"/>
        </w:rPr>
      </w:pPr>
      <w:bookmarkStart w:id="10" w:name="_Toc348250996"/>
      <w:bookmarkEnd w:id="6"/>
      <w:r w:rsidRPr="009A2FD5">
        <w:rPr>
          <w:rStyle w:val="Instruction"/>
          <w:b w:val="0"/>
          <w:bCs/>
          <w:i w:val="0"/>
          <w:iCs/>
          <w:color w:val="auto"/>
        </w:rPr>
        <w:t>The efficacy objective of the study is to demonstrate the clinical efficacy of Vx-001 vs placebo, as maintenance treatment after first-line treatment in NSCLC patients with disease control (SD, PR or CR).</w:t>
      </w:r>
    </w:p>
    <w:p w:rsidR="009F778B" w:rsidRDefault="009F778B" w:rsidP="00E63CA6">
      <w:pPr>
        <w:spacing w:line="360" w:lineRule="auto"/>
        <w:rPr>
          <w:rStyle w:val="Instruction"/>
          <w:b w:val="0"/>
          <w:bCs/>
          <w:i w:val="0"/>
          <w:iCs/>
          <w:color w:val="auto"/>
        </w:rPr>
      </w:pPr>
    </w:p>
    <w:p w:rsidR="009A2FD5" w:rsidRPr="009A2FD5" w:rsidRDefault="009A2FD5" w:rsidP="00E63CA6">
      <w:pPr>
        <w:spacing w:line="360" w:lineRule="auto"/>
        <w:rPr>
          <w:rStyle w:val="Instruction"/>
          <w:b w:val="0"/>
          <w:bCs/>
          <w:i w:val="0"/>
          <w:iCs/>
          <w:color w:val="auto"/>
        </w:rPr>
      </w:pPr>
      <w:r>
        <w:rPr>
          <w:rStyle w:val="Instruction"/>
          <w:b w:val="0"/>
          <w:bCs/>
          <w:i w:val="0"/>
          <w:iCs/>
          <w:color w:val="auto"/>
        </w:rPr>
        <w:t xml:space="preserve">The primary objective is a time-to-event comparison of overall survival in Vx-001 treated </w:t>
      </w:r>
      <w:r w:rsidRPr="00E63CA6">
        <w:rPr>
          <w:rStyle w:val="Instruction"/>
          <w:b w:val="0"/>
          <w:bCs/>
          <w:iCs/>
          <w:color w:val="auto"/>
        </w:rPr>
        <w:t>vs</w:t>
      </w:r>
      <w:r>
        <w:rPr>
          <w:rStyle w:val="Instruction"/>
          <w:b w:val="0"/>
          <w:bCs/>
          <w:i w:val="0"/>
          <w:iCs/>
          <w:color w:val="auto"/>
        </w:rPr>
        <w:t xml:space="preserve"> placebo treated patients.</w:t>
      </w:r>
    </w:p>
    <w:p w:rsidR="00AF3917" w:rsidRDefault="00AF3917" w:rsidP="00E63CA6">
      <w:pPr>
        <w:pStyle w:val="3"/>
        <w:spacing w:line="360" w:lineRule="auto"/>
      </w:pPr>
      <w:bookmarkStart w:id="11" w:name="_Toc461617813"/>
      <w:r w:rsidRPr="008D610C">
        <w:lastRenderedPageBreak/>
        <w:t>Secondary objectives</w:t>
      </w:r>
      <w:bookmarkEnd w:id="11"/>
    </w:p>
    <w:p w:rsidR="00E63CA6" w:rsidRDefault="00E63CA6" w:rsidP="00E63CA6">
      <w:pPr>
        <w:spacing w:line="360" w:lineRule="auto"/>
        <w:rPr>
          <w:rStyle w:val="Instruction"/>
          <w:b w:val="0"/>
          <w:bCs/>
          <w:i w:val="0"/>
          <w:iCs/>
          <w:color w:val="auto"/>
        </w:rPr>
      </w:pPr>
      <w:r w:rsidRPr="00E63CA6">
        <w:rPr>
          <w:rStyle w:val="Instruction"/>
          <w:b w:val="0"/>
          <w:bCs/>
          <w:i w:val="0"/>
          <w:iCs/>
          <w:color w:val="auto"/>
        </w:rPr>
        <w:t>The secondary objectives are:</w:t>
      </w:r>
    </w:p>
    <w:p w:rsidR="00E63CA6" w:rsidRPr="00E63CA6" w:rsidRDefault="00E63CA6" w:rsidP="001559A5">
      <w:pPr>
        <w:pStyle w:val="ac"/>
        <w:numPr>
          <w:ilvl w:val="0"/>
          <w:numId w:val="7"/>
        </w:numPr>
        <w:spacing w:line="360" w:lineRule="auto"/>
        <w:rPr>
          <w:rStyle w:val="Instruction"/>
          <w:b w:val="0"/>
          <w:bCs/>
          <w:i w:val="0"/>
          <w:iCs/>
          <w:color w:val="auto"/>
        </w:rPr>
      </w:pPr>
      <w:r w:rsidRPr="00E63CA6">
        <w:rPr>
          <w:rStyle w:val="Instruction"/>
          <w:b w:val="0"/>
          <w:bCs/>
          <w:i w:val="0"/>
          <w:iCs/>
          <w:color w:val="auto"/>
        </w:rPr>
        <w:t xml:space="preserve">Comparison of survival rate at 12 months in Vx-001 treated </w:t>
      </w:r>
      <w:r w:rsidRPr="00E63CA6">
        <w:rPr>
          <w:rStyle w:val="Instruction"/>
          <w:b w:val="0"/>
          <w:bCs/>
          <w:iCs/>
          <w:color w:val="auto"/>
        </w:rPr>
        <w:t>vs</w:t>
      </w:r>
      <w:r w:rsidRPr="00E63CA6">
        <w:rPr>
          <w:rStyle w:val="Instruction"/>
          <w:b w:val="0"/>
          <w:bCs/>
          <w:i w:val="0"/>
          <w:iCs/>
          <w:color w:val="auto"/>
        </w:rPr>
        <w:t xml:space="preserve"> placebo treated patients,</w:t>
      </w:r>
    </w:p>
    <w:p w:rsidR="00E63CA6" w:rsidRDefault="00E63CA6" w:rsidP="001559A5">
      <w:pPr>
        <w:pStyle w:val="ac"/>
        <w:numPr>
          <w:ilvl w:val="0"/>
          <w:numId w:val="7"/>
        </w:numPr>
        <w:spacing w:line="360" w:lineRule="auto"/>
        <w:rPr>
          <w:rStyle w:val="Instruction"/>
          <w:b w:val="0"/>
          <w:bCs/>
          <w:i w:val="0"/>
          <w:iCs/>
          <w:color w:val="auto"/>
        </w:rPr>
      </w:pPr>
      <w:r w:rsidRPr="00E63CA6">
        <w:rPr>
          <w:rStyle w:val="Instruction"/>
          <w:b w:val="0"/>
          <w:bCs/>
          <w:i w:val="0"/>
          <w:iCs/>
          <w:color w:val="auto"/>
        </w:rPr>
        <w:t xml:space="preserve">Comparison of Time to Treatment Failure in Vx-001 treated </w:t>
      </w:r>
      <w:r w:rsidRPr="00E63CA6">
        <w:rPr>
          <w:rStyle w:val="Instruction"/>
          <w:b w:val="0"/>
          <w:bCs/>
          <w:iCs/>
          <w:color w:val="auto"/>
        </w:rPr>
        <w:t>vs</w:t>
      </w:r>
      <w:r w:rsidRPr="00E63CA6">
        <w:rPr>
          <w:rStyle w:val="Instruction"/>
          <w:b w:val="0"/>
          <w:bCs/>
          <w:i w:val="0"/>
          <w:iCs/>
          <w:color w:val="auto"/>
        </w:rPr>
        <w:t xml:space="preserve"> placebo treated patients</w:t>
      </w:r>
    </w:p>
    <w:p w:rsidR="00E63CA6" w:rsidRDefault="00E63CA6" w:rsidP="00E63CA6">
      <w:pPr>
        <w:spacing w:line="360" w:lineRule="auto"/>
        <w:rPr>
          <w:rStyle w:val="Instruction"/>
          <w:b w:val="0"/>
          <w:bCs/>
          <w:i w:val="0"/>
          <w:iCs/>
          <w:color w:val="auto"/>
        </w:rPr>
      </w:pPr>
    </w:p>
    <w:p w:rsidR="00E63CA6" w:rsidRDefault="00E63CA6" w:rsidP="00E63CA6">
      <w:pPr>
        <w:pStyle w:val="3"/>
        <w:spacing w:line="360" w:lineRule="auto"/>
      </w:pPr>
      <w:bookmarkStart w:id="12" w:name="_Toc461617814"/>
      <w:r>
        <w:t>Exploratory objectives</w:t>
      </w:r>
      <w:bookmarkEnd w:id="12"/>
    </w:p>
    <w:p w:rsidR="00E63CA6" w:rsidRDefault="00E63CA6" w:rsidP="00E63CA6">
      <w:pPr>
        <w:spacing w:line="360" w:lineRule="auto"/>
        <w:rPr>
          <w:rStyle w:val="Instruction"/>
          <w:b w:val="0"/>
          <w:bCs/>
          <w:i w:val="0"/>
          <w:iCs/>
          <w:color w:val="auto"/>
        </w:rPr>
      </w:pPr>
      <w:r>
        <w:rPr>
          <w:rStyle w:val="Instruction"/>
          <w:b w:val="0"/>
          <w:bCs/>
          <w:i w:val="0"/>
          <w:iCs/>
          <w:color w:val="auto"/>
        </w:rPr>
        <w:t>The exploratory objectives are:</w:t>
      </w:r>
    </w:p>
    <w:p w:rsidR="00E63CA6" w:rsidRPr="009F778B" w:rsidRDefault="00E63CA6" w:rsidP="001559A5">
      <w:pPr>
        <w:pStyle w:val="ac"/>
        <w:numPr>
          <w:ilvl w:val="0"/>
          <w:numId w:val="8"/>
        </w:numPr>
        <w:spacing w:line="360" w:lineRule="auto"/>
        <w:rPr>
          <w:rStyle w:val="Instruction"/>
          <w:b w:val="0"/>
          <w:bCs/>
          <w:i w:val="0"/>
          <w:iCs/>
          <w:color w:val="auto"/>
        </w:rPr>
      </w:pPr>
      <w:r w:rsidRPr="009F778B">
        <w:rPr>
          <w:rStyle w:val="Instruction"/>
          <w:b w:val="0"/>
          <w:bCs/>
          <w:i w:val="0"/>
          <w:iCs/>
          <w:color w:val="auto"/>
        </w:rPr>
        <w:t xml:space="preserve">Comparison of disease control rate after the end of subsequent second line treatments between Vx-001 treated </w:t>
      </w:r>
      <w:r w:rsidRPr="005E7B13">
        <w:rPr>
          <w:rStyle w:val="Instruction"/>
          <w:b w:val="0"/>
          <w:bCs/>
          <w:iCs/>
          <w:color w:val="auto"/>
        </w:rPr>
        <w:t>vs</w:t>
      </w:r>
      <w:r w:rsidRPr="009F778B">
        <w:rPr>
          <w:rStyle w:val="Instruction"/>
          <w:b w:val="0"/>
          <w:bCs/>
          <w:i w:val="0"/>
          <w:iCs/>
          <w:color w:val="auto"/>
        </w:rPr>
        <w:t xml:space="preserve"> placebo treated patients,</w:t>
      </w:r>
    </w:p>
    <w:p w:rsidR="00E63CA6" w:rsidRPr="00E63CA6" w:rsidRDefault="00E63CA6" w:rsidP="001559A5">
      <w:pPr>
        <w:pStyle w:val="ac"/>
        <w:numPr>
          <w:ilvl w:val="0"/>
          <w:numId w:val="8"/>
        </w:numPr>
        <w:spacing w:line="360" w:lineRule="auto"/>
        <w:rPr>
          <w:rStyle w:val="Instruction"/>
          <w:b w:val="0"/>
          <w:bCs/>
          <w:i w:val="0"/>
          <w:iCs/>
          <w:color w:val="auto"/>
        </w:rPr>
      </w:pPr>
      <w:r w:rsidRPr="00E63CA6">
        <w:rPr>
          <w:rStyle w:val="Instruction"/>
          <w:b w:val="0"/>
          <w:bCs/>
          <w:i w:val="0"/>
          <w:iCs/>
          <w:color w:val="auto"/>
        </w:rPr>
        <w:t xml:space="preserve">Comparison of vaccine induced immune responses between Vx-001 </w:t>
      </w:r>
      <w:r w:rsidRPr="005E7B13">
        <w:rPr>
          <w:rStyle w:val="Instruction"/>
          <w:b w:val="0"/>
          <w:bCs/>
          <w:iCs/>
          <w:color w:val="auto"/>
        </w:rPr>
        <w:t>vs</w:t>
      </w:r>
      <w:r w:rsidRPr="00E63CA6">
        <w:rPr>
          <w:rStyle w:val="Instruction"/>
          <w:b w:val="0"/>
          <w:bCs/>
          <w:i w:val="0"/>
          <w:iCs/>
          <w:color w:val="auto"/>
        </w:rPr>
        <w:t xml:space="preserve"> placebo in terms of frequency of TERT</w:t>
      </w:r>
      <w:r w:rsidR="00EB0A40" w:rsidRPr="00735129">
        <w:rPr>
          <w:rStyle w:val="Instruction"/>
          <w:b w:val="0"/>
          <w:bCs/>
          <w:i w:val="0"/>
          <w:iCs/>
          <w:color w:val="auto"/>
          <w:vertAlign w:val="subscript"/>
        </w:rPr>
        <w:t>572</w:t>
      </w:r>
      <w:r w:rsidRPr="00E63CA6">
        <w:rPr>
          <w:rStyle w:val="Instruction"/>
          <w:b w:val="0"/>
          <w:bCs/>
          <w:i w:val="0"/>
          <w:iCs/>
          <w:color w:val="auto"/>
        </w:rPr>
        <w:t xml:space="preserve"> specific IFN-γ and </w:t>
      </w:r>
      <w:r w:rsidR="005E7B13">
        <w:rPr>
          <w:rStyle w:val="Instruction"/>
          <w:b w:val="0"/>
          <w:bCs/>
          <w:i w:val="0"/>
          <w:iCs/>
          <w:color w:val="auto"/>
        </w:rPr>
        <w:t>Perforin</w:t>
      </w:r>
      <w:r w:rsidRPr="00E63CA6">
        <w:rPr>
          <w:rStyle w:val="Instruction"/>
          <w:b w:val="0"/>
          <w:bCs/>
          <w:i w:val="0"/>
          <w:iCs/>
          <w:color w:val="auto"/>
        </w:rPr>
        <w:t xml:space="preserve"> producing T cells in the blood of patients. Immune response will be evaluated before treatment, after the second and sixth injections</w:t>
      </w:r>
      <w:r w:rsidR="00EB0A40">
        <w:rPr>
          <w:rStyle w:val="Instruction"/>
          <w:b w:val="0"/>
          <w:bCs/>
          <w:i w:val="0"/>
          <w:iCs/>
          <w:color w:val="auto"/>
        </w:rPr>
        <w:t xml:space="preserve"> or at end of treatment</w:t>
      </w:r>
      <w:r w:rsidR="006A56E2">
        <w:rPr>
          <w:rStyle w:val="Instruction"/>
          <w:b w:val="0"/>
          <w:bCs/>
          <w:i w:val="0"/>
          <w:iCs/>
          <w:color w:val="auto"/>
        </w:rPr>
        <w:t xml:space="preserve"> </w:t>
      </w:r>
      <w:r w:rsidR="006A56E2">
        <w:rPr>
          <w:color w:val="000000"/>
        </w:rPr>
        <w:t>i</w:t>
      </w:r>
      <w:r w:rsidR="006A56E2" w:rsidRPr="00FD0B94">
        <w:rPr>
          <w:color w:val="000000"/>
        </w:rPr>
        <w:t>n case of patient withdraw</w:t>
      </w:r>
      <w:r w:rsidR="006A56E2">
        <w:rPr>
          <w:color w:val="000000"/>
        </w:rPr>
        <w:t>al from the study</w:t>
      </w:r>
      <w:r w:rsidR="006A56E2" w:rsidRPr="00FD0B94">
        <w:rPr>
          <w:color w:val="000000"/>
        </w:rPr>
        <w:t xml:space="preserve"> before</w:t>
      </w:r>
      <w:r w:rsidR="006A56E2">
        <w:rPr>
          <w:color w:val="000000"/>
        </w:rPr>
        <w:t xml:space="preserve"> or at</w:t>
      </w:r>
      <w:r w:rsidR="006A56E2" w:rsidRPr="00FD0B94">
        <w:rPr>
          <w:color w:val="000000"/>
        </w:rPr>
        <w:t xml:space="preserve"> Week 18</w:t>
      </w:r>
      <w:r w:rsidRPr="00E63CA6">
        <w:rPr>
          <w:rStyle w:val="Instruction"/>
          <w:b w:val="0"/>
          <w:bCs/>
          <w:i w:val="0"/>
          <w:iCs/>
          <w:color w:val="auto"/>
        </w:rPr>
        <w:t xml:space="preserve"> and from week 39 after every two injections.</w:t>
      </w:r>
    </w:p>
    <w:p w:rsidR="00E63CA6" w:rsidRPr="00E63CA6" w:rsidRDefault="00E63CA6" w:rsidP="001559A5">
      <w:pPr>
        <w:pStyle w:val="ac"/>
        <w:numPr>
          <w:ilvl w:val="0"/>
          <w:numId w:val="8"/>
        </w:numPr>
        <w:spacing w:line="360" w:lineRule="auto"/>
        <w:rPr>
          <w:rStyle w:val="Instruction"/>
          <w:b w:val="0"/>
          <w:bCs/>
          <w:i w:val="0"/>
          <w:iCs/>
          <w:color w:val="auto"/>
        </w:rPr>
      </w:pPr>
      <w:r w:rsidRPr="00E63CA6">
        <w:rPr>
          <w:rStyle w:val="Instruction"/>
          <w:b w:val="0"/>
          <w:bCs/>
          <w:i w:val="0"/>
          <w:iCs/>
          <w:color w:val="auto"/>
        </w:rPr>
        <w:t xml:space="preserve">Comparison of </w:t>
      </w:r>
      <w:r w:rsidR="005E7B13">
        <w:rPr>
          <w:rStyle w:val="Instruction"/>
          <w:b w:val="0"/>
          <w:bCs/>
          <w:i w:val="0"/>
          <w:iCs/>
          <w:color w:val="auto"/>
        </w:rPr>
        <w:t xml:space="preserve">overall </w:t>
      </w:r>
      <w:r w:rsidRPr="00E63CA6">
        <w:rPr>
          <w:rStyle w:val="Instruction"/>
          <w:b w:val="0"/>
          <w:bCs/>
          <w:i w:val="0"/>
          <w:iCs/>
          <w:color w:val="auto"/>
        </w:rPr>
        <w:t xml:space="preserve">survival in patients with vaccine induced immune response detected after the second and sixth injection of Vx-001 </w:t>
      </w:r>
      <w:r w:rsidRPr="005E7B13">
        <w:rPr>
          <w:rStyle w:val="Instruction"/>
          <w:b w:val="0"/>
          <w:bCs/>
          <w:iCs/>
          <w:color w:val="auto"/>
        </w:rPr>
        <w:t>vs</w:t>
      </w:r>
      <w:r w:rsidRPr="00E63CA6">
        <w:rPr>
          <w:rStyle w:val="Instruction"/>
          <w:b w:val="0"/>
          <w:bCs/>
          <w:i w:val="0"/>
          <w:iCs/>
          <w:color w:val="auto"/>
        </w:rPr>
        <w:t>:</w:t>
      </w:r>
    </w:p>
    <w:p w:rsidR="00E63CA6" w:rsidRDefault="00E63CA6" w:rsidP="001559A5">
      <w:pPr>
        <w:pStyle w:val="ac"/>
        <w:numPr>
          <w:ilvl w:val="1"/>
          <w:numId w:val="8"/>
        </w:numPr>
        <w:spacing w:line="360" w:lineRule="auto"/>
        <w:rPr>
          <w:rStyle w:val="Instruction"/>
          <w:b w:val="0"/>
          <w:bCs/>
          <w:i w:val="0"/>
          <w:iCs/>
          <w:color w:val="auto"/>
        </w:rPr>
      </w:pPr>
      <w:r w:rsidRPr="00E63CA6">
        <w:rPr>
          <w:rStyle w:val="Instruction"/>
          <w:b w:val="0"/>
          <w:bCs/>
          <w:i w:val="0"/>
          <w:iCs/>
          <w:color w:val="auto"/>
        </w:rPr>
        <w:t>patients who received at least two and six injections of placebo, respectively,</w:t>
      </w:r>
    </w:p>
    <w:p w:rsidR="00E63CA6" w:rsidRPr="00E63CA6" w:rsidRDefault="00E63CA6" w:rsidP="001559A5">
      <w:pPr>
        <w:pStyle w:val="ac"/>
        <w:numPr>
          <w:ilvl w:val="1"/>
          <w:numId w:val="8"/>
        </w:numPr>
        <w:spacing w:line="360" w:lineRule="auto"/>
        <w:rPr>
          <w:rStyle w:val="Instruction"/>
          <w:b w:val="0"/>
          <w:bCs/>
          <w:i w:val="0"/>
          <w:iCs/>
          <w:color w:val="auto"/>
        </w:rPr>
      </w:pPr>
      <w:r w:rsidRPr="00E63CA6">
        <w:rPr>
          <w:rStyle w:val="Instruction"/>
          <w:b w:val="0"/>
          <w:bCs/>
          <w:i w:val="0"/>
          <w:iCs/>
          <w:color w:val="auto"/>
        </w:rPr>
        <w:t>patients randomised to Vx-001 who did not develop vaccine specific immune response after the second and sixth injections of Vx-001, respectively.</w:t>
      </w:r>
    </w:p>
    <w:p w:rsidR="00E63CA6" w:rsidRPr="00E63CA6" w:rsidRDefault="00E63CA6" w:rsidP="001559A5">
      <w:pPr>
        <w:pStyle w:val="ac"/>
        <w:numPr>
          <w:ilvl w:val="0"/>
          <w:numId w:val="9"/>
        </w:numPr>
        <w:spacing w:line="360" w:lineRule="auto"/>
        <w:rPr>
          <w:rStyle w:val="Instruction"/>
          <w:b w:val="0"/>
          <w:bCs/>
          <w:i w:val="0"/>
          <w:iCs/>
          <w:color w:val="auto"/>
        </w:rPr>
      </w:pPr>
      <w:r w:rsidRPr="00E63CA6">
        <w:rPr>
          <w:rStyle w:val="Instruction"/>
          <w:b w:val="0"/>
          <w:bCs/>
          <w:i w:val="0"/>
          <w:iCs/>
          <w:color w:val="auto"/>
        </w:rPr>
        <w:t>Comparison of</w:t>
      </w:r>
      <w:r w:rsidR="005E7B13">
        <w:rPr>
          <w:rStyle w:val="Instruction"/>
          <w:b w:val="0"/>
          <w:bCs/>
          <w:i w:val="0"/>
          <w:iCs/>
          <w:color w:val="auto"/>
        </w:rPr>
        <w:t xml:space="preserve"> overall</w:t>
      </w:r>
      <w:r w:rsidRPr="00E63CA6">
        <w:rPr>
          <w:rStyle w:val="Instruction"/>
          <w:b w:val="0"/>
          <w:bCs/>
          <w:i w:val="0"/>
          <w:iCs/>
          <w:color w:val="auto"/>
        </w:rPr>
        <w:t xml:space="preserve"> survival in Vx-001-treated </w:t>
      </w:r>
      <w:r w:rsidRPr="005E7B13">
        <w:rPr>
          <w:rStyle w:val="Instruction"/>
          <w:b w:val="0"/>
          <w:bCs/>
          <w:iCs/>
          <w:color w:val="auto"/>
        </w:rPr>
        <w:t>vs</w:t>
      </w:r>
      <w:r w:rsidRPr="00E63CA6">
        <w:rPr>
          <w:rStyle w:val="Instruction"/>
          <w:b w:val="0"/>
          <w:bCs/>
          <w:i w:val="0"/>
          <w:iCs/>
          <w:color w:val="auto"/>
        </w:rPr>
        <w:t xml:space="preserve"> placebo-treated patients who had: </w:t>
      </w:r>
    </w:p>
    <w:p w:rsidR="00E63CA6" w:rsidRDefault="00E63CA6" w:rsidP="001559A5">
      <w:pPr>
        <w:pStyle w:val="ac"/>
        <w:numPr>
          <w:ilvl w:val="1"/>
          <w:numId w:val="9"/>
        </w:numPr>
        <w:spacing w:line="360" w:lineRule="auto"/>
        <w:rPr>
          <w:rStyle w:val="Instruction"/>
          <w:b w:val="0"/>
          <w:bCs/>
          <w:i w:val="0"/>
          <w:iCs/>
          <w:color w:val="auto"/>
        </w:rPr>
      </w:pPr>
      <w:r w:rsidRPr="00E63CA6">
        <w:rPr>
          <w:rStyle w:val="Instruction"/>
          <w:b w:val="0"/>
          <w:bCs/>
          <w:i w:val="0"/>
          <w:iCs/>
          <w:color w:val="auto"/>
        </w:rPr>
        <w:t>a vaccine specific immune response before Vx-001 or placebo injection,</w:t>
      </w:r>
    </w:p>
    <w:p w:rsidR="00E63CA6" w:rsidRPr="00E63CA6" w:rsidRDefault="00E63CA6" w:rsidP="001559A5">
      <w:pPr>
        <w:pStyle w:val="ac"/>
        <w:numPr>
          <w:ilvl w:val="1"/>
          <w:numId w:val="9"/>
        </w:numPr>
        <w:spacing w:line="360" w:lineRule="auto"/>
        <w:rPr>
          <w:rStyle w:val="Instruction"/>
          <w:b w:val="0"/>
          <w:bCs/>
          <w:i w:val="0"/>
          <w:iCs/>
          <w:color w:val="auto"/>
        </w:rPr>
      </w:pPr>
      <w:r w:rsidRPr="00E63CA6">
        <w:rPr>
          <w:rStyle w:val="Instruction"/>
          <w:b w:val="0"/>
          <w:bCs/>
          <w:i w:val="0"/>
          <w:iCs/>
          <w:color w:val="auto"/>
        </w:rPr>
        <w:t xml:space="preserve">high level of TERT expression or low levels of TERT expression in their </w:t>
      </w:r>
      <w:r w:rsidR="00EB0A40">
        <w:rPr>
          <w:rStyle w:val="Instruction"/>
          <w:b w:val="0"/>
          <w:bCs/>
          <w:i w:val="0"/>
          <w:iCs/>
          <w:color w:val="auto"/>
        </w:rPr>
        <w:t>tumour biopsy</w:t>
      </w:r>
      <w:r w:rsidRPr="00E63CA6">
        <w:rPr>
          <w:rStyle w:val="Instruction"/>
          <w:b w:val="0"/>
          <w:bCs/>
          <w:i w:val="0"/>
          <w:iCs/>
          <w:color w:val="auto"/>
        </w:rPr>
        <w:t>.</w:t>
      </w:r>
    </w:p>
    <w:p w:rsidR="00AA3A87" w:rsidRDefault="00AA3A87" w:rsidP="00AA3A87">
      <w:pPr>
        <w:pStyle w:val="3"/>
        <w:spacing w:line="360" w:lineRule="auto"/>
      </w:pPr>
      <w:bookmarkStart w:id="13" w:name="_Toc461617815"/>
      <w:r>
        <w:t>Safety objectives</w:t>
      </w:r>
      <w:bookmarkEnd w:id="13"/>
    </w:p>
    <w:p w:rsidR="00AA3A87" w:rsidRPr="00E4662C" w:rsidRDefault="00AA3A87" w:rsidP="00AA3A87">
      <w:pPr>
        <w:spacing w:line="360" w:lineRule="auto"/>
        <w:rPr>
          <w:sz w:val="24"/>
        </w:rPr>
      </w:pPr>
      <w:r w:rsidRPr="00E4662C">
        <w:rPr>
          <w:sz w:val="24"/>
        </w:rPr>
        <w:t xml:space="preserve">The safety objective is to compare the safety and tolerability of Vx-001 treated </w:t>
      </w:r>
      <w:r w:rsidRPr="00E4662C">
        <w:rPr>
          <w:i/>
          <w:sz w:val="24"/>
        </w:rPr>
        <w:t>vs</w:t>
      </w:r>
      <w:r w:rsidRPr="00E4662C">
        <w:rPr>
          <w:sz w:val="24"/>
        </w:rPr>
        <w:t xml:space="preserve"> placebo treated patients.</w:t>
      </w:r>
    </w:p>
    <w:p w:rsidR="00AA3A87" w:rsidRPr="00E4662C" w:rsidRDefault="00AA3A87" w:rsidP="00AA3A87">
      <w:pPr>
        <w:spacing w:line="360" w:lineRule="auto"/>
        <w:rPr>
          <w:sz w:val="24"/>
        </w:rPr>
      </w:pPr>
      <w:r w:rsidRPr="00E4662C">
        <w:rPr>
          <w:sz w:val="24"/>
        </w:rPr>
        <w:t xml:space="preserve">The following parameters of safety and tolerability </w:t>
      </w:r>
      <w:r w:rsidR="00FF5A4E">
        <w:rPr>
          <w:sz w:val="24"/>
        </w:rPr>
        <w:t>are</w:t>
      </w:r>
      <w:r w:rsidRPr="00E4662C">
        <w:rPr>
          <w:sz w:val="24"/>
        </w:rPr>
        <w:t xml:space="preserve"> assessed:</w:t>
      </w:r>
    </w:p>
    <w:p w:rsidR="00E63CA6" w:rsidRPr="00E4662C" w:rsidRDefault="00AA3A87" w:rsidP="001559A5">
      <w:pPr>
        <w:pStyle w:val="ac"/>
        <w:numPr>
          <w:ilvl w:val="0"/>
          <w:numId w:val="9"/>
        </w:numPr>
        <w:spacing w:line="360" w:lineRule="auto"/>
        <w:rPr>
          <w:bCs/>
          <w:iCs/>
          <w:sz w:val="24"/>
        </w:rPr>
      </w:pPr>
      <w:r w:rsidRPr="00E4662C">
        <w:rPr>
          <w:sz w:val="24"/>
        </w:rPr>
        <w:t xml:space="preserve">Physical examination and vital signs </w:t>
      </w:r>
    </w:p>
    <w:p w:rsidR="00AA3A87" w:rsidRPr="00E4662C" w:rsidRDefault="00AA3A87" w:rsidP="001559A5">
      <w:pPr>
        <w:pStyle w:val="ac"/>
        <w:numPr>
          <w:ilvl w:val="0"/>
          <w:numId w:val="9"/>
        </w:numPr>
        <w:spacing w:line="360" w:lineRule="auto"/>
        <w:rPr>
          <w:bCs/>
          <w:iCs/>
          <w:sz w:val="24"/>
        </w:rPr>
      </w:pPr>
      <w:r w:rsidRPr="00E4662C">
        <w:rPr>
          <w:sz w:val="24"/>
        </w:rPr>
        <w:lastRenderedPageBreak/>
        <w:t>Electrocardiogram</w:t>
      </w:r>
    </w:p>
    <w:p w:rsidR="00AA3A87" w:rsidRPr="00E4662C" w:rsidRDefault="00AA3A87" w:rsidP="001559A5">
      <w:pPr>
        <w:pStyle w:val="ac"/>
        <w:numPr>
          <w:ilvl w:val="0"/>
          <w:numId w:val="9"/>
        </w:numPr>
        <w:spacing w:line="360" w:lineRule="auto"/>
        <w:rPr>
          <w:bCs/>
          <w:iCs/>
          <w:sz w:val="24"/>
        </w:rPr>
      </w:pPr>
      <w:r w:rsidRPr="00E4662C">
        <w:rPr>
          <w:sz w:val="24"/>
        </w:rPr>
        <w:t>Adverse event evaluation</w:t>
      </w:r>
    </w:p>
    <w:p w:rsidR="00AA3A87" w:rsidRPr="00E4662C" w:rsidRDefault="00AA3A87" w:rsidP="001559A5">
      <w:pPr>
        <w:pStyle w:val="ac"/>
        <w:numPr>
          <w:ilvl w:val="0"/>
          <w:numId w:val="9"/>
        </w:numPr>
        <w:spacing w:line="360" w:lineRule="auto"/>
        <w:rPr>
          <w:bCs/>
          <w:iCs/>
          <w:sz w:val="24"/>
        </w:rPr>
      </w:pPr>
      <w:r w:rsidRPr="00E4662C">
        <w:rPr>
          <w:sz w:val="24"/>
        </w:rPr>
        <w:t>ECOG performance status</w:t>
      </w:r>
      <w:r w:rsidR="00A460EE">
        <w:rPr>
          <w:sz w:val="24"/>
        </w:rPr>
        <w:t xml:space="preserve"> (see Appendix 5: </w:t>
      </w:r>
      <w:r w:rsidR="00FF5BA3">
        <w:rPr>
          <w:sz w:val="24"/>
        </w:rPr>
        <w:fldChar w:fldCharType="begin"/>
      </w:r>
      <w:r w:rsidR="00A460EE">
        <w:rPr>
          <w:sz w:val="24"/>
        </w:rPr>
        <w:instrText xml:space="preserve"> REF _Ref443402180 \r \h </w:instrText>
      </w:r>
      <w:r w:rsidR="00FF5BA3">
        <w:rPr>
          <w:sz w:val="24"/>
        </w:rPr>
      </w:r>
      <w:r w:rsidR="00FF5BA3">
        <w:rPr>
          <w:sz w:val="24"/>
        </w:rPr>
        <w:fldChar w:fldCharType="separate"/>
      </w:r>
      <w:r w:rsidR="007C78F1">
        <w:rPr>
          <w:sz w:val="24"/>
        </w:rPr>
        <w:t>10.5</w:t>
      </w:r>
      <w:r w:rsidR="00FF5BA3">
        <w:rPr>
          <w:sz w:val="24"/>
        </w:rPr>
        <w:fldChar w:fldCharType="end"/>
      </w:r>
      <w:r w:rsidR="00A460EE">
        <w:rPr>
          <w:sz w:val="24"/>
        </w:rPr>
        <w:t>)</w:t>
      </w:r>
    </w:p>
    <w:p w:rsidR="00AA3A87" w:rsidRPr="00E4662C" w:rsidRDefault="00AA3A87" w:rsidP="001559A5">
      <w:pPr>
        <w:pStyle w:val="ac"/>
        <w:numPr>
          <w:ilvl w:val="0"/>
          <w:numId w:val="9"/>
        </w:numPr>
        <w:spacing w:line="360" w:lineRule="auto"/>
        <w:rPr>
          <w:bCs/>
          <w:iCs/>
          <w:sz w:val="24"/>
        </w:rPr>
      </w:pPr>
      <w:r w:rsidRPr="00E4662C">
        <w:rPr>
          <w:sz w:val="24"/>
        </w:rPr>
        <w:t>Clinical laboratory evaluation: hematology and clinical chemistry</w:t>
      </w:r>
    </w:p>
    <w:p w:rsidR="00AF3917" w:rsidRPr="008D610C" w:rsidRDefault="00AF3917" w:rsidP="00596EEB">
      <w:pPr>
        <w:pStyle w:val="2"/>
      </w:pPr>
      <w:bookmarkStart w:id="14" w:name="_Toc461617816"/>
      <w:r w:rsidRPr="008D610C">
        <w:t>I</w:t>
      </w:r>
      <w:bookmarkEnd w:id="10"/>
      <w:r w:rsidRPr="008D610C">
        <w:t>nvestigational plan</w:t>
      </w:r>
      <w:bookmarkEnd w:id="14"/>
    </w:p>
    <w:p w:rsidR="00AF3917" w:rsidRPr="008D610C" w:rsidRDefault="008D610C" w:rsidP="00D04622">
      <w:pPr>
        <w:pStyle w:val="3"/>
        <w:spacing w:line="360" w:lineRule="auto"/>
      </w:pPr>
      <w:bookmarkStart w:id="15" w:name="_Toc461617817"/>
      <w:r w:rsidRPr="008D610C">
        <w:t>Study design and randomis</w:t>
      </w:r>
      <w:r w:rsidR="00AF3917" w:rsidRPr="008D610C">
        <w:t>ation</w:t>
      </w:r>
      <w:bookmarkEnd w:id="15"/>
    </w:p>
    <w:p w:rsidR="00182787" w:rsidRDefault="00E774DA" w:rsidP="00D04622">
      <w:pPr>
        <w:spacing w:line="360" w:lineRule="auto"/>
        <w:rPr>
          <w:rStyle w:val="Instruction"/>
          <w:b w:val="0"/>
          <w:bCs/>
          <w:i w:val="0"/>
          <w:iCs/>
          <w:color w:val="auto"/>
        </w:rPr>
      </w:pPr>
      <w:r w:rsidRPr="00E774DA">
        <w:rPr>
          <w:rStyle w:val="Instruction"/>
          <w:b w:val="0"/>
          <w:bCs/>
          <w:i w:val="0"/>
          <w:iCs/>
          <w:color w:val="auto"/>
        </w:rPr>
        <w:t xml:space="preserve">This international, </w:t>
      </w:r>
      <w:r w:rsidR="00182787">
        <w:rPr>
          <w:rStyle w:val="Instruction"/>
          <w:b w:val="0"/>
          <w:bCs/>
          <w:i w:val="0"/>
          <w:iCs/>
          <w:color w:val="auto"/>
        </w:rPr>
        <w:t>multicentre (approximately 76 sites in European Union countries)</w:t>
      </w:r>
      <w:r w:rsidRPr="00E774DA">
        <w:rPr>
          <w:rStyle w:val="Instruction"/>
          <w:b w:val="0"/>
          <w:bCs/>
          <w:i w:val="0"/>
          <w:iCs/>
          <w:color w:val="auto"/>
        </w:rPr>
        <w:t xml:space="preserve">, phase II study </w:t>
      </w:r>
      <w:r w:rsidR="00FF5A4E">
        <w:rPr>
          <w:rStyle w:val="Instruction"/>
          <w:b w:val="0"/>
          <w:bCs/>
          <w:i w:val="0"/>
          <w:iCs/>
          <w:color w:val="auto"/>
        </w:rPr>
        <w:t>is</w:t>
      </w:r>
      <w:r w:rsidRPr="00E774DA">
        <w:rPr>
          <w:rStyle w:val="Instruction"/>
          <w:b w:val="0"/>
          <w:bCs/>
          <w:i w:val="0"/>
          <w:iCs/>
          <w:color w:val="auto"/>
        </w:rPr>
        <w:t xml:space="preserve"> conducted according to a double-blind, placebo-controlled, randomized (1:1 ratio, i.e. 1 Vx-001 and adjuvant vs 1 placebo and adjuvant) design. </w:t>
      </w:r>
    </w:p>
    <w:p w:rsidR="00E774DA" w:rsidRDefault="00E774DA" w:rsidP="00E774DA">
      <w:pPr>
        <w:spacing w:line="360" w:lineRule="auto"/>
        <w:rPr>
          <w:rStyle w:val="Instruction"/>
          <w:b w:val="0"/>
          <w:bCs/>
          <w:i w:val="0"/>
          <w:iCs/>
          <w:color w:val="auto"/>
        </w:rPr>
      </w:pPr>
      <w:r w:rsidRPr="00E774DA">
        <w:rPr>
          <w:rStyle w:val="Instruction"/>
          <w:b w:val="0"/>
          <w:bCs/>
          <w:i w:val="0"/>
          <w:iCs/>
          <w:color w:val="auto"/>
        </w:rPr>
        <w:t>The aim of the study is to assess the efficacy of Vx-001 vaccination as maintenance treatment in patients after 4 cycles of first-line chemotherapy treatment. Patients should have documented stage IV NSCLC as defined by IASLC Lung Cancer Staging Project (7th edition) or recurrent stage I-III disease at least 6 months after initial treatment, or after the end of adjuvant chemotherapy or after standard locoregional treatment as defined by the American College of Chest Physicians. To be eligible, patients entering the study should have documented either stable disease or objective response (PR or CR) after first line chemotherapy, will have to be HLA-A*0201 positive and their tumor will have to be TERT-positive.</w:t>
      </w:r>
    </w:p>
    <w:p w:rsidR="00BB157D" w:rsidRDefault="00BB157D" w:rsidP="00E774DA">
      <w:pPr>
        <w:spacing w:line="360" w:lineRule="auto"/>
        <w:rPr>
          <w:rStyle w:val="Instruction"/>
          <w:b w:val="0"/>
          <w:bCs/>
          <w:i w:val="0"/>
          <w:iCs/>
          <w:color w:val="auto"/>
        </w:rPr>
      </w:pPr>
    </w:p>
    <w:p w:rsidR="00797146" w:rsidRPr="00797146" w:rsidRDefault="00797146" w:rsidP="00797146">
      <w:pPr>
        <w:spacing w:line="360" w:lineRule="auto"/>
        <w:rPr>
          <w:rStyle w:val="Instruction"/>
          <w:b w:val="0"/>
          <w:bCs/>
          <w:i w:val="0"/>
          <w:iCs/>
          <w:color w:val="auto"/>
        </w:rPr>
      </w:pPr>
      <w:r w:rsidRPr="00797146">
        <w:rPr>
          <w:rStyle w:val="Instruction"/>
          <w:b w:val="0"/>
          <w:bCs/>
          <w:i w:val="0"/>
          <w:iCs/>
          <w:color w:val="auto"/>
        </w:rPr>
        <w:t xml:space="preserve">Patients </w:t>
      </w:r>
      <w:r w:rsidR="00FF5A4E">
        <w:rPr>
          <w:rStyle w:val="Instruction"/>
          <w:b w:val="0"/>
          <w:bCs/>
          <w:i w:val="0"/>
          <w:iCs/>
          <w:color w:val="auto"/>
        </w:rPr>
        <w:t>are</w:t>
      </w:r>
      <w:r w:rsidRPr="00797146">
        <w:rPr>
          <w:rStyle w:val="Instruction"/>
          <w:b w:val="0"/>
          <w:bCs/>
          <w:i w:val="0"/>
          <w:iCs/>
          <w:color w:val="auto"/>
        </w:rPr>
        <w:t xml:space="preserve"> administered at predefined visits the Vx-001 + Montanide ISA51 adjuvant</w:t>
      </w:r>
      <w:r>
        <w:rPr>
          <w:rStyle w:val="Instruction"/>
          <w:b w:val="0"/>
          <w:bCs/>
          <w:i w:val="0"/>
          <w:iCs/>
          <w:color w:val="auto"/>
        </w:rPr>
        <w:t xml:space="preserve"> </w:t>
      </w:r>
      <w:r w:rsidRPr="00797146">
        <w:rPr>
          <w:rStyle w:val="Instruction"/>
          <w:b w:val="0"/>
          <w:bCs/>
          <w:i w:val="0"/>
          <w:iCs/>
          <w:color w:val="auto"/>
        </w:rPr>
        <w:t>subcutaneously, at a dose of 2mg, or placebo + Montanide ISA51 adjuvant subcutaneously. The</w:t>
      </w:r>
      <w:r>
        <w:rPr>
          <w:rStyle w:val="Instruction"/>
          <w:b w:val="0"/>
          <w:bCs/>
          <w:i w:val="0"/>
          <w:iCs/>
          <w:color w:val="auto"/>
        </w:rPr>
        <w:t xml:space="preserve"> </w:t>
      </w:r>
      <w:r w:rsidRPr="00797146">
        <w:rPr>
          <w:rStyle w:val="Instruction"/>
          <w:b w:val="0"/>
          <w:bCs/>
          <w:i w:val="0"/>
          <w:iCs/>
          <w:color w:val="auto"/>
        </w:rPr>
        <w:t>vaccination protocol comprises of two injections with the TYR-Vx001 or placebo, one at day 0 and</w:t>
      </w:r>
      <w:r>
        <w:rPr>
          <w:rStyle w:val="Instruction"/>
          <w:b w:val="0"/>
          <w:bCs/>
          <w:i w:val="0"/>
          <w:iCs/>
          <w:color w:val="auto"/>
        </w:rPr>
        <w:t xml:space="preserve"> </w:t>
      </w:r>
      <w:r w:rsidRPr="00797146">
        <w:rPr>
          <w:rStyle w:val="Instruction"/>
          <w:b w:val="0"/>
          <w:bCs/>
          <w:i w:val="0"/>
          <w:iCs/>
          <w:color w:val="auto"/>
        </w:rPr>
        <w:t>another at week 3, and four injections with the ARG-Vx001 or placebo, at weeks 6, 9, 12 and 15.</w:t>
      </w:r>
    </w:p>
    <w:p w:rsidR="00797146" w:rsidRPr="00797146" w:rsidRDefault="00797146" w:rsidP="00797146">
      <w:pPr>
        <w:spacing w:line="360" w:lineRule="auto"/>
        <w:rPr>
          <w:rStyle w:val="Instruction"/>
          <w:b w:val="0"/>
          <w:bCs/>
          <w:i w:val="0"/>
          <w:iCs/>
          <w:color w:val="auto"/>
        </w:rPr>
      </w:pPr>
      <w:r w:rsidRPr="00797146">
        <w:rPr>
          <w:rStyle w:val="Instruction"/>
          <w:b w:val="0"/>
          <w:bCs/>
          <w:i w:val="0"/>
          <w:iCs/>
          <w:color w:val="auto"/>
        </w:rPr>
        <w:t>Following the treatment assessment at week 18, patients receive the ARG-Vx001 or placebo,</w:t>
      </w:r>
      <w:r>
        <w:rPr>
          <w:rStyle w:val="Instruction"/>
          <w:b w:val="0"/>
          <w:bCs/>
          <w:i w:val="0"/>
          <w:iCs/>
          <w:color w:val="auto"/>
        </w:rPr>
        <w:t xml:space="preserve"> </w:t>
      </w:r>
      <w:r w:rsidRPr="00797146">
        <w:rPr>
          <w:rStyle w:val="Instruction"/>
          <w:b w:val="0"/>
          <w:bCs/>
          <w:i w:val="0"/>
          <w:iCs/>
          <w:color w:val="auto"/>
        </w:rPr>
        <w:t>every 12 weeks starting from week 27 until treatment discontinuation.</w:t>
      </w:r>
    </w:p>
    <w:p w:rsidR="00797146" w:rsidRPr="00797146" w:rsidRDefault="00797146" w:rsidP="00797146">
      <w:pPr>
        <w:spacing w:line="360" w:lineRule="auto"/>
        <w:rPr>
          <w:rStyle w:val="Instruction"/>
          <w:b w:val="0"/>
          <w:bCs/>
          <w:i w:val="0"/>
          <w:iCs/>
          <w:color w:val="auto"/>
        </w:rPr>
      </w:pPr>
      <w:r w:rsidRPr="00797146">
        <w:rPr>
          <w:rStyle w:val="Instruction"/>
          <w:b w:val="0"/>
          <w:bCs/>
          <w:i w:val="0"/>
          <w:iCs/>
          <w:color w:val="auto"/>
        </w:rPr>
        <w:t>The patient may discontinue treatment for one of the following reasons:</w:t>
      </w:r>
    </w:p>
    <w:p w:rsidR="00797146" w:rsidRDefault="00797146" w:rsidP="001559A5">
      <w:pPr>
        <w:pStyle w:val="ac"/>
        <w:numPr>
          <w:ilvl w:val="0"/>
          <w:numId w:val="13"/>
        </w:numPr>
        <w:spacing w:line="360" w:lineRule="auto"/>
        <w:rPr>
          <w:rStyle w:val="Instruction"/>
          <w:b w:val="0"/>
          <w:bCs/>
          <w:i w:val="0"/>
          <w:iCs/>
          <w:color w:val="auto"/>
        </w:rPr>
      </w:pPr>
      <w:r w:rsidRPr="00797146">
        <w:rPr>
          <w:rStyle w:val="Instruction"/>
          <w:b w:val="0"/>
          <w:bCs/>
          <w:i w:val="0"/>
          <w:iCs/>
          <w:color w:val="auto"/>
        </w:rPr>
        <w:t>Progression assessed by CT scan and according to RECIST criteria,</w:t>
      </w:r>
    </w:p>
    <w:p w:rsidR="00797146" w:rsidRDefault="00797146" w:rsidP="001559A5">
      <w:pPr>
        <w:pStyle w:val="ac"/>
        <w:numPr>
          <w:ilvl w:val="0"/>
          <w:numId w:val="13"/>
        </w:numPr>
        <w:spacing w:line="360" w:lineRule="auto"/>
        <w:rPr>
          <w:rStyle w:val="Instruction"/>
          <w:b w:val="0"/>
          <w:bCs/>
          <w:i w:val="0"/>
          <w:iCs/>
          <w:color w:val="auto"/>
        </w:rPr>
      </w:pPr>
      <w:r w:rsidRPr="00797146">
        <w:rPr>
          <w:rStyle w:val="Instruction"/>
          <w:b w:val="0"/>
          <w:bCs/>
          <w:i w:val="0"/>
          <w:iCs/>
          <w:color w:val="auto"/>
        </w:rPr>
        <w:t>Adverse event, including clinical adverse event, unexpected toxicity, clinically significant</w:t>
      </w:r>
      <w:r>
        <w:rPr>
          <w:rStyle w:val="Instruction"/>
          <w:b w:val="0"/>
          <w:bCs/>
          <w:i w:val="0"/>
          <w:iCs/>
          <w:color w:val="auto"/>
        </w:rPr>
        <w:t xml:space="preserve"> </w:t>
      </w:r>
      <w:r w:rsidRPr="00797146">
        <w:rPr>
          <w:rStyle w:val="Instruction"/>
          <w:b w:val="0"/>
          <w:bCs/>
          <w:i w:val="0"/>
          <w:iCs/>
          <w:color w:val="auto"/>
        </w:rPr>
        <w:t>biological or physical examination abnormality,</w:t>
      </w:r>
    </w:p>
    <w:p w:rsidR="00797146" w:rsidRDefault="00797146" w:rsidP="001559A5">
      <w:pPr>
        <w:pStyle w:val="ac"/>
        <w:numPr>
          <w:ilvl w:val="0"/>
          <w:numId w:val="13"/>
        </w:numPr>
        <w:spacing w:line="360" w:lineRule="auto"/>
        <w:rPr>
          <w:rStyle w:val="Instruction"/>
          <w:b w:val="0"/>
          <w:bCs/>
          <w:i w:val="0"/>
          <w:iCs/>
          <w:color w:val="auto"/>
        </w:rPr>
      </w:pPr>
      <w:r w:rsidRPr="00797146">
        <w:rPr>
          <w:rStyle w:val="Instruction"/>
          <w:b w:val="0"/>
          <w:bCs/>
          <w:i w:val="0"/>
          <w:iCs/>
          <w:color w:val="auto"/>
        </w:rPr>
        <w:lastRenderedPageBreak/>
        <w:t>Death, to be considered as an adverse event within 28 days following the vaccination,</w:t>
      </w:r>
    </w:p>
    <w:p w:rsidR="00797146" w:rsidRDefault="00797146" w:rsidP="001559A5">
      <w:pPr>
        <w:pStyle w:val="ac"/>
        <w:numPr>
          <w:ilvl w:val="0"/>
          <w:numId w:val="13"/>
        </w:numPr>
        <w:spacing w:line="360" w:lineRule="auto"/>
        <w:rPr>
          <w:rStyle w:val="Instruction"/>
          <w:b w:val="0"/>
          <w:bCs/>
          <w:i w:val="0"/>
          <w:iCs/>
          <w:color w:val="auto"/>
        </w:rPr>
      </w:pPr>
      <w:r w:rsidRPr="00797146">
        <w:rPr>
          <w:rStyle w:val="Instruction"/>
          <w:b w:val="0"/>
          <w:bCs/>
          <w:i w:val="0"/>
          <w:iCs/>
          <w:color w:val="auto"/>
        </w:rPr>
        <w:t>Major protocol violation,</w:t>
      </w:r>
    </w:p>
    <w:p w:rsidR="00797146" w:rsidRDefault="00797146" w:rsidP="001559A5">
      <w:pPr>
        <w:pStyle w:val="ac"/>
        <w:numPr>
          <w:ilvl w:val="0"/>
          <w:numId w:val="13"/>
        </w:numPr>
        <w:spacing w:line="360" w:lineRule="auto"/>
        <w:rPr>
          <w:rStyle w:val="Instruction"/>
          <w:b w:val="0"/>
          <w:bCs/>
          <w:i w:val="0"/>
          <w:iCs/>
          <w:color w:val="auto"/>
        </w:rPr>
      </w:pPr>
      <w:r w:rsidRPr="00797146">
        <w:rPr>
          <w:rStyle w:val="Instruction"/>
          <w:b w:val="0"/>
          <w:bCs/>
          <w:i w:val="0"/>
          <w:iCs/>
          <w:color w:val="auto"/>
        </w:rPr>
        <w:t>Withdrawal of consent,</w:t>
      </w:r>
    </w:p>
    <w:p w:rsidR="00797146" w:rsidRPr="00797146" w:rsidRDefault="00797146" w:rsidP="001559A5">
      <w:pPr>
        <w:pStyle w:val="ac"/>
        <w:numPr>
          <w:ilvl w:val="0"/>
          <w:numId w:val="13"/>
        </w:numPr>
        <w:spacing w:line="360" w:lineRule="auto"/>
        <w:rPr>
          <w:rStyle w:val="Instruction"/>
          <w:b w:val="0"/>
          <w:bCs/>
          <w:i w:val="0"/>
          <w:iCs/>
          <w:color w:val="auto"/>
        </w:rPr>
      </w:pPr>
      <w:r w:rsidRPr="00797146">
        <w:rPr>
          <w:rStyle w:val="Instruction"/>
          <w:b w:val="0"/>
          <w:bCs/>
          <w:i w:val="0"/>
          <w:iCs/>
          <w:color w:val="auto"/>
        </w:rPr>
        <w:t>Other reason.</w:t>
      </w:r>
    </w:p>
    <w:p w:rsidR="00797146" w:rsidRDefault="00797146" w:rsidP="00797146">
      <w:pPr>
        <w:spacing w:line="360" w:lineRule="auto"/>
        <w:rPr>
          <w:rStyle w:val="Instruction"/>
          <w:b w:val="0"/>
          <w:bCs/>
          <w:i w:val="0"/>
          <w:iCs/>
          <w:color w:val="auto"/>
        </w:rPr>
      </w:pPr>
      <w:r w:rsidRPr="00797146">
        <w:rPr>
          <w:rStyle w:val="Instruction"/>
          <w:b w:val="0"/>
          <w:bCs/>
          <w:i w:val="0"/>
          <w:iCs/>
          <w:color w:val="auto"/>
        </w:rPr>
        <w:t>All patients withdrawn from the study for any reason must undergo a complete final study</w:t>
      </w:r>
      <w:r>
        <w:rPr>
          <w:rStyle w:val="Instruction"/>
          <w:b w:val="0"/>
          <w:bCs/>
          <w:i w:val="0"/>
          <w:iCs/>
          <w:color w:val="auto"/>
        </w:rPr>
        <w:t xml:space="preserve"> </w:t>
      </w:r>
      <w:r w:rsidRPr="00797146">
        <w:rPr>
          <w:rStyle w:val="Instruction"/>
          <w:b w:val="0"/>
          <w:bCs/>
          <w:i w:val="0"/>
          <w:iCs/>
          <w:color w:val="auto"/>
        </w:rPr>
        <w:t>termination visit and enter in the follow-up period.</w:t>
      </w:r>
      <w:r>
        <w:rPr>
          <w:rStyle w:val="Instruction"/>
          <w:b w:val="0"/>
          <w:bCs/>
          <w:i w:val="0"/>
          <w:iCs/>
          <w:color w:val="auto"/>
        </w:rPr>
        <w:t xml:space="preserve"> </w:t>
      </w:r>
      <w:r w:rsidRPr="00797146">
        <w:rPr>
          <w:rStyle w:val="Instruction"/>
          <w:b w:val="0"/>
          <w:bCs/>
          <w:i w:val="0"/>
          <w:iCs/>
          <w:color w:val="auto"/>
        </w:rPr>
        <w:t>If the patient discontinues the study due to a study drug-related adverse event, s/he must be followed</w:t>
      </w:r>
    </w:p>
    <w:p w:rsidR="00182787" w:rsidRDefault="00182787" w:rsidP="00797146">
      <w:pPr>
        <w:spacing w:line="360" w:lineRule="auto"/>
        <w:rPr>
          <w:rStyle w:val="Instruction"/>
          <w:b w:val="0"/>
          <w:bCs/>
          <w:i w:val="0"/>
          <w:iCs/>
          <w:color w:val="auto"/>
        </w:rPr>
      </w:pPr>
    </w:p>
    <w:p w:rsidR="00182787" w:rsidRPr="00077985" w:rsidRDefault="00182787" w:rsidP="00182787">
      <w:pPr>
        <w:spacing w:line="360" w:lineRule="auto"/>
        <w:rPr>
          <w:rStyle w:val="Instruction"/>
          <w:b w:val="0"/>
          <w:bCs/>
          <w:i w:val="0"/>
          <w:iCs/>
          <w:color w:val="auto"/>
        </w:rPr>
      </w:pPr>
      <w:r w:rsidRPr="00077985">
        <w:rPr>
          <w:rStyle w:val="Instruction"/>
          <w:b w:val="0"/>
          <w:bCs/>
          <w:i w:val="0"/>
          <w:iCs/>
          <w:color w:val="auto"/>
        </w:rPr>
        <w:t>The maximum duration of the treatment period for any patient for this study (comprising of the</w:t>
      </w:r>
      <w:r>
        <w:rPr>
          <w:rStyle w:val="Instruction"/>
          <w:b w:val="0"/>
          <w:bCs/>
          <w:i w:val="0"/>
          <w:iCs/>
          <w:color w:val="auto"/>
        </w:rPr>
        <w:t xml:space="preserve"> </w:t>
      </w:r>
      <w:r w:rsidRPr="00077985">
        <w:rPr>
          <w:rStyle w:val="Instruction"/>
          <w:b w:val="0"/>
          <w:bCs/>
          <w:i w:val="0"/>
          <w:iCs/>
          <w:color w:val="auto"/>
        </w:rPr>
        <w:t>entire period of vaccinations until progression or withdrawal for any other reason) will be no more</w:t>
      </w:r>
      <w:r>
        <w:rPr>
          <w:rStyle w:val="Instruction"/>
          <w:b w:val="0"/>
          <w:bCs/>
          <w:i w:val="0"/>
          <w:iCs/>
          <w:color w:val="auto"/>
        </w:rPr>
        <w:t xml:space="preserve"> </w:t>
      </w:r>
      <w:r w:rsidRPr="00077985">
        <w:rPr>
          <w:rStyle w:val="Instruction"/>
          <w:b w:val="0"/>
          <w:bCs/>
          <w:i w:val="0"/>
          <w:iCs/>
          <w:color w:val="auto"/>
        </w:rPr>
        <w:t>than the duration of the study. The duration of active follow up for survival and disease recurrence</w:t>
      </w:r>
      <w:r>
        <w:rPr>
          <w:rStyle w:val="Instruction"/>
          <w:b w:val="0"/>
          <w:bCs/>
          <w:i w:val="0"/>
          <w:iCs/>
          <w:color w:val="auto"/>
        </w:rPr>
        <w:t xml:space="preserve"> </w:t>
      </w:r>
      <w:r w:rsidRPr="00077985">
        <w:rPr>
          <w:rStyle w:val="Instruction"/>
          <w:b w:val="0"/>
          <w:bCs/>
          <w:i w:val="0"/>
          <w:iCs/>
          <w:color w:val="auto"/>
        </w:rPr>
        <w:t>related to study participation will be dictated by the completion of the final analysis. Upon</w:t>
      </w:r>
      <w:r>
        <w:rPr>
          <w:rStyle w:val="Instruction"/>
          <w:b w:val="0"/>
          <w:bCs/>
          <w:i w:val="0"/>
          <w:iCs/>
          <w:color w:val="auto"/>
        </w:rPr>
        <w:t xml:space="preserve"> </w:t>
      </w:r>
      <w:r w:rsidRPr="00077985">
        <w:rPr>
          <w:rStyle w:val="Instruction"/>
          <w:b w:val="0"/>
          <w:bCs/>
          <w:i w:val="0"/>
          <w:iCs/>
          <w:color w:val="auto"/>
        </w:rPr>
        <w:t>completion of the final analysis and if appropriate, patients under active treatment will continue to</w:t>
      </w:r>
      <w:r>
        <w:rPr>
          <w:rStyle w:val="Instruction"/>
          <w:b w:val="0"/>
          <w:bCs/>
          <w:i w:val="0"/>
          <w:iCs/>
          <w:color w:val="auto"/>
        </w:rPr>
        <w:t xml:space="preserve"> </w:t>
      </w:r>
      <w:r w:rsidRPr="00077985">
        <w:rPr>
          <w:rStyle w:val="Instruction"/>
          <w:b w:val="0"/>
          <w:bCs/>
          <w:i w:val="0"/>
          <w:iCs/>
          <w:color w:val="auto"/>
        </w:rPr>
        <w:t>receive Vx-001 (the ARG-Vx001 peptide) within the remit of the s</w:t>
      </w:r>
      <w:r>
        <w:rPr>
          <w:rStyle w:val="Instruction"/>
          <w:b w:val="0"/>
          <w:bCs/>
          <w:i w:val="0"/>
          <w:iCs/>
          <w:color w:val="auto"/>
        </w:rPr>
        <w:t xml:space="preserve">tudy, until disease progression </w:t>
      </w:r>
      <w:r w:rsidRPr="00077985">
        <w:rPr>
          <w:rStyle w:val="Instruction"/>
          <w:b w:val="0"/>
          <w:bCs/>
          <w:i w:val="0"/>
          <w:iCs/>
          <w:color w:val="auto"/>
        </w:rPr>
        <w:t>or</w:t>
      </w:r>
      <w:r>
        <w:rPr>
          <w:rStyle w:val="Instruction"/>
          <w:b w:val="0"/>
          <w:bCs/>
          <w:i w:val="0"/>
          <w:iCs/>
          <w:color w:val="auto"/>
        </w:rPr>
        <w:t xml:space="preserve"> </w:t>
      </w:r>
      <w:r w:rsidRPr="00077985">
        <w:rPr>
          <w:rStyle w:val="Instruction"/>
          <w:b w:val="0"/>
          <w:bCs/>
          <w:i w:val="0"/>
          <w:iCs/>
          <w:color w:val="auto"/>
        </w:rPr>
        <w:t>marketing authorization of the vaccine and at the latest until the end of 2018. During this period</w:t>
      </w:r>
      <w:r>
        <w:rPr>
          <w:rStyle w:val="Instruction"/>
          <w:b w:val="0"/>
          <w:bCs/>
          <w:i w:val="0"/>
          <w:iCs/>
          <w:color w:val="auto"/>
        </w:rPr>
        <w:t xml:space="preserve"> </w:t>
      </w:r>
      <w:r w:rsidRPr="00077985">
        <w:rPr>
          <w:rStyle w:val="Instruction"/>
          <w:b w:val="0"/>
          <w:bCs/>
          <w:i w:val="0"/>
          <w:iCs/>
          <w:color w:val="auto"/>
        </w:rPr>
        <w:t>patients will be followed-up every 12 weeks as described in the protocol. Patients under placebo</w:t>
      </w:r>
      <w:r>
        <w:rPr>
          <w:rStyle w:val="Instruction"/>
          <w:b w:val="0"/>
          <w:bCs/>
          <w:i w:val="0"/>
          <w:iCs/>
          <w:color w:val="auto"/>
        </w:rPr>
        <w:t xml:space="preserve"> </w:t>
      </w:r>
      <w:r w:rsidRPr="00077985">
        <w:rPr>
          <w:rStyle w:val="Instruction"/>
          <w:b w:val="0"/>
          <w:bCs/>
          <w:i w:val="0"/>
          <w:iCs/>
          <w:color w:val="auto"/>
        </w:rPr>
        <w:t>treatment will stop to receive placebo and must undergo a complet</w:t>
      </w:r>
      <w:r>
        <w:rPr>
          <w:rStyle w:val="Instruction"/>
          <w:b w:val="0"/>
          <w:bCs/>
          <w:i w:val="0"/>
          <w:iCs/>
          <w:color w:val="auto"/>
        </w:rPr>
        <w:t xml:space="preserve">e final study termination visit </w:t>
      </w:r>
      <w:r w:rsidRPr="00077985">
        <w:rPr>
          <w:rStyle w:val="Instruction"/>
          <w:b w:val="0"/>
          <w:bCs/>
          <w:i w:val="0"/>
          <w:iCs/>
          <w:color w:val="auto"/>
        </w:rPr>
        <w:t>and</w:t>
      </w:r>
      <w:r>
        <w:rPr>
          <w:rStyle w:val="Instruction"/>
          <w:b w:val="0"/>
          <w:bCs/>
          <w:i w:val="0"/>
          <w:iCs/>
          <w:color w:val="auto"/>
        </w:rPr>
        <w:t xml:space="preserve"> </w:t>
      </w:r>
      <w:r w:rsidRPr="00077985">
        <w:rPr>
          <w:rStyle w:val="Instruction"/>
          <w:b w:val="0"/>
          <w:bCs/>
          <w:i w:val="0"/>
          <w:iCs/>
          <w:color w:val="auto"/>
        </w:rPr>
        <w:t>enter in the follow-up period for collection of survival data.</w:t>
      </w:r>
    </w:p>
    <w:p w:rsidR="00BB157D" w:rsidRPr="00077985" w:rsidRDefault="00BB157D" w:rsidP="00BB157D">
      <w:pPr>
        <w:spacing w:line="360" w:lineRule="auto"/>
        <w:rPr>
          <w:rStyle w:val="Instruction"/>
          <w:b w:val="0"/>
          <w:bCs/>
          <w:i w:val="0"/>
          <w:iCs/>
          <w:color w:val="auto"/>
        </w:rPr>
      </w:pPr>
    </w:p>
    <w:p w:rsidR="00BB157D" w:rsidRDefault="00BB157D" w:rsidP="00E774DA">
      <w:pPr>
        <w:spacing w:line="360" w:lineRule="auto"/>
        <w:rPr>
          <w:rStyle w:val="Instruction"/>
          <w:bCs/>
          <w:i w:val="0"/>
          <w:iCs/>
          <w:color w:val="auto"/>
          <w:u w:val="single"/>
        </w:rPr>
      </w:pPr>
      <w:r w:rsidRPr="00BB157D">
        <w:rPr>
          <w:rStyle w:val="Instruction"/>
          <w:bCs/>
          <w:i w:val="0"/>
          <w:iCs/>
          <w:color w:val="auto"/>
          <w:u w:val="single"/>
        </w:rPr>
        <w:t>Treatment</w:t>
      </w:r>
      <w:r w:rsidR="00A72E72">
        <w:rPr>
          <w:rStyle w:val="Instruction"/>
          <w:bCs/>
          <w:i w:val="0"/>
          <w:iCs/>
          <w:color w:val="auto"/>
          <w:u w:val="single"/>
        </w:rPr>
        <w:t xml:space="preserve"> administration and duration</w:t>
      </w:r>
      <w:r w:rsidRPr="00BB157D">
        <w:rPr>
          <w:rStyle w:val="Instruction"/>
          <w:bCs/>
          <w:i w:val="0"/>
          <w:iCs/>
          <w:color w:val="auto"/>
          <w:u w:val="single"/>
        </w:rPr>
        <w:t>:</w:t>
      </w:r>
    </w:p>
    <w:p w:rsidR="00A72E72" w:rsidRDefault="007209D1" w:rsidP="001559A5">
      <w:pPr>
        <w:pStyle w:val="ac"/>
        <w:numPr>
          <w:ilvl w:val="0"/>
          <w:numId w:val="12"/>
        </w:numPr>
        <w:spacing w:line="360" w:lineRule="auto"/>
        <w:rPr>
          <w:rStyle w:val="Instruction"/>
          <w:b w:val="0"/>
          <w:bCs/>
          <w:i w:val="0"/>
          <w:iCs/>
          <w:color w:val="auto"/>
        </w:rPr>
      </w:pPr>
      <w:r w:rsidRPr="00A72E72">
        <w:rPr>
          <w:rStyle w:val="Instruction"/>
          <w:b w:val="0"/>
          <w:bCs/>
          <w:i w:val="0"/>
          <w:iCs/>
          <w:color w:val="auto"/>
        </w:rPr>
        <w:t>Investigational product:</w:t>
      </w:r>
    </w:p>
    <w:p w:rsidR="00A72E72" w:rsidRDefault="00A72E72" w:rsidP="00A72E72">
      <w:pPr>
        <w:pStyle w:val="ac"/>
        <w:spacing w:line="360" w:lineRule="auto"/>
        <w:rPr>
          <w:rStyle w:val="Instruction"/>
          <w:b w:val="0"/>
          <w:bCs/>
          <w:i w:val="0"/>
          <w:iCs/>
          <w:color w:val="auto"/>
        </w:rPr>
      </w:pPr>
      <w:r w:rsidRPr="00A72E72">
        <w:rPr>
          <w:rStyle w:val="Instruction"/>
          <w:b w:val="0"/>
          <w:bCs/>
          <w:i w:val="0"/>
          <w:iCs/>
          <w:color w:val="auto"/>
        </w:rPr>
        <w:t>Patients receive two vaccinations with 2mg TYR-Vx001 (weeks 0, 3), four vaccinations with 2mg ARG-Vx001 (weeks 6, 9, 12, 15) followed by vaccinations with 2mg ARG-Vx001 every 12 weeks commencing at week 27 until disease progression. If appropriate, patients, that have not progressed, will continue to receive Vx-001, until</w:t>
      </w:r>
      <w:r>
        <w:rPr>
          <w:rStyle w:val="Instruction"/>
          <w:b w:val="0"/>
          <w:bCs/>
          <w:i w:val="0"/>
          <w:iCs/>
          <w:color w:val="auto"/>
        </w:rPr>
        <w:t xml:space="preserve"> </w:t>
      </w:r>
      <w:r w:rsidRPr="00A72E72">
        <w:rPr>
          <w:rStyle w:val="Instruction"/>
          <w:b w:val="0"/>
          <w:bCs/>
          <w:i w:val="0"/>
          <w:iCs/>
          <w:color w:val="auto"/>
        </w:rPr>
        <w:t>disease progression, unacceptable adverse events, death, major protocol violation, withdrawal of consent, or other reason as study closure.</w:t>
      </w:r>
    </w:p>
    <w:p w:rsidR="00A72E72" w:rsidRPr="00A72E72" w:rsidRDefault="00A72E72" w:rsidP="00A72E72">
      <w:pPr>
        <w:pStyle w:val="ac"/>
        <w:spacing w:line="360" w:lineRule="auto"/>
        <w:rPr>
          <w:rStyle w:val="Instruction"/>
          <w:b w:val="0"/>
          <w:bCs/>
          <w:i w:val="0"/>
          <w:iCs/>
          <w:color w:val="auto"/>
        </w:rPr>
      </w:pPr>
      <w:r w:rsidRPr="00A72E72">
        <w:rPr>
          <w:rStyle w:val="Instruction"/>
          <w:b w:val="0"/>
          <w:bCs/>
          <w:i w:val="0"/>
          <w:iCs/>
          <w:color w:val="auto"/>
        </w:rPr>
        <w:t>Solutions for injection of Vx-001 peptides will be emulsified with adjuvant Montanide ISA51™ just prior to injection and will be administered subcutaneously.</w:t>
      </w:r>
    </w:p>
    <w:p w:rsidR="00A72E72" w:rsidRPr="00A72E72" w:rsidRDefault="00A72E72" w:rsidP="00A72E72">
      <w:pPr>
        <w:spacing w:line="360" w:lineRule="auto"/>
        <w:ind w:left="360"/>
        <w:rPr>
          <w:rStyle w:val="Instruction"/>
          <w:b w:val="0"/>
          <w:bCs/>
          <w:i w:val="0"/>
          <w:iCs/>
          <w:color w:val="auto"/>
        </w:rPr>
      </w:pPr>
    </w:p>
    <w:p w:rsidR="007209D1" w:rsidRDefault="00A72E72" w:rsidP="001559A5">
      <w:pPr>
        <w:pStyle w:val="ac"/>
        <w:numPr>
          <w:ilvl w:val="0"/>
          <w:numId w:val="11"/>
        </w:numPr>
        <w:spacing w:line="360" w:lineRule="auto"/>
        <w:rPr>
          <w:rStyle w:val="Instruction"/>
          <w:b w:val="0"/>
          <w:bCs/>
          <w:i w:val="0"/>
          <w:iCs/>
          <w:color w:val="auto"/>
        </w:rPr>
      </w:pPr>
      <w:r w:rsidRPr="00A72E72">
        <w:rPr>
          <w:rStyle w:val="Instruction"/>
          <w:b w:val="0"/>
          <w:bCs/>
          <w:i w:val="0"/>
          <w:iCs/>
          <w:color w:val="auto"/>
        </w:rPr>
        <w:lastRenderedPageBreak/>
        <w:t>Reference therapy: Placebo</w:t>
      </w:r>
      <w:r>
        <w:rPr>
          <w:rStyle w:val="Instruction"/>
          <w:b w:val="0"/>
          <w:bCs/>
          <w:i w:val="0"/>
          <w:iCs/>
          <w:color w:val="auto"/>
        </w:rPr>
        <w:t>:</w:t>
      </w:r>
    </w:p>
    <w:p w:rsidR="00A72E72" w:rsidRDefault="00A72E72" w:rsidP="00A72E72">
      <w:pPr>
        <w:pStyle w:val="ac"/>
        <w:spacing w:line="360" w:lineRule="auto"/>
        <w:rPr>
          <w:rStyle w:val="Instruction"/>
          <w:b w:val="0"/>
          <w:bCs/>
          <w:i w:val="0"/>
          <w:iCs/>
          <w:color w:val="auto"/>
        </w:rPr>
      </w:pPr>
      <w:r w:rsidRPr="00A72E72">
        <w:rPr>
          <w:rStyle w:val="Instruction"/>
          <w:b w:val="0"/>
          <w:bCs/>
          <w:i w:val="0"/>
          <w:iCs/>
          <w:color w:val="auto"/>
        </w:rPr>
        <w:t>Patients receive two subcutaneous injections with TYR-Vx001 Placebo at weeks 0, 3,</w:t>
      </w:r>
      <w:r>
        <w:rPr>
          <w:rStyle w:val="Instruction"/>
          <w:b w:val="0"/>
          <w:bCs/>
          <w:i w:val="0"/>
          <w:iCs/>
          <w:color w:val="auto"/>
        </w:rPr>
        <w:t xml:space="preserve"> </w:t>
      </w:r>
      <w:r w:rsidRPr="00A72E72">
        <w:rPr>
          <w:rStyle w:val="Instruction"/>
          <w:b w:val="0"/>
          <w:bCs/>
          <w:i w:val="0"/>
          <w:iCs/>
          <w:color w:val="auto"/>
        </w:rPr>
        <w:t>followed by four vaccinations with ARG-Vx001 Placebo (weeks 6, 9, 12, 15) followed by</w:t>
      </w:r>
      <w:r>
        <w:rPr>
          <w:rStyle w:val="Instruction"/>
          <w:b w:val="0"/>
          <w:bCs/>
          <w:i w:val="0"/>
          <w:iCs/>
          <w:color w:val="auto"/>
        </w:rPr>
        <w:t xml:space="preserve"> </w:t>
      </w:r>
      <w:r w:rsidRPr="00A72E72">
        <w:rPr>
          <w:rStyle w:val="Instruction"/>
          <w:b w:val="0"/>
          <w:bCs/>
          <w:i w:val="0"/>
          <w:iCs/>
          <w:color w:val="auto"/>
        </w:rPr>
        <w:t>injections of ARG-Vx001 Placebo at 12-week intervals commencing at week 27 until</w:t>
      </w:r>
      <w:r>
        <w:rPr>
          <w:rStyle w:val="Instruction"/>
          <w:b w:val="0"/>
          <w:bCs/>
          <w:i w:val="0"/>
          <w:iCs/>
          <w:color w:val="auto"/>
        </w:rPr>
        <w:t xml:space="preserve"> </w:t>
      </w:r>
      <w:r w:rsidRPr="00A72E72">
        <w:rPr>
          <w:rStyle w:val="Instruction"/>
          <w:b w:val="0"/>
          <w:bCs/>
          <w:i w:val="0"/>
          <w:iCs/>
          <w:color w:val="auto"/>
        </w:rPr>
        <w:t>disease progression, unacceptable adverse events, death, major protocol violation,</w:t>
      </w:r>
      <w:r>
        <w:rPr>
          <w:rStyle w:val="Instruction"/>
          <w:b w:val="0"/>
          <w:bCs/>
          <w:i w:val="0"/>
          <w:iCs/>
          <w:color w:val="auto"/>
        </w:rPr>
        <w:t xml:space="preserve"> </w:t>
      </w:r>
      <w:r w:rsidRPr="00A72E72">
        <w:rPr>
          <w:rStyle w:val="Instruction"/>
          <w:b w:val="0"/>
          <w:bCs/>
          <w:i w:val="0"/>
          <w:iCs/>
          <w:color w:val="auto"/>
        </w:rPr>
        <w:t>withdrawal of consent, or other reason as study closure, or study unblinding, if earlier.</w:t>
      </w:r>
    </w:p>
    <w:p w:rsidR="00BB157D" w:rsidRPr="00A72E72" w:rsidRDefault="00A72E72" w:rsidP="00A72E72">
      <w:pPr>
        <w:pStyle w:val="ac"/>
        <w:spacing w:line="360" w:lineRule="auto"/>
        <w:rPr>
          <w:rStyle w:val="Instruction"/>
          <w:b w:val="0"/>
          <w:bCs/>
          <w:i w:val="0"/>
          <w:iCs/>
          <w:color w:val="auto"/>
        </w:rPr>
      </w:pPr>
      <w:r w:rsidRPr="00A72E72">
        <w:rPr>
          <w:rStyle w:val="Instruction"/>
          <w:b w:val="0"/>
          <w:bCs/>
          <w:i w:val="0"/>
          <w:iCs/>
          <w:color w:val="auto"/>
        </w:rPr>
        <w:t>Placebo solutions for injection will be emulsified with Montanide ISA51™ and will be administered subcutaneously.</w:t>
      </w:r>
    </w:p>
    <w:p w:rsidR="00E774DA" w:rsidRPr="00E774DA" w:rsidRDefault="00E774DA" w:rsidP="00E774DA">
      <w:pPr>
        <w:spacing w:line="360" w:lineRule="auto"/>
        <w:rPr>
          <w:rStyle w:val="Instruction"/>
          <w:b w:val="0"/>
          <w:bCs/>
          <w:i w:val="0"/>
          <w:iCs/>
          <w:color w:val="auto"/>
        </w:rPr>
      </w:pPr>
    </w:p>
    <w:p w:rsidR="00E774DA" w:rsidRDefault="00E774DA" w:rsidP="00E774DA">
      <w:pPr>
        <w:spacing w:line="360" w:lineRule="auto"/>
        <w:rPr>
          <w:rStyle w:val="Instruction"/>
          <w:b w:val="0"/>
          <w:bCs/>
          <w:i w:val="0"/>
          <w:iCs/>
          <w:color w:val="auto"/>
        </w:rPr>
      </w:pPr>
      <w:r w:rsidRPr="00E774DA">
        <w:rPr>
          <w:rStyle w:val="Instruction"/>
          <w:b w:val="0"/>
          <w:bCs/>
          <w:i w:val="0"/>
          <w:iCs/>
          <w:color w:val="auto"/>
        </w:rPr>
        <w:t xml:space="preserve">The vaccination schedule is detailed in </w:t>
      </w:r>
      <w:fldSimple w:instr=" REF _Ref134865915 \h  \* MERGEFORMAT ">
        <w:r w:rsidR="007C78F1" w:rsidRPr="007C78F1">
          <w:rPr>
            <w:rStyle w:val="Instruction"/>
            <w:b w:val="0"/>
            <w:i w:val="0"/>
            <w:iCs/>
            <w:color w:val="auto"/>
          </w:rPr>
          <w:t>Figure 1</w:t>
        </w:r>
      </w:fldSimple>
      <w:r w:rsidRPr="00E774DA">
        <w:rPr>
          <w:rStyle w:val="Instruction"/>
          <w:b w:val="0"/>
          <w:bCs/>
          <w:i w:val="0"/>
          <w:iCs/>
          <w:color w:val="auto"/>
        </w:rPr>
        <w:t xml:space="preserve">. </w:t>
      </w:r>
    </w:p>
    <w:p w:rsidR="00E774DA" w:rsidRPr="00E774DA" w:rsidRDefault="00E774DA" w:rsidP="00E774DA">
      <w:pPr>
        <w:spacing w:line="360" w:lineRule="auto"/>
        <w:rPr>
          <w:rStyle w:val="Instruction"/>
          <w:b w:val="0"/>
          <w:bCs/>
          <w:i w:val="0"/>
          <w:iCs/>
          <w:color w:val="auto"/>
        </w:rPr>
      </w:pPr>
    </w:p>
    <w:p w:rsidR="00E774DA" w:rsidRPr="00884A58" w:rsidRDefault="00E774DA" w:rsidP="00E774DA">
      <w:pPr>
        <w:pStyle w:val="ae"/>
        <w:keepNext/>
        <w:widowControl w:val="0"/>
        <w:rPr>
          <w:b w:val="0"/>
          <w:bCs w:val="0"/>
          <w:lang w:val="en-US"/>
        </w:rPr>
      </w:pPr>
      <w:r w:rsidRPr="00884A58">
        <w:rPr>
          <w:b w:val="0"/>
          <w:noProof/>
          <w:lang w:val="en-US"/>
        </w:rPr>
        <w:drawing>
          <wp:inline distT="0" distB="0" distL="0" distR="0">
            <wp:extent cx="6305550"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05550" cy="1162050"/>
                    </a:xfrm>
                    <a:prstGeom prst="rect">
                      <a:avLst/>
                    </a:prstGeom>
                    <a:noFill/>
                    <a:ln>
                      <a:noFill/>
                    </a:ln>
                  </pic:spPr>
                </pic:pic>
              </a:graphicData>
            </a:graphic>
          </wp:inline>
        </w:drawing>
      </w:r>
    </w:p>
    <w:p w:rsidR="00E774DA" w:rsidRDefault="00E774DA" w:rsidP="00E774DA">
      <w:pPr>
        <w:spacing w:line="360" w:lineRule="auto"/>
        <w:rPr>
          <w:rStyle w:val="Instruction"/>
          <w:b w:val="0"/>
          <w:iCs/>
          <w:color w:val="auto"/>
        </w:rPr>
      </w:pPr>
      <w:bookmarkStart w:id="16" w:name="_Ref134865915"/>
      <w:r w:rsidRPr="00077985">
        <w:rPr>
          <w:rStyle w:val="Instruction"/>
          <w:b w:val="0"/>
          <w:iCs/>
          <w:color w:val="auto"/>
        </w:rPr>
        <w:t xml:space="preserve">Figure </w:t>
      </w:r>
      <w:r w:rsidR="00FF5BA3" w:rsidRPr="00077985">
        <w:rPr>
          <w:rStyle w:val="Instruction"/>
          <w:b w:val="0"/>
          <w:iCs/>
          <w:color w:val="auto"/>
        </w:rPr>
        <w:fldChar w:fldCharType="begin"/>
      </w:r>
      <w:r w:rsidRPr="00077985">
        <w:rPr>
          <w:rStyle w:val="Instruction"/>
          <w:b w:val="0"/>
          <w:iCs/>
          <w:color w:val="auto"/>
        </w:rPr>
        <w:instrText xml:space="preserve"> SEQ Figure \* ARABIC </w:instrText>
      </w:r>
      <w:r w:rsidR="00FF5BA3" w:rsidRPr="00077985">
        <w:rPr>
          <w:rStyle w:val="Instruction"/>
          <w:b w:val="0"/>
          <w:iCs/>
          <w:color w:val="auto"/>
        </w:rPr>
        <w:fldChar w:fldCharType="separate"/>
      </w:r>
      <w:r w:rsidR="007C78F1">
        <w:rPr>
          <w:rStyle w:val="Instruction"/>
          <w:b w:val="0"/>
          <w:iCs/>
          <w:noProof/>
          <w:color w:val="auto"/>
        </w:rPr>
        <w:t>1</w:t>
      </w:r>
      <w:r w:rsidR="00FF5BA3" w:rsidRPr="00077985">
        <w:rPr>
          <w:rStyle w:val="Instruction"/>
          <w:b w:val="0"/>
          <w:iCs/>
          <w:color w:val="auto"/>
        </w:rPr>
        <w:fldChar w:fldCharType="end"/>
      </w:r>
      <w:bookmarkEnd w:id="16"/>
      <w:r w:rsidRPr="00077985">
        <w:rPr>
          <w:rStyle w:val="Instruction"/>
          <w:b w:val="0"/>
          <w:iCs/>
          <w:color w:val="auto"/>
        </w:rPr>
        <w:t>: Detailed schedule of vaccinations</w:t>
      </w:r>
    </w:p>
    <w:p w:rsidR="00A72E72" w:rsidRPr="00077985" w:rsidRDefault="00A72E72" w:rsidP="00E774DA">
      <w:pPr>
        <w:spacing w:line="360" w:lineRule="auto"/>
        <w:rPr>
          <w:rStyle w:val="Instruction"/>
          <w:b w:val="0"/>
          <w:iCs/>
          <w:color w:val="auto"/>
        </w:rPr>
      </w:pPr>
    </w:p>
    <w:p w:rsidR="00BB157D" w:rsidRPr="00077985" w:rsidRDefault="00BB157D" w:rsidP="00BB157D">
      <w:pPr>
        <w:spacing w:line="360" w:lineRule="auto"/>
        <w:rPr>
          <w:rStyle w:val="Instruction"/>
          <w:bCs/>
          <w:i w:val="0"/>
          <w:iCs/>
          <w:color w:val="auto"/>
          <w:u w:val="single"/>
        </w:rPr>
      </w:pPr>
      <w:r>
        <w:rPr>
          <w:rStyle w:val="Instruction"/>
          <w:bCs/>
          <w:i w:val="0"/>
          <w:iCs/>
          <w:color w:val="auto"/>
          <w:u w:val="single"/>
        </w:rPr>
        <w:t>Randomi</w:t>
      </w:r>
      <w:r w:rsidR="002F0E19">
        <w:rPr>
          <w:rStyle w:val="Instruction"/>
          <w:bCs/>
          <w:i w:val="0"/>
          <w:iCs/>
          <w:color w:val="auto"/>
          <w:u w:val="single"/>
        </w:rPr>
        <w:t>z</w:t>
      </w:r>
      <w:r>
        <w:rPr>
          <w:rStyle w:val="Instruction"/>
          <w:bCs/>
          <w:i w:val="0"/>
          <w:iCs/>
          <w:color w:val="auto"/>
          <w:u w:val="single"/>
        </w:rPr>
        <w:t>ation</w:t>
      </w:r>
      <w:r w:rsidRPr="00077985">
        <w:rPr>
          <w:rStyle w:val="Instruction"/>
          <w:bCs/>
          <w:i w:val="0"/>
          <w:iCs/>
          <w:color w:val="auto"/>
          <w:u w:val="single"/>
        </w:rPr>
        <w:t>:</w:t>
      </w:r>
    </w:p>
    <w:p w:rsidR="00BB157D" w:rsidRPr="00DF4ADF" w:rsidRDefault="00BB157D" w:rsidP="00BB157D">
      <w:pPr>
        <w:spacing w:line="360" w:lineRule="auto"/>
        <w:rPr>
          <w:rStyle w:val="Instruction"/>
          <w:b w:val="0"/>
          <w:bCs/>
          <w:i w:val="0"/>
          <w:iCs/>
          <w:color w:val="auto"/>
        </w:rPr>
      </w:pPr>
      <w:r w:rsidRPr="00DF4ADF">
        <w:rPr>
          <w:rStyle w:val="Instruction"/>
          <w:b w:val="0"/>
          <w:bCs/>
          <w:i w:val="0"/>
          <w:iCs/>
          <w:color w:val="auto"/>
        </w:rPr>
        <w:t xml:space="preserve">Patients </w:t>
      </w:r>
      <w:r w:rsidR="00FF5A4E">
        <w:rPr>
          <w:rStyle w:val="Instruction"/>
          <w:b w:val="0"/>
          <w:bCs/>
          <w:i w:val="0"/>
          <w:iCs/>
          <w:color w:val="auto"/>
        </w:rPr>
        <w:t>are</w:t>
      </w:r>
      <w:r w:rsidRPr="00DF4ADF">
        <w:rPr>
          <w:rStyle w:val="Instruction"/>
          <w:b w:val="0"/>
          <w:bCs/>
          <w:i w:val="0"/>
          <w:iCs/>
          <w:color w:val="auto"/>
        </w:rPr>
        <w:t xml:space="preserve"> randomized (stratified block randomization) in the ratio 1:1 to either the</w:t>
      </w:r>
      <w:r>
        <w:rPr>
          <w:rStyle w:val="Instruction"/>
          <w:b w:val="0"/>
          <w:bCs/>
          <w:i w:val="0"/>
          <w:iCs/>
          <w:color w:val="auto"/>
        </w:rPr>
        <w:t xml:space="preserve"> </w:t>
      </w:r>
      <w:r w:rsidRPr="00DF4ADF">
        <w:rPr>
          <w:rStyle w:val="Instruction"/>
          <w:b w:val="0"/>
          <w:bCs/>
          <w:i w:val="0"/>
          <w:iCs/>
          <w:color w:val="auto"/>
        </w:rPr>
        <w:t>investigational arm (Vx-001) or the placebo arm, following the completion of all screening</w:t>
      </w:r>
      <w:r>
        <w:rPr>
          <w:rStyle w:val="Instruction"/>
          <w:b w:val="0"/>
          <w:bCs/>
          <w:i w:val="0"/>
          <w:iCs/>
          <w:color w:val="auto"/>
        </w:rPr>
        <w:t xml:space="preserve"> </w:t>
      </w:r>
      <w:r w:rsidRPr="00DF4ADF">
        <w:rPr>
          <w:rStyle w:val="Instruction"/>
          <w:b w:val="0"/>
          <w:bCs/>
          <w:i w:val="0"/>
          <w:iCs/>
          <w:color w:val="auto"/>
        </w:rPr>
        <w:t xml:space="preserve">assessments and after confirmation of their eligibility. </w:t>
      </w:r>
      <w:r w:rsidR="00FF5A4E">
        <w:rPr>
          <w:rStyle w:val="Instruction"/>
          <w:b w:val="0"/>
          <w:bCs/>
          <w:i w:val="0"/>
          <w:iCs/>
          <w:color w:val="auto"/>
        </w:rPr>
        <w:t>The r</w:t>
      </w:r>
      <w:r w:rsidRPr="00DF4ADF">
        <w:rPr>
          <w:rStyle w:val="Instruction"/>
          <w:b w:val="0"/>
          <w:bCs/>
          <w:i w:val="0"/>
          <w:iCs/>
          <w:color w:val="auto"/>
        </w:rPr>
        <w:t xml:space="preserve">andomization </w:t>
      </w:r>
      <w:r w:rsidR="00FF5A4E">
        <w:rPr>
          <w:rStyle w:val="Instruction"/>
          <w:b w:val="0"/>
          <w:bCs/>
          <w:i w:val="0"/>
          <w:iCs/>
          <w:color w:val="auto"/>
        </w:rPr>
        <w:t>is</w:t>
      </w:r>
      <w:r w:rsidRPr="00DF4ADF">
        <w:rPr>
          <w:rStyle w:val="Instruction"/>
          <w:b w:val="0"/>
          <w:bCs/>
          <w:i w:val="0"/>
          <w:iCs/>
          <w:color w:val="auto"/>
        </w:rPr>
        <w:t xml:space="preserve"> stratified </w:t>
      </w:r>
      <w:r w:rsidR="00FF5A4E">
        <w:rPr>
          <w:rStyle w:val="Instruction"/>
          <w:b w:val="0"/>
          <w:bCs/>
          <w:i w:val="0"/>
          <w:iCs/>
          <w:color w:val="auto"/>
        </w:rPr>
        <w:t>on</w:t>
      </w:r>
      <w:r w:rsidRPr="00DF4ADF">
        <w:rPr>
          <w:rStyle w:val="Instruction"/>
          <w:b w:val="0"/>
          <w:bCs/>
          <w:i w:val="0"/>
          <w:iCs/>
          <w:color w:val="auto"/>
        </w:rPr>
        <w:t>:</w:t>
      </w:r>
    </w:p>
    <w:p w:rsidR="00BB157D" w:rsidRDefault="00BB157D" w:rsidP="001559A5">
      <w:pPr>
        <w:pStyle w:val="ac"/>
        <w:numPr>
          <w:ilvl w:val="0"/>
          <w:numId w:val="10"/>
        </w:numPr>
        <w:spacing w:line="360" w:lineRule="auto"/>
        <w:rPr>
          <w:rStyle w:val="Instruction"/>
          <w:b w:val="0"/>
          <w:bCs/>
          <w:i w:val="0"/>
          <w:iCs/>
          <w:color w:val="auto"/>
        </w:rPr>
      </w:pPr>
      <w:r w:rsidRPr="00DF4ADF">
        <w:rPr>
          <w:rStyle w:val="Instruction"/>
          <w:b w:val="0"/>
          <w:bCs/>
          <w:i w:val="0"/>
          <w:iCs/>
          <w:color w:val="auto"/>
        </w:rPr>
        <w:t xml:space="preserve">Response to first line chemotherapy (stable disease </w:t>
      </w:r>
      <w:r w:rsidRPr="00DF4ADF">
        <w:rPr>
          <w:rStyle w:val="Instruction"/>
          <w:b w:val="0"/>
          <w:bCs/>
          <w:i w:val="0"/>
          <w:color w:val="auto"/>
        </w:rPr>
        <w:t xml:space="preserve">vs </w:t>
      </w:r>
      <w:r w:rsidRPr="00DF4ADF">
        <w:rPr>
          <w:rStyle w:val="Instruction"/>
          <w:b w:val="0"/>
          <w:bCs/>
          <w:i w:val="0"/>
          <w:iCs/>
          <w:color w:val="auto"/>
        </w:rPr>
        <w:t>objective response)</w:t>
      </w:r>
    </w:p>
    <w:p w:rsidR="00BB157D" w:rsidRDefault="00BB157D" w:rsidP="001559A5">
      <w:pPr>
        <w:pStyle w:val="ac"/>
        <w:numPr>
          <w:ilvl w:val="0"/>
          <w:numId w:val="10"/>
        </w:numPr>
        <w:spacing w:line="360" w:lineRule="auto"/>
        <w:rPr>
          <w:rStyle w:val="Instruction"/>
          <w:b w:val="0"/>
          <w:bCs/>
          <w:i w:val="0"/>
          <w:iCs/>
          <w:color w:val="auto"/>
        </w:rPr>
      </w:pPr>
      <w:r w:rsidRPr="00DF4ADF">
        <w:rPr>
          <w:rStyle w:val="Instruction"/>
          <w:b w:val="0"/>
          <w:bCs/>
          <w:i w:val="0"/>
          <w:iCs/>
          <w:color w:val="auto"/>
        </w:rPr>
        <w:t xml:space="preserve">Squamous </w:t>
      </w:r>
      <w:r w:rsidRPr="002159F3">
        <w:rPr>
          <w:rStyle w:val="Instruction"/>
          <w:b w:val="0"/>
          <w:bCs/>
          <w:color w:val="auto"/>
        </w:rPr>
        <w:t xml:space="preserve">vs </w:t>
      </w:r>
      <w:r w:rsidRPr="00DF4ADF">
        <w:rPr>
          <w:rStyle w:val="Instruction"/>
          <w:b w:val="0"/>
          <w:bCs/>
          <w:i w:val="0"/>
          <w:iCs/>
          <w:color w:val="auto"/>
        </w:rPr>
        <w:t>non squamous</w:t>
      </w:r>
    </w:p>
    <w:p w:rsidR="00BB157D" w:rsidRPr="00DF4ADF" w:rsidRDefault="00BB157D" w:rsidP="001559A5">
      <w:pPr>
        <w:pStyle w:val="ac"/>
        <w:numPr>
          <w:ilvl w:val="0"/>
          <w:numId w:val="10"/>
        </w:numPr>
        <w:spacing w:line="360" w:lineRule="auto"/>
        <w:rPr>
          <w:rStyle w:val="Instruction"/>
          <w:b w:val="0"/>
          <w:bCs/>
          <w:i w:val="0"/>
          <w:iCs/>
          <w:color w:val="auto"/>
        </w:rPr>
      </w:pPr>
      <w:r w:rsidRPr="00DF4ADF">
        <w:rPr>
          <w:rStyle w:val="Instruction"/>
          <w:b w:val="0"/>
          <w:bCs/>
          <w:i w:val="0"/>
          <w:iCs/>
          <w:color w:val="auto"/>
        </w:rPr>
        <w:t xml:space="preserve">Stage IV </w:t>
      </w:r>
      <w:r w:rsidRPr="002159F3">
        <w:rPr>
          <w:rStyle w:val="Instruction"/>
          <w:b w:val="0"/>
          <w:bCs/>
          <w:color w:val="auto"/>
        </w:rPr>
        <w:t>vs</w:t>
      </w:r>
      <w:r w:rsidRPr="00DF4ADF">
        <w:rPr>
          <w:rStyle w:val="Instruction"/>
          <w:b w:val="0"/>
          <w:bCs/>
          <w:i w:val="0"/>
          <w:color w:val="auto"/>
        </w:rPr>
        <w:t xml:space="preserve"> </w:t>
      </w:r>
      <w:r w:rsidRPr="00DF4ADF">
        <w:rPr>
          <w:rStyle w:val="Instruction"/>
          <w:b w:val="0"/>
          <w:bCs/>
          <w:i w:val="0"/>
          <w:iCs/>
          <w:color w:val="auto"/>
        </w:rPr>
        <w:t>recurrent stage I-III NSCLC</w:t>
      </w:r>
    </w:p>
    <w:p w:rsidR="00BB157D" w:rsidRPr="00DF4ADF" w:rsidRDefault="00BB157D" w:rsidP="00BB157D">
      <w:pPr>
        <w:spacing w:line="360" w:lineRule="auto"/>
        <w:rPr>
          <w:rStyle w:val="Instruction"/>
          <w:b w:val="0"/>
          <w:bCs/>
          <w:i w:val="0"/>
          <w:iCs/>
          <w:color w:val="auto"/>
        </w:rPr>
      </w:pPr>
      <w:r w:rsidRPr="00DF4ADF">
        <w:rPr>
          <w:rStyle w:val="Instruction"/>
          <w:b w:val="0"/>
          <w:bCs/>
          <w:i w:val="0"/>
          <w:iCs/>
          <w:color w:val="auto"/>
        </w:rPr>
        <w:t>The purpose of stratification is to ensure even distribution of patients between the two study arms,</w:t>
      </w:r>
      <w:r>
        <w:rPr>
          <w:rStyle w:val="Instruction"/>
          <w:b w:val="0"/>
          <w:bCs/>
          <w:i w:val="0"/>
          <w:iCs/>
          <w:color w:val="auto"/>
        </w:rPr>
        <w:t xml:space="preserve"> </w:t>
      </w:r>
      <w:r w:rsidRPr="00DF4ADF">
        <w:rPr>
          <w:rStyle w:val="Instruction"/>
          <w:b w:val="0"/>
          <w:bCs/>
          <w:i w:val="0"/>
          <w:iCs/>
          <w:color w:val="auto"/>
        </w:rPr>
        <w:t xml:space="preserve">with respect to the strata. Randomization </w:t>
      </w:r>
      <w:r w:rsidR="00FF5A4E">
        <w:rPr>
          <w:rStyle w:val="Instruction"/>
          <w:b w:val="0"/>
          <w:bCs/>
          <w:i w:val="0"/>
          <w:iCs/>
          <w:color w:val="auto"/>
        </w:rPr>
        <w:t>is</w:t>
      </w:r>
      <w:r w:rsidRPr="00DF4ADF">
        <w:rPr>
          <w:rStyle w:val="Instruction"/>
          <w:b w:val="0"/>
          <w:bCs/>
          <w:i w:val="0"/>
          <w:iCs/>
          <w:color w:val="auto"/>
        </w:rPr>
        <w:t xml:space="preserve"> performed via an interactive web response system</w:t>
      </w:r>
      <w:r w:rsidR="00FF5A4E">
        <w:rPr>
          <w:rStyle w:val="Instruction"/>
          <w:b w:val="0"/>
          <w:bCs/>
          <w:i w:val="0"/>
          <w:iCs/>
          <w:color w:val="auto"/>
        </w:rPr>
        <w:t xml:space="preserve"> </w:t>
      </w:r>
      <w:r w:rsidRPr="00DF4ADF">
        <w:rPr>
          <w:rStyle w:val="Instruction"/>
          <w:b w:val="0"/>
          <w:bCs/>
          <w:i w:val="0"/>
          <w:iCs/>
          <w:color w:val="auto"/>
        </w:rPr>
        <w:t>(IWRS).</w:t>
      </w:r>
    </w:p>
    <w:p w:rsidR="009E3FF2" w:rsidRPr="008D610C" w:rsidRDefault="009E3FF2" w:rsidP="00EC0CBA">
      <w:pPr>
        <w:pStyle w:val="3"/>
        <w:numPr>
          <w:ilvl w:val="2"/>
          <w:numId w:val="43"/>
        </w:numPr>
        <w:spacing w:line="360" w:lineRule="auto"/>
      </w:pPr>
      <w:bookmarkStart w:id="17" w:name="_Toc461617818"/>
      <w:r>
        <w:lastRenderedPageBreak/>
        <w:t>Blinding and breaking the study blind</w:t>
      </w:r>
      <w:bookmarkEnd w:id="17"/>
    </w:p>
    <w:p w:rsidR="009E3FF2" w:rsidRPr="009E3FF2" w:rsidRDefault="009E3FF2" w:rsidP="009E3FF2">
      <w:pPr>
        <w:spacing w:line="360" w:lineRule="auto"/>
        <w:rPr>
          <w:rStyle w:val="Instruction"/>
          <w:b w:val="0"/>
          <w:bCs/>
          <w:i w:val="0"/>
          <w:iCs/>
          <w:color w:val="auto"/>
        </w:rPr>
      </w:pPr>
      <w:r w:rsidRPr="009E3FF2">
        <w:rPr>
          <w:rStyle w:val="Instruction"/>
          <w:b w:val="0"/>
          <w:bCs/>
          <w:i w:val="0"/>
          <w:iCs/>
          <w:color w:val="auto"/>
        </w:rPr>
        <w:t xml:space="preserve">The study </w:t>
      </w:r>
      <w:r w:rsidR="00FF5A4E">
        <w:rPr>
          <w:rStyle w:val="Instruction"/>
          <w:b w:val="0"/>
          <w:bCs/>
          <w:i w:val="0"/>
          <w:iCs/>
          <w:color w:val="auto"/>
        </w:rPr>
        <w:t>is</w:t>
      </w:r>
      <w:r w:rsidRPr="009E3FF2">
        <w:rPr>
          <w:rStyle w:val="Instruction"/>
          <w:b w:val="0"/>
          <w:bCs/>
          <w:i w:val="0"/>
          <w:iCs/>
          <w:color w:val="auto"/>
        </w:rPr>
        <w:t xml:space="preserve"> double-blind </w:t>
      </w:r>
      <w:r w:rsidRPr="00DE5507">
        <w:rPr>
          <w:rStyle w:val="Instruction"/>
          <w:b w:val="0"/>
          <w:bCs/>
          <w:iCs/>
          <w:color w:val="auto"/>
        </w:rPr>
        <w:t>(i.e</w:t>
      </w:r>
      <w:r w:rsidRPr="009E3FF2">
        <w:rPr>
          <w:rStyle w:val="Instruction"/>
          <w:b w:val="0"/>
          <w:bCs/>
          <w:i w:val="0"/>
          <w:iCs/>
          <w:color w:val="auto"/>
        </w:rPr>
        <w:t xml:space="preserve">. both investigators and patients are blind with respect to the treatment used). In addition, the randomization code </w:t>
      </w:r>
      <w:r w:rsidR="00FF5A4E">
        <w:rPr>
          <w:rStyle w:val="Instruction"/>
          <w:b w:val="0"/>
          <w:bCs/>
          <w:i w:val="0"/>
          <w:iCs/>
          <w:color w:val="auto"/>
        </w:rPr>
        <w:t>is kept</w:t>
      </w:r>
      <w:r w:rsidRPr="009E3FF2">
        <w:rPr>
          <w:rStyle w:val="Instruction"/>
          <w:b w:val="0"/>
          <w:bCs/>
          <w:i w:val="0"/>
          <w:iCs/>
          <w:color w:val="auto"/>
        </w:rPr>
        <w:t xml:space="preserve"> blind to the Sponsor</w:t>
      </w:r>
      <w:r w:rsidR="00FF5A4E">
        <w:rPr>
          <w:rStyle w:val="Instruction"/>
          <w:b w:val="0"/>
          <w:bCs/>
          <w:i w:val="0"/>
          <w:iCs/>
          <w:color w:val="auto"/>
        </w:rPr>
        <w:t>,</w:t>
      </w:r>
      <w:r w:rsidRPr="009E3FF2">
        <w:rPr>
          <w:rStyle w:val="Instruction"/>
          <w:b w:val="0"/>
          <w:bCs/>
          <w:i w:val="0"/>
          <w:iCs/>
          <w:color w:val="auto"/>
        </w:rPr>
        <w:t xml:space="preserve"> the individuals monitoring the study</w:t>
      </w:r>
      <w:r w:rsidR="00FF5A4E">
        <w:rPr>
          <w:rStyle w:val="Instruction"/>
          <w:b w:val="0"/>
          <w:bCs/>
          <w:i w:val="0"/>
          <w:iCs/>
          <w:color w:val="auto"/>
        </w:rPr>
        <w:t xml:space="preserve"> and the data-management and biostatistics teams</w:t>
      </w:r>
      <w:r w:rsidRPr="009E3FF2">
        <w:rPr>
          <w:rStyle w:val="Instruction"/>
          <w:b w:val="0"/>
          <w:bCs/>
          <w:i w:val="0"/>
          <w:iCs/>
          <w:color w:val="auto"/>
        </w:rPr>
        <w:t>.</w:t>
      </w:r>
    </w:p>
    <w:p w:rsidR="009E3FF2" w:rsidRPr="009E3FF2" w:rsidRDefault="009E3FF2" w:rsidP="009E3FF2">
      <w:pPr>
        <w:spacing w:line="360" w:lineRule="auto"/>
        <w:rPr>
          <w:rStyle w:val="Instruction"/>
          <w:b w:val="0"/>
          <w:bCs/>
          <w:i w:val="0"/>
          <w:iCs/>
          <w:color w:val="auto"/>
        </w:rPr>
      </w:pPr>
      <w:r w:rsidRPr="009E3FF2">
        <w:rPr>
          <w:rStyle w:val="Instruction"/>
          <w:b w:val="0"/>
          <w:bCs/>
          <w:i w:val="0"/>
          <w:iCs/>
          <w:color w:val="auto"/>
        </w:rPr>
        <w:t xml:space="preserve">Emergency unblinding </w:t>
      </w:r>
      <w:r w:rsidR="00FF5A4E">
        <w:rPr>
          <w:rStyle w:val="Instruction"/>
          <w:b w:val="0"/>
          <w:bCs/>
          <w:i w:val="0"/>
          <w:iCs/>
          <w:color w:val="auto"/>
        </w:rPr>
        <w:t>should</w:t>
      </w:r>
      <w:r w:rsidR="00FF5A4E" w:rsidRPr="009E3FF2">
        <w:rPr>
          <w:rStyle w:val="Instruction"/>
          <w:b w:val="0"/>
          <w:bCs/>
          <w:i w:val="0"/>
          <w:iCs/>
          <w:color w:val="auto"/>
        </w:rPr>
        <w:t xml:space="preserve"> </w:t>
      </w:r>
      <w:r w:rsidRPr="009E3FF2">
        <w:rPr>
          <w:rStyle w:val="Instruction"/>
          <w:b w:val="0"/>
          <w:bCs/>
          <w:i w:val="0"/>
          <w:iCs/>
          <w:color w:val="auto"/>
        </w:rPr>
        <w:t>only occur in the case of medical events where the investigator or the</w:t>
      </w:r>
      <w:r>
        <w:rPr>
          <w:rStyle w:val="Instruction"/>
          <w:b w:val="0"/>
          <w:bCs/>
          <w:i w:val="0"/>
          <w:iCs/>
          <w:color w:val="auto"/>
        </w:rPr>
        <w:t xml:space="preserve"> </w:t>
      </w:r>
      <w:r w:rsidRPr="009E3FF2">
        <w:rPr>
          <w:rStyle w:val="Instruction"/>
          <w:b w:val="0"/>
          <w:bCs/>
          <w:i w:val="0"/>
          <w:iCs/>
          <w:color w:val="auto"/>
        </w:rPr>
        <w:t>physician in charge of the patient feels that the clinical management of the patient would be</w:t>
      </w:r>
      <w:r>
        <w:rPr>
          <w:rStyle w:val="Instruction"/>
          <w:b w:val="0"/>
          <w:bCs/>
          <w:i w:val="0"/>
          <w:iCs/>
          <w:color w:val="auto"/>
        </w:rPr>
        <w:t xml:space="preserve"> </w:t>
      </w:r>
      <w:r w:rsidRPr="009E3FF2">
        <w:rPr>
          <w:rStyle w:val="Instruction"/>
          <w:b w:val="0"/>
          <w:bCs/>
          <w:i w:val="0"/>
          <w:iCs/>
          <w:color w:val="auto"/>
        </w:rPr>
        <w:t>significantly compromised by not knowing the identity of the allocated study drug. The investigator</w:t>
      </w:r>
      <w:r>
        <w:rPr>
          <w:rStyle w:val="Instruction"/>
          <w:b w:val="0"/>
          <w:bCs/>
          <w:i w:val="0"/>
          <w:iCs/>
          <w:color w:val="auto"/>
        </w:rPr>
        <w:t xml:space="preserve"> </w:t>
      </w:r>
      <w:r w:rsidRPr="009E3FF2">
        <w:rPr>
          <w:rStyle w:val="Instruction"/>
          <w:b w:val="0"/>
          <w:bCs/>
          <w:i w:val="0"/>
          <w:iCs/>
          <w:color w:val="auto"/>
        </w:rPr>
        <w:t>or designee, should contact Vaxon Biotech’s Medical Monitor either directly or through the local</w:t>
      </w:r>
      <w:r>
        <w:rPr>
          <w:rStyle w:val="Instruction"/>
          <w:b w:val="0"/>
          <w:bCs/>
          <w:i w:val="0"/>
          <w:iCs/>
          <w:color w:val="auto"/>
        </w:rPr>
        <w:t xml:space="preserve"> </w:t>
      </w:r>
      <w:r w:rsidRPr="009E3FF2">
        <w:rPr>
          <w:rStyle w:val="Instruction"/>
          <w:b w:val="0"/>
          <w:bCs/>
          <w:i w:val="0"/>
          <w:iCs/>
          <w:color w:val="auto"/>
        </w:rPr>
        <w:t xml:space="preserve">safety contact to discuss the need for emergency unblinding. Once agreed, code-breaking </w:t>
      </w:r>
      <w:r w:rsidR="00FF5A4E">
        <w:rPr>
          <w:rStyle w:val="Instruction"/>
          <w:b w:val="0"/>
          <w:bCs/>
          <w:i w:val="0"/>
          <w:iCs/>
          <w:color w:val="auto"/>
        </w:rPr>
        <w:t>is to</w:t>
      </w:r>
      <w:r w:rsidR="00FF5A4E" w:rsidRPr="009E3FF2">
        <w:rPr>
          <w:rStyle w:val="Instruction"/>
          <w:b w:val="0"/>
          <w:bCs/>
          <w:i w:val="0"/>
          <w:iCs/>
          <w:color w:val="auto"/>
        </w:rPr>
        <w:t xml:space="preserve"> </w:t>
      </w:r>
      <w:r w:rsidRPr="009E3FF2">
        <w:rPr>
          <w:rStyle w:val="Instruction"/>
          <w:b w:val="0"/>
          <w:bCs/>
          <w:i w:val="0"/>
          <w:iCs/>
          <w:color w:val="auto"/>
        </w:rPr>
        <w:t>be</w:t>
      </w:r>
      <w:r>
        <w:rPr>
          <w:rStyle w:val="Instruction"/>
          <w:b w:val="0"/>
          <w:bCs/>
          <w:i w:val="0"/>
          <w:iCs/>
          <w:color w:val="auto"/>
        </w:rPr>
        <w:t xml:space="preserve"> </w:t>
      </w:r>
      <w:r w:rsidRPr="009E3FF2">
        <w:rPr>
          <w:rStyle w:val="Instruction"/>
          <w:b w:val="0"/>
          <w:bCs/>
          <w:i w:val="0"/>
          <w:iCs/>
          <w:color w:val="auto"/>
        </w:rPr>
        <w:t>carried out via the IWRS. The reasons for unblinding, date and time must be documented by the</w:t>
      </w:r>
      <w:r>
        <w:rPr>
          <w:rStyle w:val="Instruction"/>
          <w:b w:val="0"/>
          <w:bCs/>
          <w:i w:val="0"/>
          <w:iCs/>
          <w:color w:val="auto"/>
        </w:rPr>
        <w:t xml:space="preserve"> </w:t>
      </w:r>
      <w:r w:rsidRPr="009E3FF2">
        <w:rPr>
          <w:rStyle w:val="Instruction"/>
          <w:b w:val="0"/>
          <w:bCs/>
          <w:i w:val="0"/>
          <w:iCs/>
          <w:color w:val="auto"/>
        </w:rPr>
        <w:t>investigator. Notification of the Sponsor occur</w:t>
      </w:r>
      <w:r w:rsidR="00FF5A4E">
        <w:rPr>
          <w:rStyle w:val="Instruction"/>
          <w:b w:val="0"/>
          <w:bCs/>
          <w:i w:val="0"/>
          <w:iCs/>
          <w:color w:val="auto"/>
        </w:rPr>
        <w:t>s</w:t>
      </w:r>
      <w:r w:rsidRPr="009E3FF2">
        <w:rPr>
          <w:rStyle w:val="Instruction"/>
          <w:b w:val="0"/>
          <w:bCs/>
          <w:i w:val="0"/>
          <w:iCs/>
          <w:color w:val="auto"/>
        </w:rPr>
        <w:t xml:space="preserve"> automatically via the IWRS without giv</w:t>
      </w:r>
      <w:r w:rsidR="00FF5A4E">
        <w:rPr>
          <w:rStyle w:val="Instruction"/>
          <w:b w:val="0"/>
          <w:bCs/>
          <w:i w:val="0"/>
          <w:iCs/>
          <w:color w:val="auto"/>
        </w:rPr>
        <w:t>ing</w:t>
      </w:r>
      <w:r w:rsidRPr="009E3FF2">
        <w:rPr>
          <w:rStyle w:val="Instruction"/>
          <w:b w:val="0"/>
          <w:bCs/>
          <w:i w:val="0"/>
          <w:iCs/>
          <w:color w:val="auto"/>
        </w:rPr>
        <w:t xml:space="preserve"> the</w:t>
      </w:r>
      <w:r w:rsidR="003F502C">
        <w:rPr>
          <w:rStyle w:val="Instruction"/>
          <w:b w:val="0"/>
          <w:bCs/>
          <w:i w:val="0"/>
          <w:iCs/>
          <w:color w:val="auto"/>
        </w:rPr>
        <w:t xml:space="preserve"> </w:t>
      </w:r>
      <w:r w:rsidRPr="009E3FF2">
        <w:rPr>
          <w:rStyle w:val="Instruction"/>
          <w:b w:val="0"/>
          <w:bCs/>
          <w:i w:val="0"/>
          <w:iCs/>
          <w:color w:val="auto"/>
        </w:rPr>
        <w:t>result of the unbinding. The Pharmacovigilance Group of the Sponsor or its designee also have</w:t>
      </w:r>
      <w:r w:rsidR="003F502C">
        <w:rPr>
          <w:rStyle w:val="Instruction"/>
          <w:b w:val="0"/>
          <w:bCs/>
          <w:i w:val="0"/>
          <w:iCs/>
          <w:color w:val="auto"/>
        </w:rPr>
        <w:t xml:space="preserve"> </w:t>
      </w:r>
      <w:r w:rsidRPr="009E3FF2">
        <w:rPr>
          <w:rStyle w:val="Instruction"/>
          <w:b w:val="0"/>
          <w:bCs/>
          <w:i w:val="0"/>
          <w:iCs/>
          <w:color w:val="auto"/>
        </w:rPr>
        <w:t>procedures in place for emergency unblinding, if needed.</w:t>
      </w:r>
    </w:p>
    <w:p w:rsidR="00077985" w:rsidRDefault="009E3FF2" w:rsidP="009E3FF2">
      <w:pPr>
        <w:spacing w:line="360" w:lineRule="auto"/>
        <w:rPr>
          <w:rStyle w:val="Instruction"/>
          <w:b w:val="0"/>
          <w:bCs/>
          <w:i w:val="0"/>
          <w:iCs/>
          <w:color w:val="auto"/>
        </w:rPr>
      </w:pPr>
      <w:r w:rsidRPr="009E3FF2">
        <w:rPr>
          <w:rStyle w:val="Instruction"/>
          <w:b w:val="0"/>
          <w:bCs/>
          <w:i w:val="0"/>
          <w:iCs/>
          <w:color w:val="auto"/>
        </w:rPr>
        <w:t>If the code has been broken and there are no medical reasons for discontinuation, the patient may</w:t>
      </w:r>
      <w:r w:rsidR="003F502C">
        <w:rPr>
          <w:rStyle w:val="Instruction"/>
          <w:b w:val="0"/>
          <w:bCs/>
          <w:i w:val="0"/>
          <w:iCs/>
          <w:color w:val="auto"/>
        </w:rPr>
        <w:t xml:space="preserve"> </w:t>
      </w:r>
      <w:r w:rsidRPr="009E3FF2">
        <w:rPr>
          <w:rStyle w:val="Instruction"/>
          <w:b w:val="0"/>
          <w:bCs/>
          <w:i w:val="0"/>
          <w:iCs/>
          <w:color w:val="auto"/>
        </w:rPr>
        <w:t xml:space="preserve">continue the study treatment. In case of withdrawal from study treatment the patient </w:t>
      </w:r>
      <w:r w:rsidR="00FF5A4E">
        <w:rPr>
          <w:rStyle w:val="Instruction"/>
          <w:b w:val="0"/>
          <w:bCs/>
          <w:i w:val="0"/>
          <w:iCs/>
          <w:color w:val="auto"/>
        </w:rPr>
        <w:t xml:space="preserve">is to </w:t>
      </w:r>
      <w:r w:rsidRPr="009E3FF2">
        <w:rPr>
          <w:rStyle w:val="Instruction"/>
          <w:b w:val="0"/>
          <w:bCs/>
          <w:i w:val="0"/>
          <w:iCs/>
          <w:color w:val="auto"/>
        </w:rPr>
        <w:t>be followed</w:t>
      </w:r>
      <w:r w:rsidR="003F502C">
        <w:rPr>
          <w:rStyle w:val="Instruction"/>
          <w:b w:val="0"/>
          <w:bCs/>
          <w:i w:val="0"/>
          <w:iCs/>
          <w:color w:val="auto"/>
        </w:rPr>
        <w:t xml:space="preserve"> </w:t>
      </w:r>
      <w:r w:rsidRPr="009E3FF2">
        <w:rPr>
          <w:rStyle w:val="Instruction"/>
          <w:b w:val="0"/>
          <w:bCs/>
          <w:i w:val="0"/>
          <w:iCs/>
          <w:color w:val="auto"/>
        </w:rPr>
        <w:t>up for survival.</w:t>
      </w:r>
    </w:p>
    <w:p w:rsidR="005760D3" w:rsidRPr="009E3FF2" w:rsidRDefault="005760D3" w:rsidP="009E3FF2">
      <w:pPr>
        <w:spacing w:line="360" w:lineRule="auto"/>
        <w:rPr>
          <w:rStyle w:val="Instruction"/>
          <w:b w:val="0"/>
          <w:bCs/>
          <w:i w:val="0"/>
          <w:iCs/>
          <w:color w:val="auto"/>
        </w:rPr>
      </w:pPr>
      <w:r>
        <w:rPr>
          <w:rStyle w:val="Instruction"/>
          <w:b w:val="0"/>
          <w:bCs/>
          <w:i w:val="0"/>
          <w:iCs/>
          <w:color w:val="auto"/>
        </w:rPr>
        <w:t xml:space="preserve">Final unblinding and code breaking will occur after the database lock for the primary analysis, planned when the last randomized patient will have reached 6 month follow-up post first vaccination (see sections </w:t>
      </w:r>
      <w:r w:rsidR="00FF5BA3">
        <w:rPr>
          <w:rStyle w:val="Instruction"/>
          <w:b w:val="0"/>
          <w:bCs/>
          <w:i w:val="0"/>
          <w:iCs/>
          <w:color w:val="auto"/>
        </w:rPr>
        <w:fldChar w:fldCharType="begin"/>
      </w:r>
      <w:r>
        <w:rPr>
          <w:rStyle w:val="Instruction"/>
          <w:b w:val="0"/>
          <w:bCs/>
          <w:i w:val="0"/>
          <w:iCs/>
          <w:color w:val="auto"/>
        </w:rPr>
        <w:instrText xml:space="preserve"> REF _Ref461442927 \r \h </w:instrText>
      </w:r>
      <w:r w:rsidR="00FF5BA3">
        <w:rPr>
          <w:rStyle w:val="Instruction"/>
          <w:b w:val="0"/>
          <w:bCs/>
          <w:i w:val="0"/>
          <w:iCs/>
          <w:color w:val="auto"/>
        </w:rPr>
      </w:r>
      <w:r w:rsidR="00FF5BA3">
        <w:rPr>
          <w:rStyle w:val="Instruction"/>
          <w:b w:val="0"/>
          <w:bCs/>
          <w:i w:val="0"/>
          <w:iCs/>
          <w:color w:val="auto"/>
        </w:rPr>
        <w:fldChar w:fldCharType="separate"/>
      </w:r>
      <w:r w:rsidR="007C78F1">
        <w:rPr>
          <w:rStyle w:val="Instruction"/>
          <w:b w:val="0"/>
          <w:bCs/>
          <w:i w:val="0"/>
          <w:iCs/>
          <w:color w:val="auto"/>
        </w:rPr>
        <w:t>5.2.4.1</w:t>
      </w:r>
      <w:r w:rsidR="00FF5BA3">
        <w:rPr>
          <w:rStyle w:val="Instruction"/>
          <w:b w:val="0"/>
          <w:bCs/>
          <w:i w:val="0"/>
          <w:iCs/>
          <w:color w:val="auto"/>
        </w:rPr>
        <w:fldChar w:fldCharType="end"/>
      </w:r>
      <w:r>
        <w:rPr>
          <w:rStyle w:val="Instruction"/>
          <w:b w:val="0"/>
          <w:bCs/>
          <w:i w:val="0"/>
          <w:iCs/>
          <w:color w:val="auto"/>
        </w:rPr>
        <w:t xml:space="preserve"> and </w:t>
      </w:r>
      <w:r w:rsidR="00FF5BA3">
        <w:rPr>
          <w:rStyle w:val="Instruction"/>
          <w:b w:val="0"/>
          <w:bCs/>
          <w:i w:val="0"/>
          <w:iCs/>
          <w:color w:val="auto"/>
        </w:rPr>
        <w:fldChar w:fldCharType="begin"/>
      </w:r>
      <w:r>
        <w:rPr>
          <w:rStyle w:val="Instruction"/>
          <w:b w:val="0"/>
          <w:bCs/>
          <w:i w:val="0"/>
          <w:iCs/>
          <w:color w:val="auto"/>
        </w:rPr>
        <w:instrText xml:space="preserve"> REF _Ref461442945 \r \h </w:instrText>
      </w:r>
      <w:r w:rsidR="00FF5BA3">
        <w:rPr>
          <w:rStyle w:val="Instruction"/>
          <w:b w:val="0"/>
          <w:bCs/>
          <w:i w:val="0"/>
          <w:iCs/>
          <w:color w:val="auto"/>
        </w:rPr>
      </w:r>
      <w:r w:rsidR="00FF5BA3">
        <w:rPr>
          <w:rStyle w:val="Instruction"/>
          <w:b w:val="0"/>
          <w:bCs/>
          <w:i w:val="0"/>
          <w:iCs/>
          <w:color w:val="auto"/>
        </w:rPr>
        <w:fldChar w:fldCharType="separate"/>
      </w:r>
      <w:r w:rsidR="007C78F1">
        <w:rPr>
          <w:rStyle w:val="Instruction"/>
          <w:b w:val="0"/>
          <w:bCs/>
          <w:i w:val="0"/>
          <w:iCs/>
          <w:color w:val="auto"/>
        </w:rPr>
        <w:t>6</w:t>
      </w:r>
      <w:r w:rsidR="00FF5BA3">
        <w:rPr>
          <w:rStyle w:val="Instruction"/>
          <w:b w:val="0"/>
          <w:bCs/>
          <w:i w:val="0"/>
          <w:iCs/>
          <w:color w:val="auto"/>
        </w:rPr>
        <w:fldChar w:fldCharType="end"/>
      </w:r>
      <w:r>
        <w:rPr>
          <w:rStyle w:val="Instruction"/>
          <w:b w:val="0"/>
          <w:bCs/>
          <w:i w:val="0"/>
          <w:iCs/>
          <w:color w:val="auto"/>
        </w:rPr>
        <w:t>).</w:t>
      </w:r>
    </w:p>
    <w:p w:rsidR="0029315A" w:rsidRPr="0029315A" w:rsidRDefault="007B3388" w:rsidP="0029315A">
      <w:pPr>
        <w:pStyle w:val="3"/>
        <w:spacing w:line="360" w:lineRule="auto"/>
      </w:pPr>
      <w:bookmarkStart w:id="18" w:name="_Toc461617819"/>
      <w:bookmarkStart w:id="19" w:name="_Toc348250997"/>
      <w:r>
        <w:t>Determination of s</w:t>
      </w:r>
      <w:r w:rsidR="00AF3917" w:rsidRPr="008D610C">
        <w:t>ample size</w:t>
      </w:r>
      <w:bookmarkEnd w:id="18"/>
      <w:r w:rsidR="00AF3917" w:rsidRPr="008D610C">
        <w:t xml:space="preserve"> </w:t>
      </w:r>
    </w:p>
    <w:p w:rsidR="0029315A" w:rsidRPr="00B34795" w:rsidRDefault="0029315A" w:rsidP="00B34795">
      <w:pPr>
        <w:pStyle w:val="4"/>
        <w:rPr>
          <w:rStyle w:val="Instruction"/>
          <w:b/>
          <w:bCs/>
          <w:i w:val="0"/>
          <w:iCs/>
          <w:color w:val="auto"/>
        </w:rPr>
      </w:pPr>
      <w:bookmarkStart w:id="20" w:name="_Toc461617820"/>
      <w:r>
        <w:rPr>
          <w:rStyle w:val="Instruction"/>
          <w:b/>
          <w:bCs/>
          <w:i w:val="0"/>
          <w:iCs/>
          <w:color w:val="auto"/>
        </w:rPr>
        <w:t>Initial sample-size calculation:</w:t>
      </w:r>
      <w:bookmarkEnd w:id="20"/>
    </w:p>
    <w:p w:rsidR="0029315A" w:rsidRDefault="0029315A" w:rsidP="00D04622">
      <w:pPr>
        <w:spacing w:line="360" w:lineRule="auto"/>
        <w:rPr>
          <w:rStyle w:val="Instruction"/>
          <w:b w:val="0"/>
          <w:bCs/>
          <w:i w:val="0"/>
          <w:iCs/>
          <w:color w:val="auto"/>
        </w:rPr>
      </w:pPr>
      <w:r>
        <w:rPr>
          <w:rStyle w:val="Instruction"/>
          <w:b w:val="0"/>
          <w:bCs/>
          <w:i w:val="0"/>
          <w:iCs/>
          <w:color w:val="auto"/>
        </w:rPr>
        <w:t>The initial sample-size calculation, at the time the first version of the protocol was finalized was the following:</w:t>
      </w:r>
    </w:p>
    <w:p w:rsidR="0029315A" w:rsidRDefault="0029315A" w:rsidP="0029315A">
      <w:pPr>
        <w:pBdr>
          <w:top w:val="single" w:sz="4" w:space="1" w:color="auto"/>
          <w:left w:val="single" w:sz="4" w:space="4" w:color="auto"/>
          <w:bottom w:val="single" w:sz="4" w:space="1" w:color="auto"/>
          <w:right w:val="single" w:sz="4" w:space="4" w:color="auto"/>
        </w:pBdr>
      </w:pPr>
      <w:r>
        <w:t>The number of patients to enrol is estimated based on the following hypotheses:</w:t>
      </w:r>
    </w:p>
    <w:p w:rsidR="0029315A" w:rsidRDefault="0029315A" w:rsidP="0029315A">
      <w:pPr>
        <w:pBdr>
          <w:top w:val="single" w:sz="4" w:space="1" w:color="auto"/>
          <w:left w:val="single" w:sz="4" w:space="4" w:color="auto"/>
          <w:bottom w:val="single" w:sz="4" w:space="1" w:color="auto"/>
          <w:right w:val="single" w:sz="4" w:space="4" w:color="auto"/>
        </w:pBdr>
        <w:ind w:firstLine="720"/>
      </w:pPr>
      <w:r>
        <w:t>H0: The proportion of patients with OS after 12 months of treatment in the Vx-001 group is less than or equal to that of the placebo group.</w:t>
      </w:r>
    </w:p>
    <w:p w:rsidR="0029315A" w:rsidRDefault="0029315A" w:rsidP="0029315A">
      <w:pPr>
        <w:pBdr>
          <w:top w:val="single" w:sz="4" w:space="1" w:color="auto"/>
          <w:left w:val="single" w:sz="4" w:space="4" w:color="auto"/>
          <w:bottom w:val="single" w:sz="4" w:space="1" w:color="auto"/>
          <w:right w:val="single" w:sz="4" w:space="4" w:color="auto"/>
        </w:pBdr>
        <w:ind w:firstLine="720"/>
      </w:pPr>
      <w:r>
        <w:t>H1: The proportion of patients with OS after 12 months of treatment in the Vx-001 group is greater than that of the placebo group.</w:t>
      </w:r>
    </w:p>
    <w:p w:rsidR="0029315A" w:rsidRDefault="0029315A" w:rsidP="0029315A">
      <w:pPr>
        <w:pBdr>
          <w:top w:val="single" w:sz="4" w:space="1" w:color="auto"/>
          <w:left w:val="single" w:sz="4" w:space="4" w:color="auto"/>
          <w:bottom w:val="single" w:sz="4" w:space="1" w:color="auto"/>
          <w:right w:val="single" w:sz="4" w:space="4" w:color="auto"/>
        </w:pBdr>
      </w:pPr>
      <w:r>
        <w:t xml:space="preserve">The proportion of patients in the placebo group with OS at 12 months from randomization is assumed to be </w:t>
      </w:r>
      <w:r w:rsidRPr="001107DC">
        <w:rPr>
          <w:b/>
        </w:rPr>
        <w:t>43%</w:t>
      </w:r>
      <w:r>
        <w:t xml:space="preserve"> (Fidias et al 2009; Ciuleanu et al 2009; Cappuzzo et al., 2010). The proportion of patients in the vaccine group with OS at 12 months from the end of first-line treatment is assumed to be </w:t>
      </w:r>
      <w:r w:rsidRPr="001107DC">
        <w:rPr>
          <w:b/>
        </w:rPr>
        <w:t>58%</w:t>
      </w:r>
      <w:r>
        <w:t xml:space="preserve">. </w:t>
      </w:r>
    </w:p>
    <w:p w:rsidR="0029315A" w:rsidRDefault="0029315A" w:rsidP="0029315A">
      <w:pPr>
        <w:pBdr>
          <w:top w:val="single" w:sz="4" w:space="1" w:color="auto"/>
          <w:left w:val="single" w:sz="4" w:space="4" w:color="auto"/>
          <w:bottom w:val="single" w:sz="4" w:space="1" w:color="auto"/>
          <w:right w:val="single" w:sz="4" w:space="4" w:color="auto"/>
        </w:pBdr>
      </w:pPr>
      <w:r>
        <w:lastRenderedPageBreak/>
        <w:t>The primary analysis will be performed after all patients have been followed up for at least 12 months. Based on the above assumptions for OS at 12 months and 200 evaluable patients (100 on the Vx-001 arm and 100 on the placebo arm), the primary efficacy analysis would have an overall power of approximately 80% to detect a difference in treatment effect at the 0.1 one-sided significance level.</w:t>
      </w:r>
    </w:p>
    <w:p w:rsidR="0029315A" w:rsidRDefault="0029315A" w:rsidP="0029315A">
      <w:pPr>
        <w:pBdr>
          <w:top w:val="single" w:sz="4" w:space="1" w:color="auto"/>
          <w:left w:val="single" w:sz="4" w:space="4" w:color="auto"/>
          <w:bottom w:val="single" w:sz="4" w:space="1" w:color="auto"/>
          <w:right w:val="single" w:sz="4" w:space="4" w:color="auto"/>
        </w:pBdr>
      </w:pPr>
      <w:r>
        <w:t>Although the full analysis set (FAS, see definition in the statistical methods section) is the primary efficacy dataset, the study will be powered based on the per protocol (PP) analysis of the primary efficacy endpoint. Assuming that all randomised patients will be in the FAS, and assuming that 10% of patients in the FAS will be excluded from the PP dataset, a total of 220 patients will be randomised in the study to attain approximately 200 evaluable patients.</w:t>
      </w:r>
    </w:p>
    <w:p w:rsidR="0029315A" w:rsidRPr="001107DC" w:rsidRDefault="0029315A" w:rsidP="0029315A">
      <w:pPr>
        <w:pBdr>
          <w:top w:val="single" w:sz="4" w:space="1" w:color="auto"/>
          <w:left w:val="single" w:sz="4" w:space="4" w:color="auto"/>
          <w:bottom w:val="single" w:sz="4" w:space="1" w:color="auto"/>
          <w:right w:val="single" w:sz="4" w:space="4" w:color="auto"/>
        </w:pBdr>
      </w:pPr>
      <w:r>
        <w:t>The study design is based on comparison of proportions in two treatment arms using an one-sided a Pearson’s chi-squared test.</w:t>
      </w:r>
    </w:p>
    <w:p w:rsidR="0029315A" w:rsidRDefault="0029315A" w:rsidP="0029315A"/>
    <w:p w:rsidR="0029315A" w:rsidRDefault="0029315A" w:rsidP="00D04622">
      <w:pPr>
        <w:spacing w:line="360" w:lineRule="auto"/>
        <w:rPr>
          <w:rStyle w:val="Instruction"/>
          <w:b w:val="0"/>
          <w:bCs/>
          <w:i w:val="0"/>
          <w:iCs/>
          <w:color w:val="auto"/>
        </w:rPr>
      </w:pPr>
    </w:p>
    <w:p w:rsidR="0029315A" w:rsidRDefault="0029315A" w:rsidP="0029315A">
      <w:pPr>
        <w:pStyle w:val="4"/>
        <w:rPr>
          <w:rStyle w:val="Instruction"/>
          <w:b/>
          <w:bCs/>
          <w:i w:val="0"/>
          <w:iCs/>
          <w:color w:val="auto"/>
        </w:rPr>
      </w:pPr>
      <w:bookmarkStart w:id="21" w:name="_Toc461617821"/>
      <w:r>
        <w:rPr>
          <w:rStyle w:val="Instruction"/>
          <w:b/>
          <w:bCs/>
          <w:i w:val="0"/>
          <w:iCs/>
          <w:color w:val="auto"/>
        </w:rPr>
        <w:t>Revised sample-size calculation:</w:t>
      </w:r>
      <w:bookmarkEnd w:id="21"/>
    </w:p>
    <w:p w:rsidR="0029315A" w:rsidRDefault="0029315A" w:rsidP="00D04622">
      <w:pPr>
        <w:spacing w:line="360" w:lineRule="auto"/>
        <w:rPr>
          <w:rStyle w:val="Instruction"/>
          <w:b w:val="0"/>
          <w:bCs/>
          <w:i w:val="0"/>
          <w:iCs/>
          <w:color w:val="auto"/>
        </w:rPr>
      </w:pPr>
      <w:r>
        <w:rPr>
          <w:rStyle w:val="Instruction"/>
          <w:b w:val="0"/>
          <w:bCs/>
          <w:i w:val="0"/>
          <w:iCs/>
          <w:color w:val="auto"/>
        </w:rPr>
        <w:t>The sample size-calculation was revised as follows, following the change in the primary efficacy analysis</w:t>
      </w:r>
    </w:p>
    <w:p w:rsidR="00C46737" w:rsidRPr="00C46737" w:rsidRDefault="00C46737" w:rsidP="00D04622">
      <w:pPr>
        <w:spacing w:line="360" w:lineRule="auto"/>
        <w:rPr>
          <w:rStyle w:val="Instruction"/>
          <w:b w:val="0"/>
          <w:bCs/>
          <w:i w:val="0"/>
          <w:iCs/>
          <w:color w:val="auto"/>
        </w:rPr>
      </w:pPr>
      <w:r w:rsidRPr="00C46737">
        <w:rPr>
          <w:rStyle w:val="Instruction"/>
          <w:b w:val="0"/>
          <w:bCs/>
          <w:i w:val="0"/>
          <w:iCs/>
          <w:color w:val="auto"/>
        </w:rPr>
        <w:t xml:space="preserve">Assuming 50% of screened patients will experience disease control after 1st line chemotherapy, 41% of screened patients will be HLA-A*0201 positive, of whom 80% will be TERT positive in their </w:t>
      </w:r>
      <w:r w:rsidR="002159F3">
        <w:rPr>
          <w:rStyle w:val="Instruction"/>
          <w:b w:val="0"/>
          <w:bCs/>
          <w:i w:val="0"/>
          <w:iCs/>
          <w:color w:val="auto"/>
        </w:rPr>
        <w:t>tumour biops</w:t>
      </w:r>
      <w:r w:rsidR="0049042F">
        <w:rPr>
          <w:rStyle w:val="Instruction"/>
          <w:b w:val="0"/>
          <w:bCs/>
          <w:i w:val="0"/>
          <w:iCs/>
          <w:color w:val="auto"/>
        </w:rPr>
        <w:t>y</w:t>
      </w:r>
      <w:r w:rsidRPr="00C46737">
        <w:rPr>
          <w:rStyle w:val="Instruction"/>
          <w:b w:val="0"/>
          <w:bCs/>
          <w:i w:val="0"/>
          <w:iCs/>
          <w:color w:val="auto"/>
        </w:rPr>
        <w:t xml:space="preserve">, approximately 1500 patients will be screened to </w:t>
      </w:r>
      <w:r w:rsidR="004551B7" w:rsidRPr="00C46737">
        <w:rPr>
          <w:rStyle w:val="Instruction"/>
          <w:b w:val="0"/>
          <w:bCs/>
          <w:i w:val="0"/>
          <w:iCs/>
          <w:color w:val="auto"/>
        </w:rPr>
        <w:t>enrol</w:t>
      </w:r>
      <w:r w:rsidRPr="00C46737">
        <w:rPr>
          <w:rStyle w:val="Instruction"/>
          <w:b w:val="0"/>
          <w:bCs/>
          <w:i w:val="0"/>
          <w:iCs/>
          <w:color w:val="auto"/>
        </w:rPr>
        <w:t xml:space="preserve"> around 220 HLA-A*0201 positive patients with TERT expressing NSCLC with disease control after 1st line treatment (110 on the Vx-001 arm and 110 on the placebo arm), calculated using SAS</w:t>
      </w:r>
      <w:r w:rsidR="00182787">
        <w:rPr>
          <w:rStyle w:val="Instruction"/>
          <w:b w:val="0"/>
          <w:bCs/>
          <w:i w:val="0"/>
          <w:iCs/>
          <w:color w:val="auto"/>
        </w:rPr>
        <w:t>®</w:t>
      </w:r>
      <w:r w:rsidRPr="00C46737">
        <w:rPr>
          <w:rStyle w:val="Instruction"/>
          <w:b w:val="0"/>
          <w:bCs/>
          <w:i w:val="0"/>
          <w:iCs/>
          <w:color w:val="auto"/>
        </w:rPr>
        <w:t xml:space="preserve"> 9.2 software with a maximum of 230 patients.</w:t>
      </w:r>
    </w:p>
    <w:p w:rsidR="00C46737" w:rsidRPr="00C46737" w:rsidRDefault="00C46737" w:rsidP="00C46737">
      <w:pPr>
        <w:spacing w:line="360" w:lineRule="auto"/>
        <w:rPr>
          <w:rStyle w:val="Instruction"/>
          <w:b w:val="0"/>
          <w:bCs/>
          <w:i w:val="0"/>
          <w:iCs/>
          <w:color w:val="auto"/>
        </w:rPr>
      </w:pPr>
      <w:r w:rsidRPr="00C46737">
        <w:rPr>
          <w:rStyle w:val="Instruction"/>
          <w:b w:val="0"/>
          <w:bCs/>
          <w:i w:val="0"/>
          <w:iCs/>
          <w:color w:val="auto"/>
        </w:rPr>
        <w:t>The number of patients to enroll is estimated based on the following hypotheses:</w:t>
      </w:r>
    </w:p>
    <w:p w:rsidR="00C46737" w:rsidRPr="00C46737" w:rsidRDefault="00C46737" w:rsidP="00182787">
      <w:pPr>
        <w:spacing w:line="360" w:lineRule="auto"/>
        <w:ind w:left="720"/>
        <w:rPr>
          <w:rStyle w:val="Instruction"/>
          <w:b w:val="0"/>
          <w:bCs/>
          <w:i w:val="0"/>
          <w:iCs/>
          <w:color w:val="auto"/>
        </w:rPr>
      </w:pPr>
      <w:r w:rsidRPr="00182787">
        <w:rPr>
          <w:rStyle w:val="Instruction"/>
          <w:bCs/>
          <w:i w:val="0"/>
          <w:iCs/>
          <w:color w:val="auto"/>
        </w:rPr>
        <w:t>H0</w:t>
      </w:r>
      <w:r w:rsidRPr="00C46737">
        <w:rPr>
          <w:rStyle w:val="Instruction"/>
          <w:b w:val="0"/>
          <w:bCs/>
          <w:i w:val="0"/>
          <w:iCs/>
          <w:color w:val="auto"/>
        </w:rPr>
        <w:t>: The proportion of patients with OS after 12 months of treatment in the Vx-001 group is less than or equal to that of the placebo group.</w:t>
      </w:r>
    </w:p>
    <w:p w:rsidR="00C46737" w:rsidRPr="00C46737" w:rsidRDefault="00C46737" w:rsidP="00182787">
      <w:pPr>
        <w:spacing w:line="360" w:lineRule="auto"/>
        <w:ind w:left="720"/>
        <w:rPr>
          <w:rStyle w:val="Instruction"/>
          <w:b w:val="0"/>
          <w:bCs/>
          <w:i w:val="0"/>
          <w:iCs/>
          <w:color w:val="auto"/>
        </w:rPr>
      </w:pPr>
      <w:r w:rsidRPr="00182787">
        <w:rPr>
          <w:rStyle w:val="Instruction"/>
          <w:bCs/>
          <w:i w:val="0"/>
          <w:iCs/>
          <w:color w:val="auto"/>
        </w:rPr>
        <w:t>H1</w:t>
      </w:r>
      <w:r w:rsidRPr="00C46737">
        <w:rPr>
          <w:rStyle w:val="Instruction"/>
          <w:b w:val="0"/>
          <w:bCs/>
          <w:i w:val="0"/>
          <w:iCs/>
          <w:color w:val="auto"/>
        </w:rPr>
        <w:t>: The proportion of patients with OS after 12 months of treatment in the Vx-001 group is greater than that of the placebo group.</w:t>
      </w:r>
    </w:p>
    <w:p w:rsidR="00C46737" w:rsidRPr="00C46737" w:rsidRDefault="00C46737" w:rsidP="00C46737">
      <w:pPr>
        <w:spacing w:line="360" w:lineRule="auto"/>
        <w:rPr>
          <w:rStyle w:val="Instruction"/>
          <w:b w:val="0"/>
          <w:bCs/>
          <w:i w:val="0"/>
          <w:iCs/>
          <w:color w:val="auto"/>
        </w:rPr>
      </w:pPr>
      <w:r w:rsidRPr="00C46737">
        <w:rPr>
          <w:rStyle w:val="Instruction"/>
          <w:b w:val="0"/>
          <w:bCs/>
          <w:i w:val="0"/>
          <w:iCs/>
          <w:color w:val="auto"/>
        </w:rPr>
        <w:t>The proportion of patients in the placebo group with OS at 12 months from randomization is assumed to be 43% (Fidias et al 2009; Ciuleanu et al 2009; Cappuzzo et al., 2010), corresponding to an overall survival of 9.8 months, assuming exponential survival. The proportion of patients in the vaccine group with OS at 12 months from the end of first-line treatment is assumed to be 58% corresponding to an overall survival of 15.2 months, assuming exponential survival.</w:t>
      </w:r>
    </w:p>
    <w:p w:rsidR="00C46737" w:rsidRPr="00C46737" w:rsidRDefault="00C46737" w:rsidP="00C46737">
      <w:pPr>
        <w:spacing w:line="360" w:lineRule="auto"/>
        <w:rPr>
          <w:rStyle w:val="Instruction"/>
          <w:b w:val="0"/>
          <w:bCs/>
          <w:i w:val="0"/>
          <w:iCs/>
          <w:color w:val="auto"/>
        </w:rPr>
      </w:pPr>
      <w:r w:rsidRPr="00C46737">
        <w:rPr>
          <w:rStyle w:val="Instruction"/>
          <w:b w:val="0"/>
          <w:bCs/>
          <w:i w:val="0"/>
          <w:iCs/>
          <w:color w:val="auto"/>
        </w:rPr>
        <w:t xml:space="preserve">The primary analysis will consist in a comparison of overall survival between the two arms using the Kaplan Meier method to build survival curves and the Logrank test to compare them between </w:t>
      </w:r>
      <w:r w:rsidRPr="00C46737">
        <w:rPr>
          <w:rStyle w:val="Instruction"/>
          <w:b w:val="0"/>
          <w:bCs/>
          <w:i w:val="0"/>
          <w:iCs/>
          <w:color w:val="auto"/>
        </w:rPr>
        <w:lastRenderedPageBreak/>
        <w:t>treatment groups and will be performed after all patients have been followed up for 6 months. The follow-up of the patients will nevertheless continue after this primary analysis until 12 months, as planned. Based on the above assumptions for OS at 12 months and 200 evaluable patients (100 on the Vx-001 arm and 100 on the placebo arm), the primary efficacy analysis will have an overall power of approximately 82.5% to detect a difference in treatment effect at the 0.05 one sided significance level.</w:t>
      </w:r>
    </w:p>
    <w:p w:rsidR="00C46737" w:rsidRPr="00C46737" w:rsidRDefault="00C46737" w:rsidP="00C46737">
      <w:pPr>
        <w:spacing w:line="360" w:lineRule="auto"/>
        <w:rPr>
          <w:rStyle w:val="Instruction"/>
          <w:b w:val="0"/>
          <w:bCs/>
          <w:i w:val="0"/>
          <w:iCs/>
          <w:color w:val="auto"/>
        </w:rPr>
      </w:pPr>
      <w:r w:rsidRPr="00C46737">
        <w:rPr>
          <w:rStyle w:val="Instruction"/>
          <w:b w:val="0"/>
          <w:bCs/>
          <w:i w:val="0"/>
          <w:iCs/>
          <w:color w:val="auto"/>
        </w:rPr>
        <w:t xml:space="preserve">Although the full analysis set (FAS, see definition in Section </w:t>
      </w:r>
      <w:r>
        <w:rPr>
          <w:rStyle w:val="Instruction"/>
          <w:b w:val="0"/>
          <w:bCs/>
          <w:i w:val="0"/>
          <w:iCs/>
          <w:color w:val="auto"/>
        </w:rPr>
        <w:t>3</w:t>
      </w:r>
      <w:r w:rsidRPr="00C46737">
        <w:rPr>
          <w:rStyle w:val="Instruction"/>
          <w:b w:val="0"/>
          <w:bCs/>
          <w:i w:val="0"/>
          <w:iCs/>
          <w:color w:val="auto"/>
        </w:rPr>
        <w:t>) is the primary efficacy dataset, the study will be powered based on the per protocol (PP) analysis of the primary efficacy endpoint.</w:t>
      </w:r>
    </w:p>
    <w:p w:rsidR="00C46737" w:rsidRPr="00C46737" w:rsidRDefault="00C46737" w:rsidP="00C46737">
      <w:pPr>
        <w:spacing w:line="360" w:lineRule="auto"/>
        <w:rPr>
          <w:rStyle w:val="Instruction"/>
          <w:b w:val="0"/>
          <w:bCs/>
          <w:i w:val="0"/>
          <w:iCs/>
          <w:color w:val="auto"/>
        </w:rPr>
      </w:pPr>
      <w:r w:rsidRPr="00C46737">
        <w:rPr>
          <w:rStyle w:val="Instruction"/>
          <w:b w:val="0"/>
          <w:bCs/>
          <w:i w:val="0"/>
          <w:iCs/>
          <w:color w:val="auto"/>
        </w:rPr>
        <w:t xml:space="preserve">Assuming that all randomised patients will be in the FAS, and assuming that 10% of patients in the FAS will be excluded from the PP dataset, a total of 220 patients will be randomised in the study to attain approximately 200 evaluable patients. </w:t>
      </w:r>
    </w:p>
    <w:p w:rsidR="00C46737" w:rsidRPr="00C46737" w:rsidRDefault="00C46737" w:rsidP="00C46737">
      <w:pPr>
        <w:spacing w:line="360" w:lineRule="auto"/>
        <w:rPr>
          <w:rStyle w:val="Instruction"/>
          <w:b w:val="0"/>
          <w:bCs/>
          <w:i w:val="0"/>
          <w:iCs/>
          <w:color w:val="auto"/>
        </w:rPr>
      </w:pPr>
      <w:r w:rsidRPr="00C46737">
        <w:rPr>
          <w:rStyle w:val="Instruction"/>
          <w:b w:val="0"/>
          <w:bCs/>
          <w:i w:val="0"/>
          <w:iCs/>
          <w:color w:val="auto"/>
        </w:rPr>
        <w:t>The study design is based on comparison of survival curves between the two treatment arms using a one-sided Logrank test.</w:t>
      </w:r>
    </w:p>
    <w:p w:rsidR="00C46737" w:rsidRPr="00C46737" w:rsidRDefault="00C46737" w:rsidP="00C46737">
      <w:pPr>
        <w:spacing w:line="360" w:lineRule="auto"/>
        <w:rPr>
          <w:rStyle w:val="Instruction"/>
          <w:b w:val="0"/>
          <w:bCs/>
          <w:i w:val="0"/>
          <w:iCs/>
          <w:color w:val="auto"/>
        </w:rPr>
      </w:pPr>
    </w:p>
    <w:p w:rsidR="00C46737" w:rsidRPr="00C46737" w:rsidRDefault="00C46737" w:rsidP="00C46737">
      <w:pPr>
        <w:spacing w:line="360" w:lineRule="auto"/>
        <w:rPr>
          <w:rStyle w:val="Instruction"/>
          <w:b w:val="0"/>
          <w:bCs/>
          <w:i w:val="0"/>
          <w:iCs/>
          <w:color w:val="auto"/>
        </w:rPr>
      </w:pPr>
      <w:r w:rsidRPr="00C46737">
        <w:rPr>
          <w:rStyle w:val="Instruction"/>
          <w:b w:val="0"/>
          <w:bCs/>
          <w:i w:val="0"/>
          <w:iCs/>
          <w:color w:val="auto"/>
        </w:rPr>
        <w:t>The recruitment time is estimated to be 39 months (5.6 patients per month on average), the follow-up is 12 months, making the total duration of the study approximately 51 months.</w:t>
      </w:r>
    </w:p>
    <w:p w:rsidR="00AF3917" w:rsidRDefault="00AF3917" w:rsidP="00D04622">
      <w:pPr>
        <w:pStyle w:val="3"/>
        <w:spacing w:line="360" w:lineRule="auto"/>
      </w:pPr>
      <w:bookmarkStart w:id="22" w:name="_Toc461617822"/>
      <w:r w:rsidRPr="008D610C">
        <w:t xml:space="preserve">Study </w:t>
      </w:r>
      <w:r w:rsidR="00274675">
        <w:t>assessments and study plan</w:t>
      </w:r>
      <w:bookmarkEnd w:id="22"/>
    </w:p>
    <w:p w:rsidR="00D04622" w:rsidRPr="00D04622" w:rsidRDefault="00D04622" w:rsidP="00D04622">
      <w:pPr>
        <w:spacing w:line="360" w:lineRule="auto"/>
        <w:rPr>
          <w:rStyle w:val="Instruction"/>
          <w:b w:val="0"/>
          <w:bCs/>
          <w:i w:val="0"/>
          <w:iCs/>
          <w:color w:val="auto"/>
        </w:rPr>
      </w:pPr>
      <w:r w:rsidRPr="00D04622">
        <w:rPr>
          <w:rStyle w:val="Instruction"/>
          <w:b w:val="0"/>
          <w:bCs/>
          <w:i w:val="0"/>
          <w:iCs/>
          <w:color w:val="auto"/>
        </w:rPr>
        <w:t>One written Informed Consent Form (ICF) with two agreements (one to take part to the screening</w:t>
      </w:r>
      <w:r>
        <w:rPr>
          <w:rStyle w:val="Instruction"/>
          <w:b w:val="0"/>
          <w:bCs/>
          <w:i w:val="0"/>
          <w:iCs/>
          <w:color w:val="auto"/>
        </w:rPr>
        <w:t xml:space="preserve"> </w:t>
      </w:r>
      <w:r w:rsidRPr="00D04622">
        <w:rPr>
          <w:rStyle w:val="Instruction"/>
          <w:b w:val="0"/>
          <w:bCs/>
          <w:i w:val="0"/>
          <w:iCs/>
          <w:color w:val="auto"/>
        </w:rPr>
        <w:t>procedures and one to take part to the study) must be obtained. The first agreement documents the</w:t>
      </w:r>
      <w:r>
        <w:rPr>
          <w:rStyle w:val="Instruction"/>
          <w:b w:val="0"/>
          <w:bCs/>
          <w:i w:val="0"/>
          <w:iCs/>
          <w:color w:val="auto"/>
        </w:rPr>
        <w:t xml:space="preserve"> </w:t>
      </w:r>
      <w:r w:rsidRPr="00D04622">
        <w:rPr>
          <w:rStyle w:val="Instruction"/>
          <w:b w:val="0"/>
          <w:bCs/>
          <w:i w:val="0"/>
          <w:iCs/>
          <w:color w:val="auto"/>
        </w:rPr>
        <w:t>agreement to participate to the screening procedures, it should be obtained prior to initiating any</w:t>
      </w:r>
      <w:r>
        <w:rPr>
          <w:rStyle w:val="Instruction"/>
          <w:b w:val="0"/>
          <w:bCs/>
          <w:i w:val="0"/>
          <w:iCs/>
          <w:color w:val="auto"/>
        </w:rPr>
        <w:t xml:space="preserve"> </w:t>
      </w:r>
      <w:r w:rsidRPr="00D04622">
        <w:rPr>
          <w:rStyle w:val="Instruction"/>
          <w:b w:val="0"/>
          <w:bCs/>
          <w:i w:val="0"/>
          <w:iCs/>
          <w:color w:val="auto"/>
        </w:rPr>
        <w:t>screening specific assessments. The second agreement can be obtained at the screening procedure</w:t>
      </w:r>
      <w:r>
        <w:rPr>
          <w:rStyle w:val="Instruction"/>
          <w:b w:val="0"/>
          <w:bCs/>
          <w:i w:val="0"/>
          <w:iCs/>
          <w:color w:val="auto"/>
        </w:rPr>
        <w:t xml:space="preserve"> </w:t>
      </w:r>
      <w:r w:rsidRPr="00D04622">
        <w:rPr>
          <w:rStyle w:val="Instruction"/>
          <w:b w:val="0"/>
          <w:bCs/>
          <w:i w:val="0"/>
          <w:iCs/>
          <w:color w:val="auto"/>
        </w:rPr>
        <w:t>and at the latest at baseline visit and before the randomization</w:t>
      </w:r>
      <w:r>
        <w:rPr>
          <w:rStyle w:val="Instruction"/>
          <w:b w:val="0"/>
          <w:bCs/>
          <w:i w:val="0"/>
          <w:iCs/>
          <w:color w:val="auto"/>
        </w:rPr>
        <w:t>.</w:t>
      </w:r>
      <w:r w:rsidRPr="00D04622">
        <w:rPr>
          <w:rStyle w:val="Instruction"/>
          <w:b w:val="0"/>
          <w:bCs/>
          <w:i w:val="0"/>
          <w:iCs/>
          <w:color w:val="auto"/>
        </w:rPr>
        <w:t xml:space="preserve"> This second agreement documents the</w:t>
      </w:r>
      <w:r>
        <w:rPr>
          <w:rStyle w:val="Instruction"/>
          <w:b w:val="0"/>
          <w:bCs/>
          <w:i w:val="0"/>
          <w:iCs/>
          <w:color w:val="auto"/>
        </w:rPr>
        <w:t xml:space="preserve"> </w:t>
      </w:r>
      <w:r w:rsidRPr="00D04622">
        <w:rPr>
          <w:rStyle w:val="Instruction"/>
          <w:b w:val="0"/>
          <w:bCs/>
          <w:i w:val="0"/>
          <w:iCs/>
          <w:color w:val="auto"/>
        </w:rPr>
        <w:t>agreement to participate to the study. Only patients HLA-A*0201 positive with TERT expressing</w:t>
      </w:r>
      <w:r>
        <w:rPr>
          <w:rStyle w:val="Instruction"/>
          <w:b w:val="0"/>
          <w:bCs/>
          <w:i w:val="0"/>
          <w:iCs/>
          <w:color w:val="auto"/>
        </w:rPr>
        <w:t xml:space="preserve"> </w:t>
      </w:r>
      <w:r w:rsidRPr="00D04622">
        <w:rPr>
          <w:rStyle w:val="Instruction"/>
          <w:b w:val="0"/>
          <w:bCs/>
          <w:i w:val="0"/>
          <w:iCs/>
          <w:color w:val="auto"/>
        </w:rPr>
        <w:t>tumor and who have documented disease control can be randomized.</w:t>
      </w:r>
    </w:p>
    <w:p w:rsidR="00D04622" w:rsidRDefault="00D04622" w:rsidP="00D04622">
      <w:pPr>
        <w:spacing w:line="360" w:lineRule="auto"/>
        <w:rPr>
          <w:rStyle w:val="Instruction"/>
          <w:b w:val="0"/>
          <w:bCs/>
          <w:i w:val="0"/>
          <w:iCs/>
          <w:color w:val="auto"/>
        </w:rPr>
      </w:pPr>
    </w:p>
    <w:p w:rsidR="00D04622" w:rsidRPr="00D04622" w:rsidRDefault="00D04622" w:rsidP="00D04622">
      <w:pPr>
        <w:spacing w:line="360" w:lineRule="auto"/>
        <w:rPr>
          <w:rStyle w:val="Instruction"/>
          <w:b w:val="0"/>
          <w:bCs/>
          <w:i w:val="0"/>
          <w:iCs/>
          <w:color w:val="auto"/>
        </w:rPr>
      </w:pPr>
      <w:r w:rsidRPr="00D04622">
        <w:rPr>
          <w:rStyle w:val="Instruction"/>
          <w:b w:val="0"/>
          <w:bCs/>
          <w:i w:val="0"/>
          <w:iCs/>
          <w:color w:val="auto"/>
        </w:rPr>
        <w:t>All baseline evaluations must be completed prior to initiating treatment with study medication.</w:t>
      </w:r>
    </w:p>
    <w:p w:rsidR="00D04622" w:rsidRPr="00D04622" w:rsidRDefault="00D04622" w:rsidP="00D04622">
      <w:pPr>
        <w:spacing w:line="360" w:lineRule="auto"/>
        <w:rPr>
          <w:rStyle w:val="Instruction"/>
          <w:b w:val="0"/>
          <w:bCs/>
          <w:i w:val="0"/>
          <w:iCs/>
          <w:color w:val="auto"/>
        </w:rPr>
      </w:pPr>
      <w:r w:rsidRPr="00D04622">
        <w:rPr>
          <w:rStyle w:val="Instruction"/>
          <w:b w:val="0"/>
          <w:bCs/>
          <w:i w:val="0"/>
          <w:iCs/>
          <w:color w:val="auto"/>
        </w:rPr>
        <w:t>Medical and physical examinations should be performed by a qualified physician and should include a</w:t>
      </w:r>
      <w:r>
        <w:rPr>
          <w:rStyle w:val="Instruction"/>
          <w:b w:val="0"/>
          <w:bCs/>
          <w:i w:val="0"/>
          <w:iCs/>
          <w:color w:val="auto"/>
        </w:rPr>
        <w:t xml:space="preserve"> </w:t>
      </w:r>
      <w:r w:rsidRPr="00D04622">
        <w:rPr>
          <w:rStyle w:val="Instruction"/>
          <w:b w:val="0"/>
          <w:bCs/>
          <w:i w:val="0"/>
          <w:iCs/>
          <w:color w:val="auto"/>
        </w:rPr>
        <w:t xml:space="preserve">thorough review of all body systems. Relevant data will be </w:t>
      </w:r>
      <w:r>
        <w:rPr>
          <w:rStyle w:val="Instruction"/>
          <w:b w:val="0"/>
          <w:bCs/>
          <w:i w:val="0"/>
          <w:iCs/>
          <w:color w:val="auto"/>
        </w:rPr>
        <w:t xml:space="preserve">captured in the electronic Case </w:t>
      </w:r>
      <w:r w:rsidRPr="00D04622">
        <w:rPr>
          <w:rStyle w:val="Instruction"/>
          <w:b w:val="0"/>
          <w:bCs/>
          <w:i w:val="0"/>
          <w:iCs/>
          <w:color w:val="auto"/>
        </w:rPr>
        <w:t>Report</w:t>
      </w:r>
      <w:r>
        <w:rPr>
          <w:rStyle w:val="Instruction"/>
          <w:b w:val="0"/>
          <w:bCs/>
          <w:i w:val="0"/>
          <w:iCs/>
          <w:color w:val="auto"/>
        </w:rPr>
        <w:t xml:space="preserve"> </w:t>
      </w:r>
      <w:r w:rsidRPr="00D04622">
        <w:rPr>
          <w:rStyle w:val="Instruction"/>
          <w:b w:val="0"/>
          <w:bCs/>
          <w:i w:val="0"/>
          <w:iCs/>
          <w:color w:val="auto"/>
        </w:rPr>
        <w:t>Form (eCRF). All data will be recorded in source documents.</w:t>
      </w:r>
    </w:p>
    <w:p w:rsidR="00D04622" w:rsidRDefault="00D04622" w:rsidP="00D04622"/>
    <w:p w:rsidR="00D04622" w:rsidRPr="00D04622" w:rsidRDefault="00D04622" w:rsidP="00D04622">
      <w:pPr>
        <w:spacing w:line="360" w:lineRule="auto"/>
        <w:rPr>
          <w:rStyle w:val="Instruction"/>
          <w:b w:val="0"/>
          <w:bCs/>
          <w:i w:val="0"/>
          <w:iCs/>
          <w:color w:val="auto"/>
        </w:rPr>
      </w:pPr>
      <w:r w:rsidRPr="00D04622">
        <w:rPr>
          <w:rStyle w:val="Instruction"/>
          <w:b w:val="0"/>
          <w:bCs/>
          <w:i w:val="0"/>
          <w:iCs/>
          <w:color w:val="auto"/>
        </w:rPr>
        <w:t>The study consists of the following phases/visits:</w:t>
      </w:r>
    </w:p>
    <w:p w:rsidR="00D04622" w:rsidRDefault="00D04622" w:rsidP="001559A5">
      <w:pPr>
        <w:pStyle w:val="ac"/>
        <w:numPr>
          <w:ilvl w:val="0"/>
          <w:numId w:val="14"/>
        </w:numPr>
        <w:spacing w:line="360" w:lineRule="auto"/>
        <w:rPr>
          <w:rStyle w:val="Instruction"/>
          <w:b w:val="0"/>
          <w:bCs/>
          <w:i w:val="0"/>
          <w:iCs/>
          <w:color w:val="auto"/>
        </w:rPr>
      </w:pPr>
      <w:r w:rsidRPr="00D04622">
        <w:rPr>
          <w:rStyle w:val="Instruction"/>
          <w:b w:val="0"/>
          <w:bCs/>
          <w:i w:val="0"/>
          <w:iCs/>
          <w:color w:val="auto"/>
        </w:rPr>
        <w:t>Screening evaluation phase (HLA-A*0201 typing is necessary prior to any further screening, followed by assessment of TERT positivity of the tumor - access to tumor tissue biopsy is a</w:t>
      </w:r>
      <w:r>
        <w:rPr>
          <w:rStyle w:val="Instruction"/>
          <w:b w:val="0"/>
          <w:bCs/>
          <w:i w:val="0"/>
          <w:iCs/>
          <w:color w:val="auto"/>
        </w:rPr>
        <w:t xml:space="preserve"> </w:t>
      </w:r>
      <w:r w:rsidRPr="00D04622">
        <w:rPr>
          <w:rStyle w:val="Instruction"/>
          <w:b w:val="0"/>
          <w:bCs/>
          <w:i w:val="0"/>
          <w:iCs/>
          <w:color w:val="auto"/>
        </w:rPr>
        <w:t>pre-requisite. HLA-A2 patients with TERT expressing tumors will perform a CT scan / MRI</w:t>
      </w:r>
      <w:r>
        <w:rPr>
          <w:rStyle w:val="Instruction"/>
          <w:b w:val="0"/>
          <w:bCs/>
          <w:i w:val="0"/>
          <w:iCs/>
          <w:color w:val="auto"/>
        </w:rPr>
        <w:t xml:space="preserve"> </w:t>
      </w:r>
      <w:r w:rsidRPr="00D04622">
        <w:rPr>
          <w:rStyle w:val="Instruction"/>
          <w:b w:val="0"/>
          <w:bCs/>
          <w:i w:val="0"/>
          <w:iCs/>
          <w:color w:val="auto"/>
        </w:rPr>
        <w:t>to document disease control)</w:t>
      </w:r>
    </w:p>
    <w:p w:rsidR="00D04622" w:rsidRDefault="00D04622" w:rsidP="001559A5">
      <w:pPr>
        <w:pStyle w:val="ac"/>
        <w:numPr>
          <w:ilvl w:val="0"/>
          <w:numId w:val="14"/>
        </w:numPr>
        <w:spacing w:line="360" w:lineRule="auto"/>
        <w:rPr>
          <w:rStyle w:val="Instruction"/>
          <w:b w:val="0"/>
          <w:bCs/>
          <w:i w:val="0"/>
          <w:iCs/>
          <w:color w:val="auto"/>
        </w:rPr>
      </w:pPr>
      <w:r w:rsidRPr="00D04622">
        <w:rPr>
          <w:rStyle w:val="Instruction"/>
          <w:b w:val="0"/>
          <w:bCs/>
          <w:i w:val="0"/>
          <w:iCs/>
          <w:color w:val="auto"/>
        </w:rPr>
        <w:t>Baseline visit, randomization and treatment allocation (Day 1 of week 0)</w:t>
      </w:r>
    </w:p>
    <w:p w:rsidR="00D04622" w:rsidRDefault="00D04622" w:rsidP="001559A5">
      <w:pPr>
        <w:pStyle w:val="ac"/>
        <w:numPr>
          <w:ilvl w:val="0"/>
          <w:numId w:val="14"/>
        </w:numPr>
        <w:spacing w:line="360" w:lineRule="auto"/>
        <w:rPr>
          <w:rStyle w:val="Instruction"/>
          <w:b w:val="0"/>
          <w:bCs/>
          <w:i w:val="0"/>
          <w:iCs/>
          <w:color w:val="auto"/>
        </w:rPr>
      </w:pPr>
      <w:r w:rsidRPr="00D04622">
        <w:rPr>
          <w:rStyle w:val="Instruction"/>
          <w:b w:val="0"/>
          <w:bCs/>
          <w:i w:val="0"/>
          <w:iCs/>
          <w:color w:val="auto"/>
        </w:rPr>
        <w:t>Treatment period (visits every 3 weeks from randomization to week 15 and every 12 weeks</w:t>
      </w:r>
      <w:r>
        <w:rPr>
          <w:rStyle w:val="Instruction"/>
          <w:b w:val="0"/>
          <w:bCs/>
          <w:i w:val="0"/>
          <w:iCs/>
          <w:color w:val="auto"/>
        </w:rPr>
        <w:t xml:space="preserve"> </w:t>
      </w:r>
      <w:r w:rsidRPr="00D04622">
        <w:rPr>
          <w:rStyle w:val="Instruction"/>
          <w:b w:val="0"/>
          <w:bCs/>
          <w:i w:val="0"/>
          <w:iCs/>
          <w:color w:val="auto"/>
        </w:rPr>
        <w:t>from week 27 until the end of study treatment)</w:t>
      </w:r>
    </w:p>
    <w:p w:rsidR="00D04622" w:rsidRDefault="00D04622" w:rsidP="001559A5">
      <w:pPr>
        <w:pStyle w:val="ac"/>
        <w:numPr>
          <w:ilvl w:val="0"/>
          <w:numId w:val="14"/>
        </w:numPr>
        <w:spacing w:line="360" w:lineRule="auto"/>
        <w:rPr>
          <w:rStyle w:val="Instruction"/>
          <w:b w:val="0"/>
          <w:bCs/>
          <w:i w:val="0"/>
          <w:iCs/>
          <w:color w:val="auto"/>
        </w:rPr>
      </w:pPr>
      <w:r w:rsidRPr="00D04622">
        <w:rPr>
          <w:rStyle w:val="Instruction"/>
          <w:b w:val="0"/>
          <w:bCs/>
          <w:i w:val="0"/>
          <w:iCs/>
          <w:color w:val="auto"/>
        </w:rPr>
        <w:t>Treatment assessment at week 18</w:t>
      </w:r>
    </w:p>
    <w:p w:rsidR="00D04622" w:rsidRDefault="00D04622" w:rsidP="001559A5">
      <w:pPr>
        <w:pStyle w:val="ac"/>
        <w:numPr>
          <w:ilvl w:val="0"/>
          <w:numId w:val="14"/>
        </w:numPr>
        <w:spacing w:line="360" w:lineRule="auto"/>
        <w:rPr>
          <w:rStyle w:val="Instruction"/>
          <w:b w:val="0"/>
          <w:bCs/>
          <w:i w:val="0"/>
          <w:iCs/>
          <w:color w:val="auto"/>
        </w:rPr>
      </w:pPr>
      <w:r w:rsidRPr="00D04622">
        <w:rPr>
          <w:rStyle w:val="Instruction"/>
          <w:b w:val="0"/>
          <w:bCs/>
          <w:i w:val="0"/>
          <w:iCs/>
          <w:color w:val="auto"/>
        </w:rPr>
        <w:t>End of treatment (final) visit</w:t>
      </w:r>
    </w:p>
    <w:p w:rsidR="00D04622" w:rsidRPr="00D04622" w:rsidRDefault="00D04622" w:rsidP="001559A5">
      <w:pPr>
        <w:pStyle w:val="ac"/>
        <w:numPr>
          <w:ilvl w:val="0"/>
          <w:numId w:val="14"/>
        </w:numPr>
        <w:spacing w:line="360" w:lineRule="auto"/>
        <w:rPr>
          <w:rStyle w:val="Instruction"/>
          <w:b w:val="0"/>
          <w:bCs/>
          <w:i w:val="0"/>
          <w:iCs/>
          <w:color w:val="auto"/>
        </w:rPr>
      </w:pPr>
      <w:r w:rsidRPr="00D04622">
        <w:rPr>
          <w:rStyle w:val="Instruction"/>
          <w:b w:val="0"/>
          <w:bCs/>
          <w:i w:val="0"/>
          <w:iCs/>
          <w:color w:val="auto"/>
        </w:rPr>
        <w:t>Survival follow-up contacts after the end of vaccination treatment (every 12 weeks, can be</w:t>
      </w:r>
      <w:r>
        <w:rPr>
          <w:rStyle w:val="Instruction"/>
          <w:b w:val="0"/>
          <w:bCs/>
          <w:i w:val="0"/>
          <w:iCs/>
          <w:color w:val="auto"/>
        </w:rPr>
        <w:t xml:space="preserve"> </w:t>
      </w:r>
      <w:r w:rsidRPr="00D04622">
        <w:rPr>
          <w:rStyle w:val="Instruction"/>
          <w:b w:val="0"/>
          <w:bCs/>
          <w:i w:val="0"/>
          <w:iCs/>
          <w:color w:val="auto"/>
        </w:rPr>
        <w:t>done by phone).</w:t>
      </w:r>
    </w:p>
    <w:p w:rsidR="00B950E1" w:rsidRDefault="00D04622" w:rsidP="00D04622">
      <w:pPr>
        <w:spacing w:line="360" w:lineRule="auto"/>
        <w:rPr>
          <w:rStyle w:val="Instruction"/>
          <w:b w:val="0"/>
          <w:bCs/>
          <w:i w:val="0"/>
          <w:iCs/>
          <w:color w:val="auto"/>
        </w:rPr>
        <w:sectPr w:rsidR="00B950E1">
          <w:pgSz w:w="11907" w:h="16839" w:code="9"/>
          <w:pgMar w:top="1701" w:right="851" w:bottom="2268" w:left="1588" w:header="1134" w:footer="851" w:gutter="0"/>
          <w:cols w:space="720"/>
          <w:docGrid w:linePitch="326"/>
        </w:sectPr>
      </w:pPr>
      <w:r w:rsidRPr="00D04622">
        <w:rPr>
          <w:rStyle w:val="Instruction"/>
          <w:b w:val="0"/>
          <w:bCs/>
          <w:i w:val="0"/>
          <w:iCs/>
          <w:color w:val="auto"/>
        </w:rPr>
        <w:t>Patients have to visit the clinic/institution for investigational product administration and assessments</w:t>
      </w:r>
      <w:r>
        <w:rPr>
          <w:rStyle w:val="Instruction"/>
          <w:b w:val="0"/>
          <w:bCs/>
          <w:i w:val="0"/>
          <w:iCs/>
          <w:color w:val="auto"/>
        </w:rPr>
        <w:t xml:space="preserve"> </w:t>
      </w:r>
      <w:r w:rsidRPr="00D04622">
        <w:rPr>
          <w:rStyle w:val="Instruction"/>
          <w:b w:val="0"/>
          <w:bCs/>
          <w:i w:val="0"/>
          <w:iCs/>
          <w:color w:val="auto"/>
        </w:rPr>
        <w:t xml:space="preserve">according to the Flow Chart and Schedule of Assessments </w:t>
      </w:r>
      <w:r w:rsidR="00B950E1">
        <w:rPr>
          <w:rStyle w:val="Instruction"/>
          <w:b w:val="0"/>
          <w:bCs/>
          <w:i w:val="0"/>
          <w:iCs/>
          <w:color w:val="auto"/>
        </w:rPr>
        <w:t>(see below).</w:t>
      </w:r>
    </w:p>
    <w:tbl>
      <w:tblPr>
        <w:tblW w:w="14220"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15"/>
        <w:gridCol w:w="2076"/>
        <w:gridCol w:w="1110"/>
        <w:gridCol w:w="1031"/>
        <w:gridCol w:w="709"/>
        <w:gridCol w:w="708"/>
        <w:gridCol w:w="709"/>
        <w:gridCol w:w="709"/>
        <w:gridCol w:w="709"/>
        <w:gridCol w:w="992"/>
        <w:gridCol w:w="1134"/>
        <w:gridCol w:w="1134"/>
        <w:gridCol w:w="850"/>
        <w:gridCol w:w="1134"/>
      </w:tblGrid>
      <w:tr w:rsidR="004749F3" w:rsidRPr="003A2024" w:rsidTr="002C7CB9">
        <w:trPr>
          <w:trHeight w:val="631"/>
          <w:tblHeader/>
        </w:trPr>
        <w:tc>
          <w:tcPr>
            <w:tcW w:w="1215" w:type="dxa"/>
            <w:shd w:val="clear" w:color="auto" w:fill="D9D9D9"/>
            <w:vAlign w:val="center"/>
          </w:tcPr>
          <w:p w:rsidR="004749F3" w:rsidRPr="003A2024" w:rsidRDefault="004749F3" w:rsidP="002C7CB9">
            <w:pPr>
              <w:keepNext/>
              <w:jc w:val="center"/>
              <w:rPr>
                <w:b/>
                <w:color w:val="000000"/>
                <w:sz w:val="16"/>
                <w:szCs w:val="16"/>
              </w:rPr>
            </w:pPr>
          </w:p>
        </w:tc>
        <w:tc>
          <w:tcPr>
            <w:tcW w:w="2076" w:type="dxa"/>
            <w:shd w:val="clear" w:color="auto" w:fill="D9D9D9"/>
            <w:vAlign w:val="center"/>
          </w:tcPr>
          <w:p w:rsidR="004749F3" w:rsidRPr="003A2024" w:rsidRDefault="004749F3" w:rsidP="002C7CB9">
            <w:pPr>
              <w:keepNext/>
              <w:jc w:val="center"/>
              <w:rPr>
                <w:b/>
                <w:color w:val="000000"/>
                <w:sz w:val="14"/>
                <w:szCs w:val="14"/>
              </w:rPr>
            </w:pPr>
            <w:r w:rsidRPr="003A2024">
              <w:rPr>
                <w:b/>
                <w:color w:val="000000"/>
                <w:sz w:val="14"/>
                <w:szCs w:val="14"/>
              </w:rPr>
              <w:t>Procedures</w:t>
            </w:r>
          </w:p>
        </w:tc>
        <w:tc>
          <w:tcPr>
            <w:tcW w:w="1110" w:type="dxa"/>
            <w:shd w:val="clear" w:color="auto" w:fill="D9D9D9"/>
            <w:vAlign w:val="center"/>
          </w:tcPr>
          <w:p w:rsidR="004749F3" w:rsidRPr="003A2024" w:rsidRDefault="004749F3" w:rsidP="002C7CB9">
            <w:pPr>
              <w:keepNext/>
              <w:jc w:val="center"/>
              <w:rPr>
                <w:b/>
                <w:color w:val="000000"/>
                <w:sz w:val="14"/>
                <w:szCs w:val="14"/>
              </w:rPr>
            </w:pPr>
            <w:r w:rsidRPr="003A2024">
              <w:rPr>
                <w:b/>
                <w:color w:val="000000"/>
                <w:sz w:val="14"/>
                <w:szCs w:val="14"/>
              </w:rPr>
              <w:t>Screening period *</w:t>
            </w:r>
          </w:p>
        </w:tc>
        <w:tc>
          <w:tcPr>
            <w:tcW w:w="1031" w:type="dxa"/>
            <w:shd w:val="clear" w:color="auto" w:fill="D9D9D9"/>
            <w:vAlign w:val="center"/>
          </w:tcPr>
          <w:p w:rsidR="004749F3" w:rsidRPr="003A2024" w:rsidRDefault="004749F3" w:rsidP="002C7CB9">
            <w:pPr>
              <w:keepNext/>
              <w:rPr>
                <w:b/>
                <w:color w:val="000000"/>
                <w:sz w:val="14"/>
                <w:szCs w:val="14"/>
              </w:rPr>
            </w:pPr>
            <w:r w:rsidRPr="003A2024">
              <w:rPr>
                <w:b/>
                <w:color w:val="000000"/>
                <w:sz w:val="14"/>
                <w:szCs w:val="14"/>
              </w:rPr>
              <w:t>Baseline**</w:t>
            </w:r>
            <w:r>
              <w:rPr>
                <w:b/>
                <w:color w:val="000000"/>
                <w:sz w:val="14"/>
                <w:szCs w:val="14"/>
              </w:rPr>
              <w:t>*</w:t>
            </w:r>
          </w:p>
        </w:tc>
        <w:tc>
          <w:tcPr>
            <w:tcW w:w="3544" w:type="dxa"/>
            <w:gridSpan w:val="5"/>
            <w:shd w:val="clear" w:color="auto" w:fill="D9D9D9"/>
            <w:vAlign w:val="center"/>
          </w:tcPr>
          <w:p w:rsidR="004749F3" w:rsidRPr="003A2024" w:rsidRDefault="004749F3" w:rsidP="002C7CB9">
            <w:pPr>
              <w:keepNext/>
              <w:jc w:val="center"/>
              <w:rPr>
                <w:b/>
                <w:color w:val="000000"/>
                <w:sz w:val="14"/>
                <w:szCs w:val="14"/>
              </w:rPr>
            </w:pPr>
            <w:r w:rsidRPr="003A2024">
              <w:rPr>
                <w:b/>
                <w:color w:val="000000"/>
                <w:sz w:val="14"/>
                <w:szCs w:val="14"/>
              </w:rPr>
              <w:t>Treatment Period</w:t>
            </w:r>
          </w:p>
          <w:p w:rsidR="004749F3" w:rsidRPr="003A2024" w:rsidRDefault="004749F3" w:rsidP="002C7CB9">
            <w:pPr>
              <w:keepNext/>
              <w:jc w:val="center"/>
              <w:rPr>
                <w:b/>
                <w:color w:val="000000"/>
                <w:sz w:val="14"/>
                <w:szCs w:val="14"/>
              </w:rPr>
            </w:pPr>
            <w:r w:rsidRPr="003A2024">
              <w:rPr>
                <w:b/>
                <w:color w:val="000000"/>
                <w:sz w:val="14"/>
                <w:szCs w:val="14"/>
              </w:rPr>
              <w:t>Vaccination every 3 weeks</w:t>
            </w:r>
          </w:p>
        </w:tc>
        <w:tc>
          <w:tcPr>
            <w:tcW w:w="992" w:type="dxa"/>
            <w:shd w:val="clear" w:color="auto" w:fill="D9D9D9"/>
            <w:vAlign w:val="center"/>
          </w:tcPr>
          <w:p w:rsidR="004749F3" w:rsidRPr="003A2024" w:rsidRDefault="004749F3" w:rsidP="002C7CB9">
            <w:pPr>
              <w:keepNext/>
              <w:jc w:val="center"/>
              <w:rPr>
                <w:b/>
                <w:color w:val="000000"/>
                <w:sz w:val="14"/>
                <w:szCs w:val="14"/>
              </w:rPr>
            </w:pPr>
            <w:r w:rsidRPr="003A2024">
              <w:rPr>
                <w:b/>
                <w:color w:val="000000"/>
                <w:sz w:val="14"/>
                <w:szCs w:val="14"/>
              </w:rPr>
              <w:t>Treatment Evaluation</w:t>
            </w:r>
          </w:p>
        </w:tc>
        <w:tc>
          <w:tcPr>
            <w:tcW w:w="2268" w:type="dxa"/>
            <w:gridSpan w:val="2"/>
            <w:shd w:val="clear" w:color="auto" w:fill="D9D9D9"/>
            <w:vAlign w:val="center"/>
          </w:tcPr>
          <w:p w:rsidR="004749F3" w:rsidRPr="003A2024" w:rsidRDefault="004749F3" w:rsidP="002C7CB9">
            <w:pPr>
              <w:keepNext/>
              <w:jc w:val="center"/>
              <w:rPr>
                <w:b/>
                <w:color w:val="000000"/>
                <w:sz w:val="14"/>
                <w:szCs w:val="14"/>
              </w:rPr>
            </w:pPr>
            <w:r w:rsidRPr="003A2024">
              <w:rPr>
                <w:b/>
                <w:color w:val="000000"/>
                <w:sz w:val="14"/>
                <w:szCs w:val="14"/>
              </w:rPr>
              <w:t>Treatment period</w:t>
            </w:r>
          </w:p>
          <w:p w:rsidR="004749F3" w:rsidRPr="003A2024" w:rsidRDefault="004749F3" w:rsidP="002C7CB9">
            <w:pPr>
              <w:keepNext/>
              <w:jc w:val="center"/>
              <w:rPr>
                <w:b/>
                <w:color w:val="000000"/>
                <w:sz w:val="14"/>
                <w:szCs w:val="14"/>
              </w:rPr>
            </w:pPr>
            <w:r w:rsidRPr="003A2024">
              <w:rPr>
                <w:b/>
                <w:color w:val="000000"/>
                <w:sz w:val="14"/>
                <w:szCs w:val="14"/>
              </w:rPr>
              <w:t>Vaccination every 12 weeks</w:t>
            </w:r>
          </w:p>
        </w:tc>
        <w:tc>
          <w:tcPr>
            <w:tcW w:w="850" w:type="dxa"/>
            <w:shd w:val="clear" w:color="auto" w:fill="D9D9D9"/>
            <w:vAlign w:val="center"/>
          </w:tcPr>
          <w:p w:rsidR="004749F3" w:rsidRPr="003A2024" w:rsidRDefault="004749F3" w:rsidP="002C7CB9">
            <w:pPr>
              <w:keepNext/>
              <w:jc w:val="center"/>
              <w:rPr>
                <w:b/>
                <w:color w:val="000000"/>
                <w:sz w:val="14"/>
                <w:szCs w:val="14"/>
              </w:rPr>
            </w:pPr>
            <w:r w:rsidRPr="003A2024">
              <w:rPr>
                <w:b/>
                <w:color w:val="000000"/>
                <w:sz w:val="14"/>
                <w:szCs w:val="14"/>
              </w:rPr>
              <w:t>End of treatment</w:t>
            </w:r>
            <w:r w:rsidRPr="003A2024">
              <w:rPr>
                <w:b/>
                <w:color w:val="000000"/>
                <w:sz w:val="14"/>
                <w:szCs w:val="14"/>
              </w:rPr>
              <w:br/>
              <w:t>(EOT)</w:t>
            </w:r>
          </w:p>
        </w:tc>
        <w:tc>
          <w:tcPr>
            <w:tcW w:w="1134" w:type="dxa"/>
            <w:shd w:val="clear" w:color="auto" w:fill="D9D9D9"/>
            <w:vAlign w:val="center"/>
          </w:tcPr>
          <w:p w:rsidR="004749F3" w:rsidRPr="003A2024" w:rsidRDefault="004749F3" w:rsidP="002C7CB9">
            <w:pPr>
              <w:keepNext/>
              <w:jc w:val="center"/>
              <w:rPr>
                <w:b/>
                <w:color w:val="000000"/>
                <w:sz w:val="14"/>
                <w:szCs w:val="14"/>
              </w:rPr>
            </w:pPr>
            <w:r w:rsidRPr="003A2024">
              <w:rPr>
                <w:b/>
                <w:color w:val="000000"/>
                <w:sz w:val="14"/>
                <w:szCs w:val="14"/>
              </w:rPr>
              <w:t>Post Treatment Follow-Up</w:t>
            </w:r>
            <w:r w:rsidRPr="003A2024">
              <w:rPr>
                <w:b/>
                <w:color w:val="000000"/>
                <w:sz w:val="14"/>
                <w:szCs w:val="14"/>
              </w:rPr>
              <w:br/>
            </w:r>
            <w:r w:rsidRPr="003A2024">
              <w:rPr>
                <w:b/>
                <w:color w:val="000000"/>
                <w:sz w:val="12"/>
                <w:szCs w:val="12"/>
              </w:rPr>
              <w:t>Every 12 weeks</w:t>
            </w:r>
          </w:p>
        </w:tc>
      </w:tr>
      <w:tr w:rsidR="004749F3" w:rsidRPr="003A2024" w:rsidTr="002C7CB9">
        <w:trPr>
          <w:trHeight w:val="423"/>
          <w:tblHeader/>
        </w:trPr>
        <w:tc>
          <w:tcPr>
            <w:tcW w:w="1215" w:type="dxa"/>
            <w:vAlign w:val="center"/>
          </w:tcPr>
          <w:p w:rsidR="004749F3" w:rsidRPr="003A2024" w:rsidRDefault="004749F3" w:rsidP="002C7CB9">
            <w:pPr>
              <w:keepNext/>
              <w:jc w:val="center"/>
              <w:rPr>
                <w:b/>
                <w:color w:val="000000"/>
                <w:sz w:val="16"/>
                <w:szCs w:val="16"/>
              </w:rPr>
            </w:pPr>
            <w:r w:rsidRPr="003A2024">
              <w:rPr>
                <w:b/>
                <w:color w:val="000000"/>
                <w:sz w:val="16"/>
                <w:szCs w:val="16"/>
              </w:rPr>
              <w:t>Time (weeks)</w:t>
            </w:r>
          </w:p>
        </w:tc>
        <w:tc>
          <w:tcPr>
            <w:tcW w:w="2076" w:type="dxa"/>
            <w:shd w:val="clear" w:color="auto" w:fill="D9D9D9"/>
            <w:vAlign w:val="center"/>
          </w:tcPr>
          <w:p w:rsidR="004749F3" w:rsidRPr="003A2024" w:rsidRDefault="004749F3" w:rsidP="002C7CB9">
            <w:pPr>
              <w:keepNext/>
              <w:rPr>
                <w:color w:val="000000"/>
                <w:sz w:val="16"/>
                <w:szCs w:val="16"/>
              </w:rPr>
            </w:pPr>
          </w:p>
        </w:tc>
        <w:tc>
          <w:tcPr>
            <w:tcW w:w="1110" w:type="dxa"/>
            <w:shd w:val="clear" w:color="auto" w:fill="D9D9D9"/>
            <w:vAlign w:val="center"/>
          </w:tcPr>
          <w:p w:rsidR="004749F3" w:rsidRPr="003A2024" w:rsidRDefault="004749F3" w:rsidP="002C7CB9">
            <w:pPr>
              <w:keepNext/>
              <w:jc w:val="center"/>
              <w:rPr>
                <w:color w:val="000000"/>
                <w:sz w:val="14"/>
                <w:szCs w:val="14"/>
              </w:rPr>
            </w:pPr>
            <w:r w:rsidRPr="003A2024">
              <w:rPr>
                <w:color w:val="000000"/>
                <w:sz w:val="14"/>
                <w:szCs w:val="14"/>
              </w:rPr>
              <w:t xml:space="preserve">Up to 3 weeks after last chemotherapy administration </w:t>
            </w:r>
          </w:p>
        </w:tc>
        <w:tc>
          <w:tcPr>
            <w:tcW w:w="1031" w:type="dxa"/>
            <w:shd w:val="clear" w:color="auto" w:fill="D9D9D9"/>
            <w:vAlign w:val="center"/>
          </w:tcPr>
          <w:p w:rsidR="004749F3" w:rsidRPr="003A2024" w:rsidRDefault="004749F3" w:rsidP="002C7CB9">
            <w:pPr>
              <w:keepNext/>
              <w:jc w:val="center"/>
              <w:rPr>
                <w:color w:val="000000"/>
                <w:sz w:val="14"/>
                <w:szCs w:val="14"/>
              </w:rPr>
            </w:pPr>
            <w:r w:rsidRPr="003A2024">
              <w:rPr>
                <w:color w:val="000000"/>
                <w:sz w:val="14"/>
                <w:szCs w:val="14"/>
              </w:rPr>
              <w:t>0</w:t>
            </w:r>
          </w:p>
        </w:tc>
        <w:tc>
          <w:tcPr>
            <w:tcW w:w="709" w:type="dxa"/>
            <w:shd w:val="clear" w:color="auto" w:fill="D9D9D9"/>
            <w:vAlign w:val="center"/>
          </w:tcPr>
          <w:p w:rsidR="004749F3" w:rsidRPr="003A2024" w:rsidRDefault="004749F3" w:rsidP="002C7CB9">
            <w:pPr>
              <w:keepNext/>
              <w:jc w:val="center"/>
              <w:rPr>
                <w:color w:val="000000"/>
                <w:sz w:val="16"/>
                <w:szCs w:val="16"/>
              </w:rPr>
            </w:pPr>
            <w:r w:rsidRPr="003A2024">
              <w:rPr>
                <w:color w:val="000000"/>
                <w:sz w:val="16"/>
                <w:szCs w:val="16"/>
              </w:rPr>
              <w:t>3</w:t>
            </w:r>
          </w:p>
        </w:tc>
        <w:tc>
          <w:tcPr>
            <w:tcW w:w="708" w:type="dxa"/>
            <w:shd w:val="clear" w:color="auto" w:fill="D9D9D9"/>
            <w:vAlign w:val="center"/>
          </w:tcPr>
          <w:p w:rsidR="004749F3" w:rsidRPr="003A2024" w:rsidRDefault="004749F3" w:rsidP="002C7CB9">
            <w:pPr>
              <w:keepNext/>
              <w:jc w:val="center"/>
              <w:rPr>
                <w:color w:val="000000"/>
                <w:sz w:val="16"/>
                <w:szCs w:val="16"/>
              </w:rPr>
            </w:pPr>
            <w:r w:rsidRPr="003A2024">
              <w:rPr>
                <w:color w:val="000000"/>
                <w:sz w:val="16"/>
                <w:szCs w:val="16"/>
              </w:rPr>
              <w:t>6</w:t>
            </w:r>
          </w:p>
        </w:tc>
        <w:tc>
          <w:tcPr>
            <w:tcW w:w="709" w:type="dxa"/>
            <w:shd w:val="clear" w:color="auto" w:fill="D9D9D9"/>
            <w:vAlign w:val="center"/>
          </w:tcPr>
          <w:p w:rsidR="004749F3" w:rsidRPr="003A2024" w:rsidRDefault="004749F3" w:rsidP="002C7CB9">
            <w:pPr>
              <w:keepNext/>
              <w:jc w:val="center"/>
              <w:rPr>
                <w:color w:val="000000"/>
                <w:sz w:val="16"/>
                <w:szCs w:val="16"/>
              </w:rPr>
            </w:pPr>
            <w:r w:rsidRPr="003A2024">
              <w:rPr>
                <w:color w:val="000000"/>
                <w:sz w:val="16"/>
                <w:szCs w:val="16"/>
              </w:rPr>
              <w:t>9</w:t>
            </w:r>
          </w:p>
        </w:tc>
        <w:tc>
          <w:tcPr>
            <w:tcW w:w="709" w:type="dxa"/>
            <w:shd w:val="clear" w:color="auto" w:fill="D9D9D9"/>
            <w:vAlign w:val="center"/>
          </w:tcPr>
          <w:p w:rsidR="004749F3" w:rsidRPr="003A2024" w:rsidRDefault="004749F3" w:rsidP="002C7CB9">
            <w:pPr>
              <w:keepNext/>
              <w:jc w:val="center"/>
              <w:rPr>
                <w:color w:val="000000"/>
                <w:sz w:val="16"/>
                <w:szCs w:val="16"/>
              </w:rPr>
            </w:pPr>
            <w:r w:rsidRPr="003A2024">
              <w:rPr>
                <w:color w:val="000000"/>
                <w:sz w:val="16"/>
                <w:szCs w:val="16"/>
              </w:rPr>
              <w:t>12</w:t>
            </w:r>
          </w:p>
        </w:tc>
        <w:tc>
          <w:tcPr>
            <w:tcW w:w="709" w:type="dxa"/>
            <w:shd w:val="clear" w:color="auto" w:fill="D9D9D9"/>
            <w:vAlign w:val="center"/>
          </w:tcPr>
          <w:p w:rsidR="004749F3" w:rsidRPr="003A2024" w:rsidRDefault="004749F3" w:rsidP="002C7CB9">
            <w:pPr>
              <w:keepNext/>
              <w:jc w:val="center"/>
              <w:rPr>
                <w:color w:val="000000"/>
                <w:sz w:val="16"/>
                <w:szCs w:val="16"/>
              </w:rPr>
            </w:pPr>
            <w:r w:rsidRPr="003A2024">
              <w:rPr>
                <w:color w:val="000000"/>
                <w:sz w:val="16"/>
                <w:szCs w:val="16"/>
              </w:rPr>
              <w:t>15</w:t>
            </w:r>
          </w:p>
        </w:tc>
        <w:tc>
          <w:tcPr>
            <w:tcW w:w="992" w:type="dxa"/>
            <w:shd w:val="clear" w:color="auto" w:fill="D9D9D9"/>
            <w:vAlign w:val="center"/>
          </w:tcPr>
          <w:p w:rsidR="004749F3" w:rsidRPr="003A2024" w:rsidRDefault="004749F3" w:rsidP="002C7CB9">
            <w:pPr>
              <w:keepNext/>
              <w:jc w:val="center"/>
              <w:rPr>
                <w:color w:val="000000"/>
                <w:sz w:val="16"/>
                <w:szCs w:val="16"/>
              </w:rPr>
            </w:pPr>
            <w:r w:rsidRPr="003A2024">
              <w:rPr>
                <w:color w:val="000000"/>
                <w:sz w:val="16"/>
                <w:szCs w:val="16"/>
              </w:rPr>
              <w:t>18 weeks</w:t>
            </w:r>
          </w:p>
        </w:tc>
        <w:tc>
          <w:tcPr>
            <w:tcW w:w="1134" w:type="dxa"/>
            <w:shd w:val="clear" w:color="auto" w:fill="D9D9D9"/>
            <w:vAlign w:val="center"/>
          </w:tcPr>
          <w:p w:rsidR="004749F3" w:rsidRPr="003A2024" w:rsidRDefault="004749F3" w:rsidP="002C7CB9">
            <w:pPr>
              <w:keepNext/>
              <w:jc w:val="center"/>
              <w:rPr>
                <w:color w:val="000000"/>
                <w:sz w:val="16"/>
                <w:szCs w:val="16"/>
              </w:rPr>
            </w:pPr>
            <w:r w:rsidRPr="003A2024">
              <w:rPr>
                <w:color w:val="000000"/>
                <w:sz w:val="16"/>
                <w:szCs w:val="16"/>
              </w:rPr>
              <w:t>27, 52, 75, and every 24 weeks until EOT</w:t>
            </w:r>
          </w:p>
        </w:tc>
        <w:tc>
          <w:tcPr>
            <w:tcW w:w="1134" w:type="dxa"/>
            <w:shd w:val="clear" w:color="auto" w:fill="D9D9D9"/>
            <w:vAlign w:val="center"/>
          </w:tcPr>
          <w:p w:rsidR="004749F3" w:rsidRPr="003A2024" w:rsidRDefault="004749F3" w:rsidP="002C7CB9">
            <w:pPr>
              <w:keepNext/>
              <w:jc w:val="center"/>
              <w:rPr>
                <w:color w:val="000000"/>
                <w:sz w:val="16"/>
                <w:szCs w:val="16"/>
              </w:rPr>
            </w:pPr>
            <w:r w:rsidRPr="003A2024">
              <w:rPr>
                <w:color w:val="000000"/>
                <w:sz w:val="16"/>
                <w:szCs w:val="16"/>
              </w:rPr>
              <w:t>39, 63 and every 24 weeks until EOT</w:t>
            </w:r>
          </w:p>
        </w:tc>
        <w:tc>
          <w:tcPr>
            <w:tcW w:w="850" w:type="dxa"/>
            <w:shd w:val="clear" w:color="auto" w:fill="D9D9D9"/>
            <w:vAlign w:val="center"/>
          </w:tcPr>
          <w:p w:rsidR="004749F3" w:rsidRPr="003A2024" w:rsidRDefault="004749F3" w:rsidP="002C7CB9">
            <w:pPr>
              <w:keepNext/>
              <w:jc w:val="center"/>
              <w:rPr>
                <w:color w:val="000000"/>
                <w:sz w:val="16"/>
                <w:szCs w:val="16"/>
              </w:rPr>
            </w:pPr>
            <w:r w:rsidRPr="003A2024">
              <w:rPr>
                <w:color w:val="000000"/>
                <w:sz w:val="16"/>
                <w:szCs w:val="16"/>
              </w:rPr>
              <w:t>Final visit</w:t>
            </w:r>
          </w:p>
        </w:tc>
        <w:tc>
          <w:tcPr>
            <w:tcW w:w="1134" w:type="dxa"/>
            <w:shd w:val="clear" w:color="auto" w:fill="D9D9D9"/>
            <w:vAlign w:val="center"/>
          </w:tcPr>
          <w:p w:rsidR="004749F3" w:rsidRPr="003A2024" w:rsidRDefault="004749F3" w:rsidP="002C7CB9">
            <w:pPr>
              <w:keepNext/>
              <w:rPr>
                <w:color w:val="000000"/>
                <w:sz w:val="16"/>
                <w:szCs w:val="16"/>
              </w:rPr>
            </w:pPr>
            <w:r w:rsidRPr="003A2024">
              <w:rPr>
                <w:color w:val="000000"/>
                <w:sz w:val="16"/>
                <w:szCs w:val="16"/>
              </w:rPr>
              <w:t>Survival follow-up</w:t>
            </w:r>
          </w:p>
        </w:tc>
      </w:tr>
      <w:tr w:rsidR="004749F3" w:rsidRPr="003A2024" w:rsidTr="002C7CB9">
        <w:trPr>
          <w:trHeight w:val="202"/>
        </w:trPr>
        <w:tc>
          <w:tcPr>
            <w:tcW w:w="1215" w:type="dxa"/>
            <w:shd w:val="clear" w:color="auto" w:fill="D9D9D9"/>
            <w:vAlign w:val="center"/>
          </w:tcPr>
          <w:p w:rsidR="004749F3" w:rsidRPr="003A2024" w:rsidRDefault="004749F3" w:rsidP="002C7CB9">
            <w:pPr>
              <w:keepNext/>
              <w:jc w:val="center"/>
              <w:rPr>
                <w:b/>
                <w:color w:val="000000"/>
                <w:sz w:val="14"/>
                <w:szCs w:val="14"/>
              </w:rPr>
            </w:pPr>
            <w:r w:rsidRPr="003A2024">
              <w:rPr>
                <w:b/>
                <w:color w:val="000000"/>
                <w:sz w:val="14"/>
                <w:szCs w:val="14"/>
              </w:rPr>
              <w:t>Vaccination</w:t>
            </w:r>
          </w:p>
        </w:tc>
        <w:tc>
          <w:tcPr>
            <w:tcW w:w="2076" w:type="dxa"/>
            <w:vAlign w:val="center"/>
          </w:tcPr>
          <w:p w:rsidR="004749F3" w:rsidRPr="003A2024" w:rsidRDefault="004749F3" w:rsidP="002C7CB9">
            <w:pPr>
              <w:keepNext/>
              <w:rPr>
                <w:color w:val="000000"/>
                <w:sz w:val="16"/>
                <w:szCs w:val="16"/>
              </w:rPr>
            </w:pPr>
          </w:p>
        </w:tc>
        <w:tc>
          <w:tcPr>
            <w:tcW w:w="1110" w:type="dxa"/>
            <w:vAlign w:val="center"/>
          </w:tcPr>
          <w:p w:rsidR="004749F3" w:rsidRPr="003A2024" w:rsidRDefault="004749F3" w:rsidP="002C7CB9">
            <w:pPr>
              <w:keepNext/>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b/>
                <w:color w:val="000000"/>
                <w:sz w:val="14"/>
                <w:szCs w:val="14"/>
                <w:vertAlign w:val="subscript"/>
              </w:rPr>
              <w:t>TYR-Vx001</w:t>
            </w:r>
          </w:p>
        </w:tc>
        <w:tc>
          <w:tcPr>
            <w:tcW w:w="709" w:type="dxa"/>
            <w:vAlign w:val="center"/>
          </w:tcPr>
          <w:p w:rsidR="004749F3" w:rsidRPr="003A2024" w:rsidRDefault="004749F3" w:rsidP="002C7CB9">
            <w:pPr>
              <w:keepNext/>
              <w:jc w:val="center"/>
              <w:rPr>
                <w:b/>
                <w:color w:val="000000"/>
                <w:sz w:val="14"/>
                <w:szCs w:val="14"/>
                <w:vertAlign w:val="subscript"/>
              </w:rPr>
            </w:pPr>
            <w:r w:rsidRPr="003A2024">
              <w:rPr>
                <w:b/>
                <w:color w:val="000000"/>
                <w:sz w:val="14"/>
                <w:szCs w:val="14"/>
                <w:vertAlign w:val="subscript"/>
              </w:rPr>
              <w:t>TYR-Vx001</w:t>
            </w:r>
          </w:p>
        </w:tc>
        <w:tc>
          <w:tcPr>
            <w:tcW w:w="708" w:type="dxa"/>
            <w:vAlign w:val="center"/>
          </w:tcPr>
          <w:p w:rsidR="004749F3" w:rsidRPr="003A2024" w:rsidRDefault="004749F3" w:rsidP="002C7CB9">
            <w:pPr>
              <w:keepNext/>
              <w:jc w:val="center"/>
              <w:rPr>
                <w:color w:val="000000"/>
                <w:sz w:val="14"/>
                <w:szCs w:val="14"/>
              </w:rPr>
            </w:pPr>
            <w:r w:rsidRPr="003A2024">
              <w:rPr>
                <w:b/>
                <w:color w:val="000000"/>
                <w:sz w:val="14"/>
                <w:szCs w:val="14"/>
                <w:vertAlign w:val="subscript"/>
              </w:rPr>
              <w:t>ARG-Vx001</w:t>
            </w:r>
          </w:p>
        </w:tc>
        <w:tc>
          <w:tcPr>
            <w:tcW w:w="709" w:type="dxa"/>
            <w:vAlign w:val="center"/>
          </w:tcPr>
          <w:p w:rsidR="004749F3" w:rsidRPr="003A2024" w:rsidRDefault="004749F3" w:rsidP="002C7CB9">
            <w:pPr>
              <w:keepNext/>
              <w:jc w:val="center"/>
              <w:rPr>
                <w:color w:val="000000"/>
                <w:sz w:val="14"/>
                <w:szCs w:val="14"/>
              </w:rPr>
            </w:pPr>
            <w:r w:rsidRPr="003A2024">
              <w:rPr>
                <w:b/>
                <w:color w:val="000000"/>
                <w:sz w:val="14"/>
                <w:szCs w:val="14"/>
                <w:vertAlign w:val="subscript"/>
              </w:rPr>
              <w:t>ARG-Vx001</w:t>
            </w:r>
          </w:p>
        </w:tc>
        <w:tc>
          <w:tcPr>
            <w:tcW w:w="709" w:type="dxa"/>
            <w:shd w:val="clear" w:color="auto" w:fill="FFFFFF"/>
            <w:vAlign w:val="center"/>
          </w:tcPr>
          <w:p w:rsidR="004749F3" w:rsidRPr="003A2024" w:rsidRDefault="004749F3" w:rsidP="002C7CB9">
            <w:pPr>
              <w:keepNext/>
              <w:ind w:right="-4"/>
              <w:jc w:val="center"/>
              <w:rPr>
                <w:color w:val="000000"/>
                <w:sz w:val="14"/>
                <w:szCs w:val="14"/>
              </w:rPr>
            </w:pPr>
            <w:r w:rsidRPr="003A2024">
              <w:rPr>
                <w:b/>
                <w:color w:val="000000"/>
                <w:sz w:val="14"/>
                <w:szCs w:val="14"/>
                <w:vertAlign w:val="subscript"/>
              </w:rPr>
              <w:t>ARG-Vx001</w:t>
            </w:r>
          </w:p>
        </w:tc>
        <w:tc>
          <w:tcPr>
            <w:tcW w:w="709" w:type="dxa"/>
            <w:shd w:val="clear" w:color="auto" w:fill="FFFFFF"/>
            <w:vAlign w:val="center"/>
          </w:tcPr>
          <w:p w:rsidR="004749F3" w:rsidRPr="003A2024" w:rsidRDefault="004749F3" w:rsidP="002C7CB9">
            <w:pPr>
              <w:keepNext/>
              <w:jc w:val="center"/>
              <w:rPr>
                <w:color w:val="000000"/>
                <w:sz w:val="14"/>
                <w:szCs w:val="14"/>
              </w:rPr>
            </w:pPr>
            <w:r w:rsidRPr="003A2024">
              <w:rPr>
                <w:b/>
                <w:color w:val="000000"/>
                <w:sz w:val="14"/>
                <w:szCs w:val="14"/>
                <w:vertAlign w:val="subscript"/>
              </w:rPr>
              <w:t>ARG-Vx001</w:t>
            </w:r>
          </w:p>
        </w:tc>
        <w:tc>
          <w:tcPr>
            <w:tcW w:w="992" w:type="dxa"/>
            <w:vAlign w:val="center"/>
          </w:tcPr>
          <w:p w:rsidR="004749F3" w:rsidRPr="003A2024" w:rsidRDefault="004749F3" w:rsidP="002C7CB9">
            <w:pPr>
              <w:keepNext/>
              <w:jc w:val="center"/>
              <w:rPr>
                <w:color w:val="000000"/>
                <w:sz w:val="14"/>
                <w:szCs w:val="14"/>
              </w:rPr>
            </w:pPr>
          </w:p>
        </w:tc>
        <w:tc>
          <w:tcPr>
            <w:tcW w:w="1134" w:type="dxa"/>
            <w:vAlign w:val="center"/>
          </w:tcPr>
          <w:p w:rsidR="004749F3" w:rsidRPr="003A2024" w:rsidRDefault="004749F3" w:rsidP="002C7CB9">
            <w:pPr>
              <w:keepNext/>
              <w:jc w:val="center"/>
              <w:rPr>
                <w:color w:val="000000"/>
                <w:sz w:val="14"/>
                <w:szCs w:val="14"/>
              </w:rPr>
            </w:pPr>
            <w:r w:rsidRPr="003A2024">
              <w:rPr>
                <w:b/>
                <w:color w:val="000000"/>
                <w:sz w:val="14"/>
                <w:szCs w:val="14"/>
                <w:vertAlign w:val="subscript"/>
              </w:rPr>
              <w:t>ARG-Vx001</w:t>
            </w:r>
          </w:p>
        </w:tc>
        <w:tc>
          <w:tcPr>
            <w:tcW w:w="1134" w:type="dxa"/>
            <w:vAlign w:val="center"/>
          </w:tcPr>
          <w:p w:rsidR="004749F3" w:rsidRPr="003A2024" w:rsidRDefault="004749F3" w:rsidP="002C7CB9">
            <w:pPr>
              <w:keepNext/>
              <w:jc w:val="center"/>
              <w:rPr>
                <w:color w:val="000000"/>
                <w:sz w:val="14"/>
                <w:szCs w:val="14"/>
              </w:rPr>
            </w:pPr>
            <w:r w:rsidRPr="003A2024">
              <w:rPr>
                <w:b/>
                <w:color w:val="000000"/>
                <w:sz w:val="14"/>
                <w:szCs w:val="14"/>
                <w:vertAlign w:val="subscript"/>
              </w:rPr>
              <w:t>ARG-Vx001</w:t>
            </w:r>
          </w:p>
        </w:tc>
        <w:tc>
          <w:tcPr>
            <w:tcW w:w="850" w:type="dxa"/>
            <w:vAlign w:val="center"/>
          </w:tcPr>
          <w:p w:rsidR="004749F3" w:rsidRPr="003A2024" w:rsidRDefault="004749F3" w:rsidP="002C7CB9">
            <w:pPr>
              <w:keepNext/>
              <w:rPr>
                <w:color w:val="000000"/>
                <w:sz w:val="16"/>
                <w:szCs w:val="16"/>
              </w:rPr>
            </w:pPr>
          </w:p>
        </w:tc>
        <w:tc>
          <w:tcPr>
            <w:tcW w:w="1134" w:type="dxa"/>
            <w:vAlign w:val="center"/>
          </w:tcPr>
          <w:p w:rsidR="004749F3" w:rsidRPr="003A2024" w:rsidRDefault="004749F3" w:rsidP="002C7CB9">
            <w:pPr>
              <w:keepNext/>
              <w:rPr>
                <w:color w:val="000000"/>
                <w:sz w:val="16"/>
                <w:szCs w:val="16"/>
              </w:rPr>
            </w:pPr>
          </w:p>
        </w:tc>
      </w:tr>
      <w:tr w:rsidR="004749F3" w:rsidRPr="003A2024" w:rsidTr="002C7CB9">
        <w:trPr>
          <w:cantSplit/>
          <w:trHeight w:val="202"/>
        </w:trPr>
        <w:tc>
          <w:tcPr>
            <w:tcW w:w="1215" w:type="dxa"/>
            <w:vMerge w:val="restart"/>
            <w:shd w:val="clear" w:color="auto" w:fill="D9D9D9"/>
            <w:vAlign w:val="center"/>
          </w:tcPr>
          <w:p w:rsidR="004749F3" w:rsidRPr="003A2024" w:rsidRDefault="004749F3" w:rsidP="002C7CB9">
            <w:pPr>
              <w:keepNext/>
              <w:jc w:val="center"/>
              <w:rPr>
                <w:b/>
                <w:color w:val="000000"/>
                <w:sz w:val="16"/>
                <w:szCs w:val="16"/>
              </w:rPr>
            </w:pPr>
            <w:r w:rsidRPr="003A2024">
              <w:rPr>
                <w:b/>
                <w:color w:val="000000"/>
                <w:sz w:val="16"/>
                <w:szCs w:val="16"/>
              </w:rPr>
              <w:t>Eligibility</w:t>
            </w: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Informed consent</w:t>
            </w:r>
          </w:p>
        </w:tc>
        <w:tc>
          <w:tcPr>
            <w:tcW w:w="111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031" w:type="dxa"/>
            <w:vAlign w:val="center"/>
          </w:tcPr>
          <w:p w:rsidR="004749F3" w:rsidRPr="003A2024" w:rsidRDefault="004749F3" w:rsidP="002C7CB9">
            <w:pPr>
              <w:keepNext/>
              <w:jc w:val="center"/>
              <w:rPr>
                <w:color w:val="000000"/>
                <w:sz w:val="16"/>
                <w:szCs w:val="16"/>
              </w:rPr>
            </w:pPr>
            <w:r>
              <w:rPr>
                <w:color w:val="000000"/>
                <w:sz w:val="16"/>
                <w:szCs w:val="16"/>
              </w:rPr>
              <w:t>X</w:t>
            </w:r>
            <w:r>
              <w:rPr>
                <w:color w:val="000000"/>
                <w:sz w:val="16"/>
                <w:szCs w:val="16"/>
                <w:vertAlign w:val="superscript"/>
              </w:rPr>
              <w:t>1</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Inclusion/exclusion criteria</w:t>
            </w:r>
          </w:p>
        </w:tc>
        <w:tc>
          <w:tcPr>
            <w:tcW w:w="111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Blood sample for HLA typing</w:t>
            </w:r>
          </w:p>
        </w:tc>
        <w:tc>
          <w:tcPr>
            <w:tcW w:w="111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031"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Tumour sample for TERT</w:t>
            </w:r>
            <w:r>
              <w:rPr>
                <w:color w:val="000000"/>
                <w:sz w:val="16"/>
                <w:szCs w:val="18"/>
              </w:rPr>
              <w:t xml:space="preserve"> and biomarker </w:t>
            </w:r>
          </w:p>
        </w:tc>
        <w:tc>
          <w:tcPr>
            <w:tcW w:w="111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031"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 xml:space="preserve">Allocation of </w:t>
            </w:r>
            <w:r>
              <w:rPr>
                <w:color w:val="000000"/>
                <w:sz w:val="16"/>
                <w:szCs w:val="18"/>
              </w:rPr>
              <w:t>IWRS</w:t>
            </w:r>
            <w:r w:rsidRPr="003A2024">
              <w:rPr>
                <w:color w:val="000000"/>
                <w:sz w:val="16"/>
                <w:szCs w:val="18"/>
              </w:rPr>
              <w:t xml:space="preserve"> subject number</w:t>
            </w:r>
          </w:p>
        </w:tc>
        <w:tc>
          <w:tcPr>
            <w:tcW w:w="1110" w:type="dxa"/>
            <w:vAlign w:val="center"/>
          </w:tcPr>
          <w:p w:rsidR="004749F3" w:rsidRPr="003A2024" w:rsidRDefault="004749F3" w:rsidP="002C7CB9">
            <w:pPr>
              <w:keepNext/>
              <w:jc w:val="center"/>
              <w:rPr>
                <w:color w:val="000000"/>
                <w:sz w:val="16"/>
                <w:szCs w:val="16"/>
                <w:lang w:val="fr-FR"/>
              </w:rPr>
            </w:pPr>
            <w:r w:rsidRPr="003A2024">
              <w:rPr>
                <w:color w:val="000000"/>
                <w:sz w:val="16"/>
                <w:szCs w:val="16"/>
                <w:lang w:val="fr-FR"/>
              </w:rPr>
              <w:t>X</w:t>
            </w:r>
          </w:p>
        </w:tc>
        <w:tc>
          <w:tcPr>
            <w:tcW w:w="1031" w:type="dxa"/>
            <w:vAlign w:val="center"/>
          </w:tcPr>
          <w:p w:rsidR="004749F3" w:rsidRPr="003A2024" w:rsidRDefault="004749F3" w:rsidP="002C7CB9">
            <w:pPr>
              <w:keepNext/>
              <w:jc w:val="center"/>
              <w:rPr>
                <w:color w:val="000000"/>
                <w:sz w:val="16"/>
                <w:szCs w:val="16"/>
                <w:lang w:val="fr-FR"/>
              </w:rPr>
            </w:pPr>
          </w:p>
        </w:tc>
        <w:tc>
          <w:tcPr>
            <w:tcW w:w="709" w:type="dxa"/>
            <w:vAlign w:val="center"/>
          </w:tcPr>
          <w:p w:rsidR="004749F3" w:rsidRPr="003A2024" w:rsidRDefault="004749F3" w:rsidP="002C7CB9">
            <w:pPr>
              <w:keepNext/>
              <w:jc w:val="center"/>
              <w:rPr>
                <w:color w:val="000000"/>
                <w:sz w:val="16"/>
                <w:szCs w:val="16"/>
                <w:lang w:val="fr-FR"/>
              </w:rPr>
            </w:pPr>
          </w:p>
        </w:tc>
        <w:tc>
          <w:tcPr>
            <w:tcW w:w="708" w:type="dxa"/>
            <w:vAlign w:val="center"/>
          </w:tcPr>
          <w:p w:rsidR="004749F3" w:rsidRPr="003A2024" w:rsidRDefault="004749F3" w:rsidP="002C7CB9">
            <w:pPr>
              <w:keepNext/>
              <w:jc w:val="center"/>
              <w:rPr>
                <w:color w:val="000000"/>
                <w:sz w:val="16"/>
                <w:szCs w:val="16"/>
                <w:lang w:val="fr-FR"/>
              </w:rPr>
            </w:pPr>
          </w:p>
        </w:tc>
        <w:tc>
          <w:tcPr>
            <w:tcW w:w="709" w:type="dxa"/>
            <w:vAlign w:val="center"/>
          </w:tcPr>
          <w:p w:rsidR="004749F3" w:rsidRPr="003A2024" w:rsidRDefault="004749F3" w:rsidP="002C7CB9">
            <w:pPr>
              <w:keepNext/>
              <w:jc w:val="center"/>
              <w:rPr>
                <w:color w:val="000000"/>
                <w:sz w:val="16"/>
                <w:szCs w:val="16"/>
                <w:lang w:val="fr-FR"/>
              </w:rPr>
            </w:pPr>
          </w:p>
        </w:tc>
        <w:tc>
          <w:tcPr>
            <w:tcW w:w="709" w:type="dxa"/>
            <w:shd w:val="clear" w:color="auto" w:fill="FFFFFF"/>
            <w:vAlign w:val="center"/>
          </w:tcPr>
          <w:p w:rsidR="004749F3" w:rsidRPr="003A2024" w:rsidRDefault="004749F3" w:rsidP="002C7CB9">
            <w:pPr>
              <w:keepNext/>
              <w:jc w:val="center"/>
              <w:rPr>
                <w:color w:val="000000"/>
                <w:sz w:val="16"/>
                <w:szCs w:val="16"/>
                <w:lang w:val="fr-FR"/>
              </w:rPr>
            </w:pPr>
          </w:p>
        </w:tc>
        <w:tc>
          <w:tcPr>
            <w:tcW w:w="709" w:type="dxa"/>
            <w:shd w:val="clear" w:color="auto" w:fill="FFFFFF"/>
            <w:vAlign w:val="center"/>
          </w:tcPr>
          <w:p w:rsidR="004749F3" w:rsidRPr="003A2024" w:rsidRDefault="004749F3" w:rsidP="002C7CB9">
            <w:pPr>
              <w:keepNext/>
              <w:jc w:val="center"/>
              <w:rPr>
                <w:color w:val="000000"/>
                <w:sz w:val="16"/>
                <w:szCs w:val="16"/>
                <w:lang w:val="fr-FR"/>
              </w:rPr>
            </w:pPr>
          </w:p>
        </w:tc>
        <w:tc>
          <w:tcPr>
            <w:tcW w:w="992" w:type="dxa"/>
            <w:vAlign w:val="center"/>
          </w:tcPr>
          <w:p w:rsidR="004749F3" w:rsidRPr="003A2024" w:rsidRDefault="004749F3" w:rsidP="002C7CB9">
            <w:pPr>
              <w:keepNext/>
              <w:jc w:val="center"/>
              <w:rPr>
                <w:color w:val="000000"/>
                <w:sz w:val="16"/>
                <w:szCs w:val="16"/>
                <w:lang w:val="fr-FR"/>
              </w:rPr>
            </w:pPr>
          </w:p>
        </w:tc>
        <w:tc>
          <w:tcPr>
            <w:tcW w:w="1134" w:type="dxa"/>
            <w:vAlign w:val="center"/>
          </w:tcPr>
          <w:p w:rsidR="004749F3" w:rsidRPr="003A2024" w:rsidRDefault="004749F3" w:rsidP="002C7CB9">
            <w:pPr>
              <w:keepNext/>
              <w:jc w:val="center"/>
              <w:rPr>
                <w:color w:val="000000"/>
                <w:sz w:val="16"/>
                <w:szCs w:val="16"/>
                <w:lang w:val="fr-FR"/>
              </w:rPr>
            </w:pPr>
          </w:p>
        </w:tc>
        <w:tc>
          <w:tcPr>
            <w:tcW w:w="1134" w:type="dxa"/>
            <w:vAlign w:val="center"/>
          </w:tcPr>
          <w:p w:rsidR="004749F3" w:rsidRPr="003A2024" w:rsidRDefault="004749F3" w:rsidP="002C7CB9">
            <w:pPr>
              <w:keepNext/>
              <w:jc w:val="center"/>
              <w:rPr>
                <w:color w:val="000000"/>
                <w:sz w:val="16"/>
                <w:szCs w:val="16"/>
                <w:lang w:val="fr-FR"/>
              </w:rPr>
            </w:pPr>
          </w:p>
        </w:tc>
        <w:tc>
          <w:tcPr>
            <w:tcW w:w="850" w:type="dxa"/>
            <w:vAlign w:val="center"/>
          </w:tcPr>
          <w:p w:rsidR="004749F3" w:rsidRPr="003A2024" w:rsidRDefault="004749F3" w:rsidP="002C7CB9">
            <w:pPr>
              <w:keepNext/>
              <w:jc w:val="center"/>
              <w:rPr>
                <w:color w:val="000000"/>
                <w:sz w:val="16"/>
                <w:szCs w:val="16"/>
                <w:lang w:val="fr-FR"/>
              </w:rPr>
            </w:pPr>
          </w:p>
        </w:tc>
        <w:tc>
          <w:tcPr>
            <w:tcW w:w="1134" w:type="dxa"/>
            <w:vAlign w:val="center"/>
          </w:tcPr>
          <w:p w:rsidR="004749F3" w:rsidRPr="003A2024" w:rsidRDefault="004749F3" w:rsidP="002C7CB9">
            <w:pPr>
              <w:keepNext/>
              <w:jc w:val="center"/>
              <w:rPr>
                <w:color w:val="000000"/>
                <w:sz w:val="16"/>
                <w:szCs w:val="16"/>
                <w:lang w:val="fr-FR"/>
              </w:rPr>
            </w:pPr>
          </w:p>
        </w:tc>
      </w:tr>
      <w:tr w:rsidR="004749F3" w:rsidRPr="003A2024" w:rsidTr="002C7CB9">
        <w:trPr>
          <w:trHeight w:val="202"/>
        </w:trPr>
        <w:tc>
          <w:tcPr>
            <w:tcW w:w="1215" w:type="dxa"/>
            <w:shd w:val="clear" w:color="auto" w:fill="D9D9D9"/>
            <w:vAlign w:val="center"/>
          </w:tcPr>
          <w:p w:rsidR="004749F3" w:rsidRPr="003A2024" w:rsidRDefault="004749F3" w:rsidP="002C7CB9">
            <w:pPr>
              <w:keepNext/>
              <w:ind w:right="-82"/>
              <w:jc w:val="center"/>
              <w:rPr>
                <w:b/>
                <w:color w:val="000000"/>
                <w:sz w:val="14"/>
                <w:szCs w:val="14"/>
                <w:lang w:val="fr-FR"/>
              </w:rPr>
            </w:pPr>
            <w:r>
              <w:rPr>
                <w:b/>
                <w:color w:val="000000"/>
                <w:sz w:val="14"/>
                <w:szCs w:val="14"/>
                <w:lang w:val="fr-FR"/>
              </w:rPr>
              <w:t>Randomization</w:t>
            </w:r>
          </w:p>
        </w:tc>
        <w:tc>
          <w:tcPr>
            <w:tcW w:w="2076" w:type="dxa"/>
            <w:vAlign w:val="center"/>
          </w:tcPr>
          <w:p w:rsidR="004749F3" w:rsidRPr="003A2024" w:rsidRDefault="004749F3" w:rsidP="002C7CB9">
            <w:pPr>
              <w:keepNext/>
              <w:rPr>
                <w:color w:val="000000"/>
                <w:sz w:val="16"/>
                <w:szCs w:val="16"/>
                <w:lang w:val="fr-FR"/>
              </w:rPr>
            </w:pPr>
            <w:r>
              <w:rPr>
                <w:color w:val="000000"/>
                <w:sz w:val="16"/>
                <w:szCs w:val="16"/>
                <w:lang w:val="fr-FR"/>
              </w:rPr>
              <w:t>Randomization</w:t>
            </w:r>
          </w:p>
        </w:tc>
        <w:tc>
          <w:tcPr>
            <w:tcW w:w="1110" w:type="dxa"/>
            <w:vAlign w:val="center"/>
          </w:tcPr>
          <w:p w:rsidR="004749F3" w:rsidRPr="003A2024" w:rsidRDefault="004749F3" w:rsidP="002C7CB9">
            <w:pPr>
              <w:keepNext/>
              <w:jc w:val="center"/>
              <w:rPr>
                <w:color w:val="000000"/>
                <w:sz w:val="16"/>
                <w:szCs w:val="16"/>
                <w:lang w:val="fr-FR"/>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trHeight w:val="202"/>
        </w:trPr>
        <w:tc>
          <w:tcPr>
            <w:tcW w:w="1215" w:type="dxa"/>
            <w:shd w:val="clear" w:color="auto" w:fill="D9D9D9"/>
            <w:vAlign w:val="center"/>
          </w:tcPr>
          <w:p w:rsidR="004749F3" w:rsidRPr="003A2024" w:rsidRDefault="004749F3" w:rsidP="002C7CB9">
            <w:pPr>
              <w:keepNext/>
              <w:jc w:val="center"/>
              <w:rPr>
                <w:b/>
                <w:color w:val="000000"/>
                <w:sz w:val="16"/>
                <w:szCs w:val="16"/>
              </w:rPr>
            </w:pPr>
            <w:r w:rsidRPr="003A2024">
              <w:rPr>
                <w:b/>
                <w:color w:val="000000"/>
                <w:sz w:val="16"/>
                <w:szCs w:val="16"/>
              </w:rPr>
              <w:t>Study Drug</w:t>
            </w:r>
          </w:p>
        </w:tc>
        <w:tc>
          <w:tcPr>
            <w:tcW w:w="2076" w:type="dxa"/>
            <w:vAlign w:val="center"/>
          </w:tcPr>
          <w:p w:rsidR="004749F3" w:rsidRPr="003A2024" w:rsidRDefault="004749F3" w:rsidP="002C7CB9">
            <w:pPr>
              <w:keepNext/>
              <w:rPr>
                <w:color w:val="000000"/>
                <w:sz w:val="16"/>
                <w:szCs w:val="16"/>
              </w:rPr>
            </w:pPr>
            <w:r w:rsidRPr="003A2024">
              <w:rPr>
                <w:b/>
                <w:color w:val="000000"/>
                <w:sz w:val="16"/>
                <w:szCs w:val="18"/>
              </w:rPr>
              <w:t>Vx-001</w:t>
            </w:r>
            <w:r w:rsidRPr="003A2024">
              <w:rPr>
                <w:b/>
                <w:color w:val="000000"/>
                <w:sz w:val="16"/>
                <w:szCs w:val="18"/>
                <w:vertAlign w:val="superscript"/>
              </w:rPr>
              <w:t xml:space="preserve"> </w:t>
            </w:r>
            <w:r w:rsidRPr="003A2024">
              <w:rPr>
                <w:b/>
                <w:color w:val="000000"/>
                <w:sz w:val="16"/>
                <w:szCs w:val="18"/>
              </w:rPr>
              <w:t>- Placebo</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8"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val="restart"/>
            <w:shd w:val="clear" w:color="auto" w:fill="D9D9D9"/>
            <w:vAlign w:val="center"/>
          </w:tcPr>
          <w:p w:rsidR="004749F3" w:rsidRPr="003A2024" w:rsidRDefault="004749F3" w:rsidP="002C7CB9">
            <w:pPr>
              <w:keepNext/>
              <w:jc w:val="center"/>
              <w:rPr>
                <w:b/>
                <w:color w:val="000000"/>
                <w:sz w:val="16"/>
                <w:szCs w:val="16"/>
              </w:rPr>
            </w:pPr>
            <w:r w:rsidRPr="003A2024">
              <w:rPr>
                <w:b/>
                <w:color w:val="000000"/>
                <w:sz w:val="16"/>
                <w:szCs w:val="16"/>
              </w:rPr>
              <w:t>Safety</w:t>
            </w: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Urinary pregnancy test</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r w:rsidRPr="003A2024">
              <w:rPr>
                <w:color w:val="000000"/>
                <w:sz w:val="16"/>
                <w:szCs w:val="16"/>
              </w:rPr>
              <w:t>X</w:t>
            </w:r>
            <w:r>
              <w:rPr>
                <w:color w:val="000000"/>
                <w:sz w:val="16"/>
                <w:szCs w:val="16"/>
                <w:vertAlign w:val="superscript"/>
              </w:rPr>
              <w:t>2</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8"/>
              </w:rPr>
            </w:pPr>
            <w:r w:rsidRPr="003A2024">
              <w:rPr>
                <w:color w:val="000000"/>
                <w:sz w:val="16"/>
                <w:szCs w:val="18"/>
              </w:rPr>
              <w:t>Demography, medical and treatment history</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 xml:space="preserve">Physical exam, vital signs </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8"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992"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85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ECOG Performance Status</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Injection-site inspection</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8"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992"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85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8"/>
              </w:rPr>
            </w:pPr>
            <w:r w:rsidRPr="003A2024">
              <w:rPr>
                <w:color w:val="000000"/>
                <w:sz w:val="16"/>
                <w:szCs w:val="18"/>
              </w:rPr>
              <w:t xml:space="preserve">Body weight </w:t>
            </w:r>
          </w:p>
          <w:p w:rsidR="004749F3" w:rsidRPr="003A2024" w:rsidRDefault="004749F3" w:rsidP="002C7CB9">
            <w:pPr>
              <w:keepNext/>
              <w:rPr>
                <w:color w:val="000000"/>
                <w:sz w:val="16"/>
                <w:szCs w:val="16"/>
              </w:rPr>
            </w:pPr>
            <w:r w:rsidRPr="003A2024">
              <w:rPr>
                <w:color w:val="000000"/>
                <w:sz w:val="16"/>
                <w:szCs w:val="18"/>
              </w:rPr>
              <w:t>(height</w:t>
            </w:r>
            <w:r w:rsidRPr="003A2024">
              <w:rPr>
                <w:color w:val="000000"/>
                <w:sz w:val="16"/>
                <w:szCs w:val="18"/>
                <w:vertAlign w:val="superscript"/>
              </w:rPr>
              <w:t xml:space="preserve"> </w:t>
            </w:r>
            <w:r w:rsidRPr="003A2024">
              <w:rPr>
                <w:color w:val="000000"/>
                <w:sz w:val="16"/>
                <w:szCs w:val="18"/>
              </w:rPr>
              <w:t>at baseline)</w:t>
            </w:r>
          </w:p>
        </w:tc>
        <w:tc>
          <w:tcPr>
            <w:tcW w:w="1110" w:type="dxa"/>
            <w:vAlign w:val="center"/>
          </w:tcPr>
          <w:p w:rsidR="004749F3" w:rsidRPr="003A2024" w:rsidRDefault="004749F3" w:rsidP="002C7CB9">
            <w:pPr>
              <w:keepNext/>
              <w:jc w:val="center"/>
              <w:rPr>
                <w:color w:val="000000"/>
                <w:sz w:val="16"/>
                <w:szCs w:val="16"/>
                <w:highlight w:val="yellow"/>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85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12-Lead ECG</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Adverse Events/Toxicity assessments</w:t>
            </w:r>
          </w:p>
        </w:tc>
        <w:tc>
          <w:tcPr>
            <w:tcW w:w="1110" w:type="dxa"/>
            <w:vAlign w:val="center"/>
          </w:tcPr>
          <w:p w:rsidR="004749F3" w:rsidRPr="003A2024" w:rsidRDefault="004749F3" w:rsidP="002C7CB9">
            <w:pPr>
              <w:keepNext/>
              <w:jc w:val="center"/>
              <w:rPr>
                <w:color w:val="000000"/>
                <w:sz w:val="16"/>
                <w:szCs w:val="16"/>
              </w:rPr>
            </w:pPr>
            <w:r>
              <w:rPr>
                <w:color w:val="000000"/>
                <w:sz w:val="16"/>
                <w:szCs w:val="16"/>
              </w:rPr>
              <w:t>X****</w:t>
            </w: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8"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992"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85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Record concomitant medications</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8"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992"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85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Haematology</w:t>
            </w:r>
            <w:r>
              <w:rPr>
                <w:color w:val="000000"/>
                <w:sz w:val="16"/>
                <w:szCs w:val="18"/>
                <w:vertAlign w:val="superscript"/>
              </w:rPr>
              <w:t>3</w:t>
            </w:r>
            <w:r w:rsidRPr="003A2024">
              <w:rPr>
                <w:color w:val="000000"/>
                <w:sz w:val="16"/>
                <w:szCs w:val="18"/>
              </w:rPr>
              <w:t xml:space="preserve"> &amp; clinical chemistry</w:t>
            </w:r>
            <w:r>
              <w:rPr>
                <w:color w:val="000000"/>
                <w:sz w:val="16"/>
                <w:szCs w:val="18"/>
                <w:vertAlign w:val="superscript"/>
              </w:rPr>
              <w:t>4</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r>
              <w:rPr>
                <w:color w:val="000000"/>
                <w:sz w:val="16"/>
                <w:szCs w:val="16"/>
                <w:vertAlign w:val="superscript"/>
              </w:rPr>
              <w:t>6</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85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val="restart"/>
            <w:shd w:val="clear" w:color="auto" w:fill="D9D9D9"/>
            <w:vAlign w:val="center"/>
          </w:tcPr>
          <w:p w:rsidR="004749F3" w:rsidRPr="003A2024" w:rsidRDefault="004749F3" w:rsidP="002C7CB9">
            <w:pPr>
              <w:keepNext/>
              <w:jc w:val="center"/>
              <w:rPr>
                <w:b/>
                <w:color w:val="000000"/>
                <w:sz w:val="16"/>
                <w:szCs w:val="16"/>
              </w:rPr>
            </w:pPr>
            <w:r w:rsidRPr="003A2024">
              <w:rPr>
                <w:b/>
                <w:color w:val="000000"/>
                <w:sz w:val="16"/>
                <w:szCs w:val="16"/>
              </w:rPr>
              <w:t>Efficacy</w:t>
            </w: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Chest /abdomen CT or MRI</w:t>
            </w:r>
          </w:p>
        </w:tc>
        <w:tc>
          <w:tcPr>
            <w:tcW w:w="111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031"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Bone scanning</w:t>
            </w:r>
            <w:r>
              <w:rPr>
                <w:color w:val="000000"/>
                <w:sz w:val="16"/>
                <w:szCs w:val="18"/>
                <w:vertAlign w:val="superscript"/>
              </w:rPr>
              <w:t>5</w:t>
            </w:r>
          </w:p>
        </w:tc>
        <w:tc>
          <w:tcPr>
            <w:tcW w:w="1110"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031"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cantSplit/>
          <w:trHeight w:val="202"/>
        </w:trPr>
        <w:tc>
          <w:tcPr>
            <w:tcW w:w="1215" w:type="dxa"/>
            <w:vMerge/>
            <w:shd w:val="clear" w:color="auto" w:fill="D9D9D9"/>
            <w:vAlign w:val="center"/>
          </w:tcPr>
          <w:p w:rsidR="004749F3" w:rsidRPr="003A2024" w:rsidRDefault="004749F3" w:rsidP="002C7CB9">
            <w:pPr>
              <w:keepNext/>
              <w:jc w:val="center"/>
              <w:rPr>
                <w:b/>
                <w:color w:val="000000"/>
                <w:sz w:val="16"/>
                <w:szCs w:val="16"/>
              </w:rPr>
            </w:pPr>
          </w:p>
        </w:tc>
        <w:tc>
          <w:tcPr>
            <w:tcW w:w="2076" w:type="dxa"/>
            <w:vAlign w:val="center"/>
          </w:tcPr>
          <w:p w:rsidR="004749F3" w:rsidRPr="003A2024" w:rsidRDefault="004749F3" w:rsidP="002C7CB9">
            <w:pPr>
              <w:keepNext/>
              <w:rPr>
                <w:color w:val="000000"/>
                <w:sz w:val="16"/>
                <w:szCs w:val="18"/>
                <w:vertAlign w:val="superscript"/>
              </w:rPr>
            </w:pPr>
            <w:r w:rsidRPr="003A2024">
              <w:rPr>
                <w:color w:val="000000"/>
                <w:sz w:val="16"/>
                <w:szCs w:val="18"/>
              </w:rPr>
              <w:t>Blood sample (immunomonitoring</w:t>
            </w:r>
            <w:r w:rsidRPr="00B3582B">
              <w:rPr>
                <w:color w:val="000000"/>
                <w:sz w:val="16"/>
                <w:szCs w:val="18"/>
              </w:rPr>
              <w:t>)</w:t>
            </w:r>
            <w:r>
              <w:rPr>
                <w:color w:val="000000"/>
                <w:sz w:val="16"/>
                <w:szCs w:val="18"/>
              </w:rPr>
              <w:t xml:space="preserve"> and biomarkers</w:t>
            </w:r>
            <w:r w:rsidRPr="003A2024">
              <w:rPr>
                <w:color w:val="000000"/>
                <w:sz w:val="16"/>
                <w:szCs w:val="18"/>
              </w:rPr>
              <w:t>)</w:t>
            </w:r>
            <w:r>
              <w:rPr>
                <w:color w:val="000000"/>
                <w:sz w:val="16"/>
                <w:szCs w:val="18"/>
                <w:vertAlign w:val="superscript"/>
              </w:rPr>
              <w:t>7</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c>
          <w:tcPr>
            <w:tcW w:w="850" w:type="dxa"/>
            <w:vAlign w:val="center"/>
          </w:tcPr>
          <w:p w:rsidR="004749F3" w:rsidRPr="003A2024" w:rsidRDefault="004749F3" w:rsidP="002C7CB9">
            <w:pPr>
              <w:keepNext/>
              <w:jc w:val="center"/>
              <w:rPr>
                <w:color w:val="000000"/>
                <w:sz w:val="16"/>
                <w:szCs w:val="16"/>
              </w:rPr>
            </w:pPr>
            <w:r>
              <w:rPr>
                <w:color w:val="000000"/>
                <w:sz w:val="16"/>
                <w:szCs w:val="16"/>
              </w:rPr>
              <w:t>X</w:t>
            </w:r>
            <w:r w:rsidRPr="00012F04">
              <w:rPr>
                <w:color w:val="000000"/>
                <w:sz w:val="16"/>
                <w:szCs w:val="16"/>
                <w:vertAlign w:val="superscript"/>
              </w:rPr>
              <w:t>8</w:t>
            </w:r>
          </w:p>
        </w:tc>
        <w:tc>
          <w:tcPr>
            <w:tcW w:w="1134" w:type="dxa"/>
            <w:vAlign w:val="center"/>
          </w:tcPr>
          <w:p w:rsidR="004749F3" w:rsidRPr="003A2024" w:rsidRDefault="004749F3" w:rsidP="002C7CB9">
            <w:pPr>
              <w:keepNext/>
              <w:jc w:val="center"/>
              <w:rPr>
                <w:color w:val="000000"/>
                <w:sz w:val="16"/>
                <w:szCs w:val="16"/>
              </w:rPr>
            </w:pPr>
          </w:p>
        </w:tc>
      </w:tr>
      <w:tr w:rsidR="004749F3" w:rsidRPr="003A2024" w:rsidTr="002C7CB9">
        <w:trPr>
          <w:trHeight w:val="202"/>
        </w:trPr>
        <w:tc>
          <w:tcPr>
            <w:tcW w:w="1215" w:type="dxa"/>
            <w:shd w:val="clear" w:color="auto" w:fill="D9D9D9"/>
            <w:vAlign w:val="center"/>
          </w:tcPr>
          <w:p w:rsidR="004749F3" w:rsidRPr="003A2024" w:rsidRDefault="004749F3" w:rsidP="002C7CB9">
            <w:pPr>
              <w:keepNext/>
              <w:jc w:val="center"/>
              <w:rPr>
                <w:b/>
                <w:color w:val="000000"/>
                <w:sz w:val="16"/>
                <w:szCs w:val="16"/>
              </w:rPr>
            </w:pPr>
            <w:r w:rsidRPr="003A2024">
              <w:rPr>
                <w:b/>
                <w:color w:val="000000"/>
                <w:sz w:val="16"/>
                <w:szCs w:val="16"/>
              </w:rPr>
              <w:t>Survival</w:t>
            </w:r>
          </w:p>
        </w:tc>
        <w:tc>
          <w:tcPr>
            <w:tcW w:w="2076" w:type="dxa"/>
            <w:vAlign w:val="center"/>
          </w:tcPr>
          <w:p w:rsidR="004749F3" w:rsidRPr="003A2024" w:rsidRDefault="004749F3" w:rsidP="002C7CB9">
            <w:pPr>
              <w:keepNext/>
              <w:rPr>
                <w:color w:val="000000"/>
                <w:sz w:val="16"/>
                <w:szCs w:val="16"/>
              </w:rPr>
            </w:pPr>
            <w:r w:rsidRPr="003A2024">
              <w:rPr>
                <w:color w:val="000000"/>
                <w:sz w:val="16"/>
                <w:szCs w:val="18"/>
              </w:rPr>
              <w:t>Record post-study treatments and responses</w:t>
            </w:r>
          </w:p>
        </w:tc>
        <w:tc>
          <w:tcPr>
            <w:tcW w:w="1110" w:type="dxa"/>
            <w:vAlign w:val="center"/>
          </w:tcPr>
          <w:p w:rsidR="004749F3" w:rsidRPr="003A2024" w:rsidRDefault="004749F3" w:rsidP="002C7CB9">
            <w:pPr>
              <w:keepNext/>
              <w:jc w:val="center"/>
              <w:rPr>
                <w:color w:val="000000"/>
                <w:sz w:val="16"/>
                <w:szCs w:val="16"/>
              </w:rPr>
            </w:pPr>
          </w:p>
        </w:tc>
        <w:tc>
          <w:tcPr>
            <w:tcW w:w="1031"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8" w:type="dxa"/>
            <w:vAlign w:val="center"/>
          </w:tcPr>
          <w:p w:rsidR="004749F3" w:rsidRPr="003A2024" w:rsidRDefault="004749F3" w:rsidP="002C7CB9">
            <w:pPr>
              <w:keepNext/>
              <w:jc w:val="center"/>
              <w:rPr>
                <w:color w:val="000000"/>
                <w:sz w:val="16"/>
                <w:szCs w:val="16"/>
              </w:rPr>
            </w:pPr>
          </w:p>
        </w:tc>
        <w:tc>
          <w:tcPr>
            <w:tcW w:w="709" w:type="dxa"/>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709" w:type="dxa"/>
            <w:shd w:val="clear" w:color="auto" w:fill="FFFFFF"/>
            <w:vAlign w:val="center"/>
          </w:tcPr>
          <w:p w:rsidR="004749F3" w:rsidRPr="003A2024" w:rsidRDefault="004749F3" w:rsidP="002C7CB9">
            <w:pPr>
              <w:keepNext/>
              <w:jc w:val="center"/>
              <w:rPr>
                <w:color w:val="000000"/>
                <w:sz w:val="16"/>
                <w:szCs w:val="16"/>
              </w:rPr>
            </w:pPr>
          </w:p>
        </w:tc>
        <w:tc>
          <w:tcPr>
            <w:tcW w:w="992"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p>
        </w:tc>
        <w:tc>
          <w:tcPr>
            <w:tcW w:w="850" w:type="dxa"/>
            <w:vAlign w:val="center"/>
          </w:tcPr>
          <w:p w:rsidR="004749F3" w:rsidRPr="003A2024" w:rsidRDefault="004749F3" w:rsidP="002C7CB9">
            <w:pPr>
              <w:keepNext/>
              <w:jc w:val="center"/>
              <w:rPr>
                <w:color w:val="000000"/>
                <w:sz w:val="16"/>
                <w:szCs w:val="16"/>
              </w:rPr>
            </w:pPr>
          </w:p>
        </w:tc>
        <w:tc>
          <w:tcPr>
            <w:tcW w:w="1134" w:type="dxa"/>
            <w:vAlign w:val="center"/>
          </w:tcPr>
          <w:p w:rsidR="004749F3" w:rsidRPr="003A2024" w:rsidRDefault="004749F3" w:rsidP="002C7CB9">
            <w:pPr>
              <w:keepNext/>
              <w:jc w:val="center"/>
              <w:rPr>
                <w:color w:val="000000"/>
                <w:sz w:val="16"/>
                <w:szCs w:val="16"/>
              </w:rPr>
            </w:pPr>
            <w:r w:rsidRPr="003A2024">
              <w:rPr>
                <w:color w:val="000000"/>
                <w:sz w:val="16"/>
                <w:szCs w:val="16"/>
              </w:rPr>
              <w:t>X</w:t>
            </w:r>
          </w:p>
        </w:tc>
      </w:tr>
    </w:tbl>
    <w:p w:rsidR="00884BCC" w:rsidRPr="004749F3" w:rsidRDefault="00884BCC" w:rsidP="004438B9">
      <w:pPr>
        <w:pStyle w:val="BulletList1"/>
        <w:rPr>
          <w:rStyle w:val="Instruction"/>
          <w:b w:val="0"/>
          <w:bCs/>
          <w:szCs w:val="24"/>
          <w:lang w:val="en-US"/>
        </w:rPr>
        <w:sectPr w:rsidR="00884BCC" w:rsidRPr="004749F3" w:rsidSect="00884BCC">
          <w:pgSz w:w="16839" w:h="11907" w:orient="landscape" w:code="9"/>
          <w:pgMar w:top="1588" w:right="1701" w:bottom="851" w:left="2268" w:header="1134" w:footer="851" w:gutter="0"/>
          <w:cols w:space="720"/>
          <w:docGrid w:linePitch="326"/>
        </w:sectPr>
      </w:pPr>
      <w:r w:rsidRPr="004749F3">
        <w:rPr>
          <w:rStyle w:val="Instruction"/>
          <w:b w:val="0"/>
          <w:bCs/>
          <w:szCs w:val="24"/>
          <w:lang w:val="en-US"/>
        </w:rPr>
        <w:t>.</w:t>
      </w:r>
    </w:p>
    <w:p w:rsidR="00AF3917" w:rsidRDefault="00AF3917" w:rsidP="00596EEB">
      <w:pPr>
        <w:pStyle w:val="1"/>
      </w:pPr>
      <w:bookmarkStart w:id="23" w:name="_Toc36974607"/>
      <w:bookmarkStart w:id="24" w:name="_Ref197786834"/>
      <w:bookmarkStart w:id="25" w:name="_Toc461617823"/>
      <w:bookmarkEnd w:id="19"/>
      <w:r w:rsidRPr="008D610C">
        <w:lastRenderedPageBreak/>
        <w:t xml:space="preserve">Analysis </w:t>
      </w:r>
      <w:bookmarkEnd w:id="23"/>
      <w:r w:rsidR="008D610C">
        <w:t>datasets</w:t>
      </w:r>
      <w:bookmarkEnd w:id="24"/>
      <w:bookmarkEnd w:id="25"/>
    </w:p>
    <w:p w:rsidR="00B81E9C" w:rsidRPr="00B81E9C" w:rsidRDefault="00B81E9C" w:rsidP="00B81E9C">
      <w:pPr>
        <w:spacing w:line="360" w:lineRule="auto"/>
        <w:rPr>
          <w:rStyle w:val="Instruction"/>
          <w:b w:val="0"/>
          <w:bCs/>
          <w:i w:val="0"/>
          <w:iCs/>
          <w:color w:val="auto"/>
        </w:rPr>
      </w:pPr>
      <w:r w:rsidRPr="00B81E9C">
        <w:rPr>
          <w:rStyle w:val="Instruction"/>
          <w:b w:val="0"/>
          <w:bCs/>
          <w:i w:val="0"/>
          <w:iCs/>
          <w:color w:val="auto"/>
        </w:rPr>
        <w:t>The manner in which specific irregularities arising during the study will be dealt with to define the</w:t>
      </w:r>
      <w:r w:rsidR="00B34795">
        <w:rPr>
          <w:rStyle w:val="Instruction"/>
          <w:b w:val="0"/>
          <w:bCs/>
          <w:i w:val="0"/>
          <w:iCs/>
          <w:color w:val="auto"/>
        </w:rPr>
        <w:t xml:space="preserve"> </w:t>
      </w:r>
      <w:r w:rsidRPr="00B81E9C">
        <w:rPr>
          <w:rStyle w:val="Instruction"/>
          <w:b w:val="0"/>
          <w:bCs/>
          <w:i w:val="0"/>
          <w:iCs/>
          <w:color w:val="auto"/>
        </w:rPr>
        <w:t>FAS and PP analysis set (including the classification of deviations/v</w:t>
      </w:r>
      <w:r>
        <w:rPr>
          <w:rStyle w:val="Instruction"/>
          <w:b w:val="0"/>
          <w:bCs/>
          <w:i w:val="0"/>
          <w:iCs/>
          <w:color w:val="auto"/>
        </w:rPr>
        <w:t xml:space="preserve">iolations as “major” and levels </w:t>
      </w:r>
      <w:r w:rsidRPr="00B81E9C">
        <w:rPr>
          <w:rStyle w:val="Instruction"/>
          <w:b w:val="0"/>
          <w:bCs/>
          <w:i w:val="0"/>
          <w:iCs/>
          <w:color w:val="auto"/>
        </w:rPr>
        <w:t>of</w:t>
      </w:r>
      <w:r>
        <w:rPr>
          <w:rStyle w:val="Instruction"/>
          <w:b w:val="0"/>
          <w:bCs/>
          <w:i w:val="0"/>
          <w:iCs/>
          <w:color w:val="auto"/>
        </w:rPr>
        <w:t xml:space="preserve"> </w:t>
      </w:r>
      <w:r w:rsidRPr="00B81E9C">
        <w:rPr>
          <w:rStyle w:val="Instruction"/>
          <w:b w:val="0"/>
          <w:bCs/>
          <w:i w:val="0"/>
          <w:iCs/>
          <w:color w:val="auto"/>
        </w:rPr>
        <w:t xml:space="preserve">treatment compliance as “good”) will be clearly justified and documented </w:t>
      </w:r>
      <w:r w:rsidR="00D84E17">
        <w:rPr>
          <w:rStyle w:val="Instruction"/>
          <w:b w:val="0"/>
          <w:bCs/>
          <w:i w:val="0"/>
          <w:iCs/>
          <w:color w:val="auto"/>
        </w:rPr>
        <w:t xml:space="preserve">in the data-review meeting minutes </w:t>
      </w:r>
      <w:r w:rsidRPr="00B81E9C">
        <w:rPr>
          <w:rStyle w:val="Instruction"/>
          <w:b w:val="0"/>
          <w:bCs/>
          <w:i w:val="0"/>
          <w:iCs/>
          <w:color w:val="auto"/>
        </w:rPr>
        <w:t>prior to treatment</w:t>
      </w:r>
      <w:r>
        <w:rPr>
          <w:rStyle w:val="Instruction"/>
          <w:b w:val="0"/>
          <w:bCs/>
          <w:i w:val="0"/>
          <w:iCs/>
          <w:color w:val="auto"/>
        </w:rPr>
        <w:t xml:space="preserve"> </w:t>
      </w:r>
      <w:r w:rsidRPr="00B81E9C">
        <w:rPr>
          <w:rStyle w:val="Instruction"/>
          <w:b w:val="0"/>
          <w:bCs/>
          <w:i w:val="0"/>
          <w:iCs/>
          <w:color w:val="auto"/>
        </w:rPr>
        <w:t>unblinding and presented in the clinical study report along with a discussion of any potential sources</w:t>
      </w:r>
      <w:r>
        <w:rPr>
          <w:rStyle w:val="Instruction"/>
          <w:b w:val="0"/>
          <w:bCs/>
          <w:i w:val="0"/>
          <w:iCs/>
          <w:color w:val="auto"/>
        </w:rPr>
        <w:t xml:space="preserve"> </w:t>
      </w:r>
      <w:r w:rsidRPr="00B81E9C">
        <w:rPr>
          <w:rStyle w:val="Instruction"/>
          <w:b w:val="0"/>
          <w:bCs/>
          <w:i w:val="0"/>
          <w:iCs/>
          <w:color w:val="auto"/>
        </w:rPr>
        <w:t>of bias.</w:t>
      </w:r>
    </w:p>
    <w:p w:rsidR="000E1143" w:rsidRDefault="000E1143" w:rsidP="003E0021">
      <w:pPr>
        <w:pStyle w:val="2"/>
        <w:spacing w:line="360" w:lineRule="auto"/>
      </w:pPr>
      <w:bookmarkStart w:id="26" w:name="_Ref436226099"/>
      <w:bookmarkStart w:id="27" w:name="_Ref436226104"/>
      <w:bookmarkStart w:id="28" w:name="_Toc461617824"/>
      <w:r>
        <w:t>Reasons for excluding patients from analysis datasets</w:t>
      </w:r>
      <w:bookmarkEnd w:id="26"/>
      <w:bookmarkEnd w:id="27"/>
      <w:bookmarkEnd w:id="28"/>
    </w:p>
    <w:p w:rsidR="0026279B" w:rsidRPr="00E4662C" w:rsidRDefault="003E0021" w:rsidP="003E0021">
      <w:pPr>
        <w:spacing w:line="360" w:lineRule="auto"/>
        <w:rPr>
          <w:sz w:val="24"/>
        </w:rPr>
      </w:pPr>
      <w:r w:rsidRPr="00E4662C">
        <w:rPr>
          <w:sz w:val="24"/>
        </w:rPr>
        <w:t>Protocol deviations will be identified and their list will be finalised prior to the data review. The list of deviations will be prepared by Venn Life Sciences and approved by the sponsor. The sponsor will be responsible for classifying all deviations as either major or minor.</w:t>
      </w:r>
    </w:p>
    <w:p w:rsidR="000E1143" w:rsidRPr="008D610C" w:rsidRDefault="000E1143" w:rsidP="0044651A">
      <w:pPr>
        <w:pStyle w:val="3"/>
        <w:spacing w:line="360" w:lineRule="auto"/>
        <w:rPr>
          <w:rStyle w:val="BoldCharacter"/>
          <w:b/>
        </w:rPr>
      </w:pPr>
      <w:bookmarkStart w:id="29" w:name="_Toc461617825"/>
      <w:r w:rsidRPr="008D610C">
        <w:rPr>
          <w:rStyle w:val="BoldCharacter"/>
          <w:b/>
        </w:rPr>
        <w:t>Major protocol deviations</w:t>
      </w:r>
      <w:bookmarkEnd w:id="29"/>
    </w:p>
    <w:p w:rsidR="00190881" w:rsidRPr="0044651A" w:rsidRDefault="00190881" w:rsidP="0044651A">
      <w:pPr>
        <w:spacing w:line="360" w:lineRule="auto"/>
        <w:rPr>
          <w:rStyle w:val="Instruction"/>
          <w:b w:val="0"/>
          <w:bCs/>
          <w:i w:val="0"/>
          <w:iCs/>
          <w:color w:val="auto"/>
        </w:rPr>
      </w:pPr>
      <w:r w:rsidRPr="0044651A">
        <w:rPr>
          <w:rStyle w:val="Instruction"/>
          <w:b w:val="0"/>
          <w:bCs/>
          <w:i w:val="0"/>
          <w:iCs/>
          <w:color w:val="auto"/>
        </w:rPr>
        <w:t xml:space="preserve">Major protocol deviations are defined as deviations liable to prevent or change the interpretation of the results of the primary efficacy analysis of the study. The following deviations </w:t>
      </w:r>
      <w:r w:rsidR="00D84E17">
        <w:rPr>
          <w:rStyle w:val="Instruction"/>
          <w:b w:val="0"/>
          <w:bCs/>
          <w:i w:val="0"/>
          <w:iCs/>
          <w:color w:val="auto"/>
        </w:rPr>
        <w:t xml:space="preserve">may </w:t>
      </w:r>
      <w:r w:rsidRPr="0044651A">
        <w:rPr>
          <w:rStyle w:val="Instruction"/>
          <w:b w:val="0"/>
          <w:bCs/>
          <w:i w:val="0"/>
          <w:iCs/>
          <w:color w:val="auto"/>
        </w:rPr>
        <w:t>be considered as major (this list is not exhaustive and will be reviewed at the time of the blind review meeting):</w:t>
      </w:r>
    </w:p>
    <w:p w:rsidR="0044651A" w:rsidRDefault="00190881" w:rsidP="001559A5">
      <w:pPr>
        <w:pStyle w:val="ac"/>
        <w:numPr>
          <w:ilvl w:val="0"/>
          <w:numId w:val="15"/>
        </w:numPr>
        <w:spacing w:line="360" w:lineRule="auto"/>
        <w:rPr>
          <w:rStyle w:val="Instruction"/>
          <w:b w:val="0"/>
          <w:bCs/>
          <w:i w:val="0"/>
          <w:iCs/>
          <w:color w:val="auto"/>
        </w:rPr>
      </w:pPr>
      <w:r w:rsidRPr="0044651A">
        <w:rPr>
          <w:rStyle w:val="Instruction"/>
          <w:b w:val="0"/>
          <w:bCs/>
          <w:i w:val="0"/>
          <w:iCs/>
          <w:color w:val="auto"/>
        </w:rPr>
        <w:t>non compliance with the inclusion or non inclusion criteria</w:t>
      </w:r>
    </w:p>
    <w:p w:rsidR="0044651A" w:rsidRDefault="00FE0726" w:rsidP="001559A5">
      <w:pPr>
        <w:pStyle w:val="ac"/>
        <w:numPr>
          <w:ilvl w:val="0"/>
          <w:numId w:val="15"/>
        </w:numPr>
        <w:spacing w:line="360" w:lineRule="auto"/>
        <w:rPr>
          <w:rStyle w:val="Instruction"/>
          <w:b w:val="0"/>
          <w:bCs/>
          <w:i w:val="0"/>
          <w:iCs/>
          <w:color w:val="auto"/>
        </w:rPr>
      </w:pPr>
      <w:r w:rsidRPr="0044651A">
        <w:rPr>
          <w:rStyle w:val="Instruction"/>
          <w:b w:val="0"/>
          <w:bCs/>
          <w:i w:val="0"/>
          <w:iCs/>
          <w:color w:val="auto"/>
        </w:rPr>
        <w:t>non compliance with the randomisation procedure</w:t>
      </w:r>
    </w:p>
    <w:p w:rsidR="0044651A" w:rsidRDefault="00190881" w:rsidP="001559A5">
      <w:pPr>
        <w:pStyle w:val="ac"/>
        <w:numPr>
          <w:ilvl w:val="0"/>
          <w:numId w:val="15"/>
        </w:numPr>
        <w:spacing w:line="360" w:lineRule="auto"/>
        <w:rPr>
          <w:rStyle w:val="Instruction"/>
          <w:b w:val="0"/>
          <w:bCs/>
          <w:i w:val="0"/>
          <w:iCs/>
          <w:color w:val="auto"/>
        </w:rPr>
      </w:pPr>
      <w:r w:rsidRPr="0044651A">
        <w:rPr>
          <w:rStyle w:val="Instruction"/>
          <w:b w:val="0"/>
          <w:bCs/>
          <w:i w:val="0"/>
          <w:iCs/>
          <w:color w:val="auto"/>
        </w:rPr>
        <w:t>non</w:t>
      </w:r>
      <w:r w:rsidR="0044651A">
        <w:rPr>
          <w:rStyle w:val="Instruction"/>
          <w:b w:val="0"/>
          <w:bCs/>
          <w:i w:val="0"/>
          <w:iCs/>
          <w:color w:val="auto"/>
        </w:rPr>
        <w:t xml:space="preserve"> compliance with study treatment</w:t>
      </w:r>
    </w:p>
    <w:p w:rsidR="0044651A" w:rsidRDefault="00190881" w:rsidP="001559A5">
      <w:pPr>
        <w:pStyle w:val="ac"/>
        <w:numPr>
          <w:ilvl w:val="0"/>
          <w:numId w:val="15"/>
        </w:numPr>
        <w:spacing w:line="360" w:lineRule="auto"/>
        <w:rPr>
          <w:rStyle w:val="Instruction"/>
          <w:b w:val="0"/>
          <w:bCs/>
          <w:i w:val="0"/>
          <w:iCs/>
          <w:color w:val="auto"/>
        </w:rPr>
      </w:pPr>
      <w:r w:rsidRPr="0044651A">
        <w:rPr>
          <w:rStyle w:val="Instruction"/>
          <w:b w:val="0"/>
          <w:bCs/>
          <w:i w:val="0"/>
          <w:iCs/>
          <w:color w:val="auto"/>
        </w:rPr>
        <w:t>no post-baseline data for the primary efficacy endpoint</w:t>
      </w:r>
    </w:p>
    <w:p w:rsidR="00190881" w:rsidRPr="0044651A" w:rsidRDefault="00190881" w:rsidP="001559A5">
      <w:pPr>
        <w:pStyle w:val="ac"/>
        <w:numPr>
          <w:ilvl w:val="0"/>
          <w:numId w:val="15"/>
        </w:numPr>
        <w:spacing w:line="360" w:lineRule="auto"/>
        <w:rPr>
          <w:rStyle w:val="Instruction"/>
          <w:b w:val="0"/>
          <w:bCs/>
          <w:i w:val="0"/>
          <w:iCs/>
          <w:color w:val="auto"/>
        </w:rPr>
      </w:pPr>
      <w:r w:rsidRPr="0044651A">
        <w:rPr>
          <w:rStyle w:val="Instruction"/>
          <w:b w:val="0"/>
          <w:bCs/>
          <w:i w:val="0"/>
          <w:iCs/>
          <w:color w:val="auto"/>
        </w:rPr>
        <w:t>intake of forbidden medication</w:t>
      </w:r>
    </w:p>
    <w:p w:rsidR="000E1143" w:rsidRPr="008D610C" w:rsidRDefault="000E1143" w:rsidP="0044651A">
      <w:pPr>
        <w:pStyle w:val="3"/>
        <w:spacing w:line="360" w:lineRule="auto"/>
        <w:rPr>
          <w:rStyle w:val="BoldCharacter"/>
          <w:b/>
        </w:rPr>
      </w:pPr>
      <w:bookmarkStart w:id="30" w:name="_Toc461617826"/>
      <w:r w:rsidRPr="008D610C">
        <w:rPr>
          <w:rStyle w:val="BoldCharacter"/>
          <w:b/>
        </w:rPr>
        <w:t>Minor protocol deviations</w:t>
      </w:r>
      <w:bookmarkEnd w:id="30"/>
      <w:r w:rsidRPr="008D610C">
        <w:rPr>
          <w:rStyle w:val="BoldCharacter"/>
          <w:b/>
        </w:rPr>
        <w:t xml:space="preserve"> </w:t>
      </w:r>
    </w:p>
    <w:p w:rsidR="00233D15" w:rsidRPr="00E4662C" w:rsidRDefault="00233D15" w:rsidP="0044651A">
      <w:pPr>
        <w:spacing w:line="360" w:lineRule="auto"/>
        <w:rPr>
          <w:rStyle w:val="Instruction"/>
          <w:b w:val="0"/>
          <w:i w:val="0"/>
          <w:color w:val="auto"/>
        </w:rPr>
      </w:pPr>
      <w:r w:rsidRPr="00E4662C">
        <w:rPr>
          <w:sz w:val="24"/>
        </w:rPr>
        <w:t xml:space="preserve">All other deviations will, </w:t>
      </w:r>
      <w:r w:rsidRPr="00735129">
        <w:rPr>
          <w:i/>
          <w:sz w:val="24"/>
        </w:rPr>
        <w:t>a priori</w:t>
      </w:r>
      <w:r w:rsidRPr="00E4662C">
        <w:rPr>
          <w:sz w:val="24"/>
        </w:rPr>
        <w:t>, be considered as minor deviations. However, all deviations will be reviewed and adjudicated as either major or minor during the blind review meeting before database lock and code break.</w:t>
      </w:r>
    </w:p>
    <w:p w:rsidR="000E1143" w:rsidRPr="008D610C" w:rsidRDefault="0046177E" w:rsidP="00984ACD">
      <w:pPr>
        <w:pStyle w:val="3"/>
        <w:spacing w:line="360" w:lineRule="auto"/>
        <w:rPr>
          <w:rStyle w:val="BoldCharacter"/>
          <w:b/>
        </w:rPr>
      </w:pPr>
      <w:bookmarkStart w:id="31" w:name="_Toc461617827"/>
      <w:r>
        <w:rPr>
          <w:rStyle w:val="BoldCharacter"/>
          <w:b/>
        </w:rPr>
        <w:lastRenderedPageBreak/>
        <w:t xml:space="preserve">Study treatment discontinuations - </w:t>
      </w:r>
      <w:r w:rsidR="000E1143">
        <w:rPr>
          <w:rStyle w:val="BoldCharacter"/>
          <w:b/>
        </w:rPr>
        <w:t>Study discontinuations</w:t>
      </w:r>
      <w:bookmarkEnd w:id="31"/>
    </w:p>
    <w:p w:rsidR="00984ACD" w:rsidRPr="00E4662C" w:rsidRDefault="00984ACD" w:rsidP="00984ACD">
      <w:pPr>
        <w:spacing w:line="360" w:lineRule="auto"/>
        <w:rPr>
          <w:sz w:val="24"/>
        </w:rPr>
      </w:pPr>
      <w:r w:rsidRPr="00E4662C">
        <w:rPr>
          <w:sz w:val="24"/>
        </w:rPr>
        <w:t>Patients may voluntarily discontinue participation in this study at any time without giving reason(s). The investigator may also, at his/her discretion, withdraw the patient from the study at any time.</w:t>
      </w:r>
    </w:p>
    <w:p w:rsidR="00984ACD" w:rsidRPr="00E4662C" w:rsidRDefault="00984ACD" w:rsidP="00984ACD">
      <w:pPr>
        <w:spacing w:line="360" w:lineRule="auto"/>
        <w:rPr>
          <w:sz w:val="24"/>
        </w:rPr>
      </w:pPr>
      <w:r w:rsidRPr="00E4662C">
        <w:rPr>
          <w:sz w:val="24"/>
        </w:rPr>
        <w:t>The patient may discontinue treatment for one of the following reason:</w:t>
      </w:r>
    </w:p>
    <w:p w:rsidR="00984ACD" w:rsidRPr="00E4662C" w:rsidRDefault="00984ACD" w:rsidP="001559A5">
      <w:pPr>
        <w:pStyle w:val="ac"/>
        <w:numPr>
          <w:ilvl w:val="0"/>
          <w:numId w:val="16"/>
        </w:numPr>
        <w:spacing w:line="360" w:lineRule="auto"/>
        <w:rPr>
          <w:sz w:val="24"/>
        </w:rPr>
      </w:pPr>
      <w:r w:rsidRPr="00E4662C">
        <w:rPr>
          <w:sz w:val="24"/>
        </w:rPr>
        <w:t>Progression assessed by CT scan and according to RECIST criteria,</w:t>
      </w:r>
    </w:p>
    <w:p w:rsidR="00984ACD" w:rsidRPr="00E4662C" w:rsidRDefault="00984ACD" w:rsidP="001559A5">
      <w:pPr>
        <w:pStyle w:val="ac"/>
        <w:numPr>
          <w:ilvl w:val="0"/>
          <w:numId w:val="16"/>
        </w:numPr>
        <w:spacing w:line="360" w:lineRule="auto"/>
        <w:rPr>
          <w:sz w:val="24"/>
        </w:rPr>
      </w:pPr>
      <w:r w:rsidRPr="00E4662C">
        <w:rPr>
          <w:sz w:val="24"/>
        </w:rPr>
        <w:t>Adverse event, including clinical adverse event, unexpected toxicity, clinically significant biological or physical exam abnormality,</w:t>
      </w:r>
    </w:p>
    <w:p w:rsidR="00984ACD" w:rsidRPr="00E4662C" w:rsidRDefault="00984ACD" w:rsidP="001559A5">
      <w:pPr>
        <w:pStyle w:val="ac"/>
        <w:numPr>
          <w:ilvl w:val="0"/>
          <w:numId w:val="16"/>
        </w:numPr>
        <w:spacing w:line="360" w:lineRule="auto"/>
        <w:rPr>
          <w:sz w:val="24"/>
        </w:rPr>
      </w:pPr>
      <w:r w:rsidRPr="00E4662C">
        <w:rPr>
          <w:sz w:val="24"/>
        </w:rPr>
        <w:t>Death, to be considered as an adverse event if it occurred within 4 weeks after a vaccination,</w:t>
      </w:r>
    </w:p>
    <w:p w:rsidR="00984ACD" w:rsidRPr="00E4662C" w:rsidRDefault="00984ACD" w:rsidP="001559A5">
      <w:pPr>
        <w:pStyle w:val="ac"/>
        <w:numPr>
          <w:ilvl w:val="0"/>
          <w:numId w:val="16"/>
        </w:numPr>
        <w:spacing w:line="360" w:lineRule="auto"/>
        <w:rPr>
          <w:sz w:val="24"/>
        </w:rPr>
      </w:pPr>
      <w:r w:rsidRPr="00E4662C">
        <w:rPr>
          <w:sz w:val="24"/>
        </w:rPr>
        <w:t>Major protocol violation,</w:t>
      </w:r>
    </w:p>
    <w:p w:rsidR="00984ACD" w:rsidRPr="00E4662C" w:rsidRDefault="00984ACD" w:rsidP="001559A5">
      <w:pPr>
        <w:pStyle w:val="ac"/>
        <w:numPr>
          <w:ilvl w:val="0"/>
          <w:numId w:val="16"/>
        </w:numPr>
        <w:spacing w:line="360" w:lineRule="auto"/>
        <w:rPr>
          <w:sz w:val="24"/>
        </w:rPr>
      </w:pPr>
      <w:r w:rsidRPr="00E4662C">
        <w:rPr>
          <w:sz w:val="24"/>
        </w:rPr>
        <w:t>Withdrawal of consent,</w:t>
      </w:r>
    </w:p>
    <w:p w:rsidR="00984ACD" w:rsidRPr="00E4662C" w:rsidRDefault="0034053C" w:rsidP="001559A5">
      <w:pPr>
        <w:pStyle w:val="ac"/>
        <w:numPr>
          <w:ilvl w:val="0"/>
          <w:numId w:val="16"/>
        </w:numPr>
        <w:spacing w:line="360" w:lineRule="auto"/>
        <w:rPr>
          <w:sz w:val="24"/>
        </w:rPr>
      </w:pPr>
      <w:r w:rsidRPr="00E4662C">
        <w:rPr>
          <w:sz w:val="24"/>
        </w:rPr>
        <w:t>O</w:t>
      </w:r>
      <w:r w:rsidR="00984ACD" w:rsidRPr="00E4662C">
        <w:rPr>
          <w:sz w:val="24"/>
        </w:rPr>
        <w:t>ther reason.</w:t>
      </w:r>
    </w:p>
    <w:p w:rsidR="00984ACD" w:rsidRPr="00E4662C" w:rsidRDefault="00984ACD" w:rsidP="00984ACD">
      <w:pPr>
        <w:spacing w:line="360" w:lineRule="auto"/>
        <w:rPr>
          <w:sz w:val="24"/>
        </w:rPr>
      </w:pPr>
      <w:r w:rsidRPr="00E4662C">
        <w:rPr>
          <w:sz w:val="24"/>
        </w:rPr>
        <w:t>All patients withdrawn from the study for any reason must undergo a complete final study termination visit and enter in the follow-up period.</w:t>
      </w:r>
    </w:p>
    <w:p w:rsidR="00984ACD" w:rsidRPr="00E4662C" w:rsidRDefault="00984ACD" w:rsidP="00984ACD">
      <w:pPr>
        <w:spacing w:line="360" w:lineRule="auto"/>
        <w:rPr>
          <w:sz w:val="24"/>
        </w:rPr>
      </w:pPr>
      <w:r w:rsidRPr="00E4662C">
        <w:rPr>
          <w:sz w:val="24"/>
        </w:rPr>
        <w:t>If the patient discontinues the study due to a study drug-related adverse event, s/he must be followed weekly until resolution or stabilization of the event, whichever occurs first.</w:t>
      </w:r>
    </w:p>
    <w:p w:rsidR="00984ACD" w:rsidRPr="00E4662C" w:rsidRDefault="00984ACD" w:rsidP="00984ACD">
      <w:pPr>
        <w:spacing w:line="360" w:lineRule="auto"/>
        <w:rPr>
          <w:sz w:val="24"/>
        </w:rPr>
      </w:pPr>
      <w:r w:rsidRPr="00E4662C">
        <w:rPr>
          <w:sz w:val="24"/>
        </w:rPr>
        <w:t xml:space="preserve">Once the patient has discontinued </w:t>
      </w:r>
      <w:r w:rsidR="00D84E17">
        <w:rPr>
          <w:sz w:val="24"/>
        </w:rPr>
        <w:t xml:space="preserve">the </w:t>
      </w:r>
      <w:r w:rsidRPr="00E4662C">
        <w:rPr>
          <w:sz w:val="24"/>
        </w:rPr>
        <w:t xml:space="preserve">investigational treatment, the date of discontinuation and reason(s) must be documented in the patient’s medical records and eCRF. Assessments for the final visit, should be performed. Once a patient discontinues </w:t>
      </w:r>
      <w:r w:rsidR="00D84E17">
        <w:rPr>
          <w:sz w:val="24"/>
        </w:rPr>
        <w:t>the</w:t>
      </w:r>
      <w:r w:rsidR="00D84E17" w:rsidRPr="00E4662C">
        <w:rPr>
          <w:sz w:val="24"/>
        </w:rPr>
        <w:t xml:space="preserve"> </w:t>
      </w:r>
      <w:r w:rsidRPr="00E4662C">
        <w:rPr>
          <w:sz w:val="24"/>
        </w:rPr>
        <w:t xml:space="preserve">randomized therapy, the patient will not be allowed to be retreated with study therapy. After discontinuation of </w:t>
      </w:r>
      <w:r w:rsidR="00D84E17">
        <w:rPr>
          <w:sz w:val="24"/>
        </w:rPr>
        <w:t xml:space="preserve">the </w:t>
      </w:r>
      <w:r w:rsidRPr="00E4662C">
        <w:rPr>
          <w:sz w:val="24"/>
        </w:rPr>
        <w:t>investigational product, all patients will be followed for further anti-cancer treatments and survival until death. Further treatment of the patients may continue according to institutional standard of care.</w:t>
      </w:r>
    </w:p>
    <w:p w:rsidR="00984ACD" w:rsidRPr="00E4662C" w:rsidRDefault="00984ACD" w:rsidP="00984ACD">
      <w:pPr>
        <w:spacing w:line="360" w:lineRule="auto"/>
        <w:rPr>
          <w:sz w:val="24"/>
        </w:rPr>
      </w:pPr>
      <w:r w:rsidRPr="00E4662C">
        <w:rPr>
          <w:sz w:val="24"/>
        </w:rPr>
        <w:t>Every effort will be made by the investigator to ensure that patients who have disease progression will continue to be followed up for the evaluation of the primary endpoint, even though they are no longer receiving investigational product.</w:t>
      </w:r>
    </w:p>
    <w:p w:rsidR="008D610C" w:rsidRPr="008D610C" w:rsidRDefault="008D610C" w:rsidP="00596EEB">
      <w:pPr>
        <w:pStyle w:val="2"/>
      </w:pPr>
      <w:bookmarkStart w:id="32" w:name="_Ref461443453"/>
      <w:bookmarkStart w:id="33" w:name="_Toc461617828"/>
      <w:r>
        <w:t xml:space="preserve">Primary efficacy dataset: </w:t>
      </w:r>
      <w:r w:rsidR="00190881">
        <w:t>Full Analysis Set (FAS)</w:t>
      </w:r>
      <w:bookmarkEnd w:id="32"/>
      <w:bookmarkEnd w:id="33"/>
    </w:p>
    <w:p w:rsidR="00F90560" w:rsidRPr="00E4662C" w:rsidRDefault="00F90560" w:rsidP="00F90560">
      <w:pPr>
        <w:spacing w:line="360" w:lineRule="auto"/>
        <w:rPr>
          <w:sz w:val="24"/>
        </w:rPr>
      </w:pPr>
      <w:r w:rsidRPr="00E4662C">
        <w:rPr>
          <w:sz w:val="24"/>
        </w:rPr>
        <w:t>Full analysis set (FAS) (primary analysis set) – all patients who are randomised to investigational product, excluding:</w:t>
      </w:r>
    </w:p>
    <w:p w:rsidR="00F90560" w:rsidRPr="00E4662C" w:rsidRDefault="00F90560" w:rsidP="001559A5">
      <w:pPr>
        <w:pStyle w:val="ac"/>
        <w:numPr>
          <w:ilvl w:val="0"/>
          <w:numId w:val="17"/>
        </w:numPr>
        <w:spacing w:line="360" w:lineRule="auto"/>
        <w:rPr>
          <w:sz w:val="24"/>
        </w:rPr>
      </w:pPr>
      <w:r w:rsidRPr="00E4662C">
        <w:rPr>
          <w:sz w:val="24"/>
        </w:rPr>
        <w:lastRenderedPageBreak/>
        <w:t>all patients who do not receive at least one dose of investigational product;</w:t>
      </w:r>
    </w:p>
    <w:p w:rsidR="00F90560" w:rsidRDefault="00F90560" w:rsidP="001559A5">
      <w:pPr>
        <w:pStyle w:val="ac"/>
        <w:numPr>
          <w:ilvl w:val="0"/>
          <w:numId w:val="17"/>
        </w:numPr>
        <w:spacing w:line="360" w:lineRule="auto"/>
        <w:rPr>
          <w:sz w:val="24"/>
        </w:rPr>
      </w:pPr>
      <w:r w:rsidRPr="00E4662C">
        <w:rPr>
          <w:sz w:val="24"/>
        </w:rPr>
        <w:t>all patients who violate a major entry criterion;</w:t>
      </w:r>
      <w:r w:rsidR="00064131">
        <w:rPr>
          <w:sz w:val="24"/>
        </w:rPr>
        <w:t xml:space="preserve"> the major entry criteria are defined as follow:</w:t>
      </w:r>
    </w:p>
    <w:p w:rsidR="00064131" w:rsidRDefault="00064131" w:rsidP="00DE5507">
      <w:pPr>
        <w:pStyle w:val="ac"/>
        <w:numPr>
          <w:ilvl w:val="1"/>
          <w:numId w:val="17"/>
        </w:numPr>
        <w:spacing w:line="360" w:lineRule="auto"/>
        <w:rPr>
          <w:sz w:val="24"/>
        </w:rPr>
      </w:pPr>
      <w:r>
        <w:rPr>
          <w:sz w:val="24"/>
        </w:rPr>
        <w:t>Correct diagnosis defined by inclusion criteria</w:t>
      </w:r>
      <w:r w:rsidR="00DE5507">
        <w:rPr>
          <w:sz w:val="24"/>
        </w:rPr>
        <w:t xml:space="preserve"> 2: “</w:t>
      </w:r>
      <w:r w:rsidR="00DE5507" w:rsidRPr="00DE5507">
        <w:rPr>
          <w:sz w:val="24"/>
        </w:rPr>
        <w:t>Documented stage IV NSCLC as defined by IASLC Lung Cancer Staging Project (7th edition) or recurrent stage I-III disease at least 6 months after resection or after the end of adjuvant chemotherapy or after standard locoregional treatment as defined by the American College of Chest Physicians</w:t>
      </w:r>
      <w:r w:rsidR="00DE5507">
        <w:rPr>
          <w:sz w:val="24"/>
        </w:rPr>
        <w:t>”</w:t>
      </w:r>
    </w:p>
    <w:p w:rsidR="00DE5507" w:rsidRDefault="00DE5507" w:rsidP="00DE5507">
      <w:pPr>
        <w:pStyle w:val="ac"/>
        <w:numPr>
          <w:ilvl w:val="1"/>
          <w:numId w:val="17"/>
        </w:numPr>
        <w:spacing w:line="360" w:lineRule="auto"/>
        <w:rPr>
          <w:sz w:val="24"/>
        </w:rPr>
      </w:pPr>
      <w:r>
        <w:rPr>
          <w:sz w:val="24"/>
        </w:rPr>
        <w:t>Disease control after the completion of platinum-based first-line chemotherapy defined by inclusion criteria 3: “</w:t>
      </w:r>
      <w:r w:rsidRPr="00DE5507">
        <w:rPr>
          <w:szCs w:val="22"/>
          <w:lang w:val="en-US"/>
        </w:rPr>
        <w:t>P</w:t>
      </w:r>
      <w:r w:rsidRPr="00DE5507">
        <w:rPr>
          <w:sz w:val="24"/>
        </w:rPr>
        <w:t>atients treated with 4 cycles platinum based 1st line chemotherapy as defined by the American College of Chest Physicians (i.e. radiotherapy are not allowed except palliative radiotherapy of bone metastasis)</w:t>
      </w:r>
      <w:r>
        <w:rPr>
          <w:sz w:val="24"/>
        </w:rPr>
        <w:t>” and inclusion criteria 6: “</w:t>
      </w:r>
      <w:r w:rsidRPr="00DE5507">
        <w:rPr>
          <w:sz w:val="24"/>
        </w:rPr>
        <w:t>CR, PR, or SD according to RECIST criteria after the completion of platinum-based first-line chemotherapy”</w:t>
      </w:r>
    </w:p>
    <w:p w:rsidR="00DE5507" w:rsidRPr="00E4662C" w:rsidRDefault="00DE5507" w:rsidP="00DE5507">
      <w:pPr>
        <w:pStyle w:val="ac"/>
        <w:numPr>
          <w:ilvl w:val="1"/>
          <w:numId w:val="17"/>
        </w:numPr>
        <w:spacing w:line="360" w:lineRule="auto"/>
        <w:rPr>
          <w:sz w:val="24"/>
        </w:rPr>
      </w:pPr>
      <w:r>
        <w:rPr>
          <w:sz w:val="24"/>
        </w:rPr>
        <w:t>Correct laboratory conditions for eligibility of the trial therapy defined by inclusion criteria 4: “</w:t>
      </w:r>
      <w:r w:rsidRPr="00DE5507">
        <w:rPr>
          <w:sz w:val="24"/>
        </w:rPr>
        <w:t>Documented HLA-A*0201 positivity, as determined by a local laboratory”</w:t>
      </w:r>
      <w:r>
        <w:rPr>
          <w:rFonts w:ascii="Garamond" w:hAnsi="Garamond" w:cs="Garamond"/>
          <w:szCs w:val="22"/>
          <w:lang w:val="en-US"/>
        </w:rPr>
        <w:t xml:space="preserve"> </w:t>
      </w:r>
      <w:r w:rsidRPr="00DE5507">
        <w:rPr>
          <w:sz w:val="24"/>
        </w:rPr>
        <w:t>and inclusion criteria 5: “TERT-positive NSCLC, as assessed by a central laboratory; for this, availability of adequate tissue biopsy from the primary tumor, lymph nodes or distant metastases is a prerequisite”</w:t>
      </w:r>
    </w:p>
    <w:p w:rsidR="00F90560" w:rsidRPr="00E4662C" w:rsidRDefault="00F90560" w:rsidP="00F90560">
      <w:pPr>
        <w:spacing w:line="360" w:lineRule="auto"/>
        <w:rPr>
          <w:sz w:val="24"/>
        </w:rPr>
      </w:pPr>
      <w:r w:rsidRPr="00E4662C">
        <w:rPr>
          <w:sz w:val="24"/>
        </w:rPr>
        <w:t xml:space="preserve">Patients in one or more of these 3 categories will only be excluded from the FAS if it can be clearly justified that their exclusion does not introduce bias. </w:t>
      </w:r>
      <w:r w:rsidRPr="00B34795">
        <w:rPr>
          <w:sz w:val="24"/>
        </w:rPr>
        <w:t xml:space="preserve">Patients in the FAS will be analysed according to the treatment administered at the first injection and their correct strata, provided that, in the case where the actual treatment/strata differ from the randomised treatment/strata, </w:t>
      </w:r>
      <w:r w:rsidRPr="00E4662C">
        <w:rPr>
          <w:sz w:val="24"/>
        </w:rPr>
        <w:t>it can be clearly justified that this difference was not influenced by knowledge of the assigned treatment.</w:t>
      </w:r>
    </w:p>
    <w:p w:rsidR="0046177E" w:rsidRDefault="0046177E" w:rsidP="00935685"/>
    <w:p w:rsidR="00AF3917" w:rsidRPr="008D610C" w:rsidRDefault="00AF3917" w:rsidP="00596EEB">
      <w:pPr>
        <w:pStyle w:val="2"/>
      </w:pPr>
      <w:bookmarkStart w:id="34" w:name="_Toc461617829"/>
      <w:r w:rsidRPr="008D610C">
        <w:t>Per-</w:t>
      </w:r>
      <w:r w:rsidR="008C5EE1">
        <w:t>p</w:t>
      </w:r>
      <w:r w:rsidRPr="008D610C">
        <w:t xml:space="preserve">rotocol (PP) </w:t>
      </w:r>
      <w:r w:rsidR="008D610C">
        <w:t>dataset</w:t>
      </w:r>
      <w:bookmarkEnd w:id="34"/>
    </w:p>
    <w:p w:rsidR="00B81E9C" w:rsidRPr="00E4662C" w:rsidRDefault="00B81E9C" w:rsidP="00B81E9C">
      <w:pPr>
        <w:spacing w:line="360" w:lineRule="auto"/>
        <w:rPr>
          <w:sz w:val="24"/>
        </w:rPr>
      </w:pPr>
      <w:r w:rsidRPr="00E4662C">
        <w:rPr>
          <w:sz w:val="24"/>
        </w:rPr>
        <w:t>Per-protocol (PP) analysis – all patients in the FAS who satisfy the following criteria:</w:t>
      </w:r>
    </w:p>
    <w:p w:rsidR="00B81E9C" w:rsidRPr="00E4662C" w:rsidRDefault="00B81E9C" w:rsidP="001559A5">
      <w:pPr>
        <w:pStyle w:val="ac"/>
        <w:numPr>
          <w:ilvl w:val="0"/>
          <w:numId w:val="18"/>
        </w:numPr>
        <w:spacing w:line="360" w:lineRule="auto"/>
        <w:rPr>
          <w:sz w:val="24"/>
        </w:rPr>
      </w:pPr>
      <w:r w:rsidRPr="00E4662C">
        <w:rPr>
          <w:sz w:val="24"/>
        </w:rPr>
        <w:t>no major protocol deviations;</w:t>
      </w:r>
    </w:p>
    <w:p w:rsidR="00B81E9C" w:rsidRPr="00E4662C" w:rsidRDefault="00B81E9C" w:rsidP="001559A5">
      <w:pPr>
        <w:pStyle w:val="ac"/>
        <w:numPr>
          <w:ilvl w:val="0"/>
          <w:numId w:val="18"/>
        </w:numPr>
        <w:spacing w:line="360" w:lineRule="auto"/>
        <w:rPr>
          <w:sz w:val="24"/>
        </w:rPr>
      </w:pPr>
      <w:r w:rsidRPr="00E4662C">
        <w:rPr>
          <w:sz w:val="24"/>
        </w:rPr>
        <w:lastRenderedPageBreak/>
        <w:t>good treatment compliance (early treatment discontinuations will only be considered for exclusion from the PP dataset if the reasons for early treatment discontinuation are unrelated to the assigned treatment).</w:t>
      </w:r>
    </w:p>
    <w:p w:rsidR="008D610C" w:rsidRDefault="008D610C" w:rsidP="00596EEB">
      <w:pPr>
        <w:pStyle w:val="2"/>
      </w:pPr>
      <w:bookmarkStart w:id="35" w:name="_Toc36974609"/>
      <w:bookmarkStart w:id="36" w:name="_Toc461617830"/>
      <w:r w:rsidRPr="008D610C">
        <w:t xml:space="preserve">Safety </w:t>
      </w:r>
      <w:bookmarkEnd w:id="35"/>
      <w:r w:rsidRPr="008D610C">
        <w:t>(SAF)</w:t>
      </w:r>
      <w:r>
        <w:t xml:space="preserve"> dataset</w:t>
      </w:r>
      <w:bookmarkEnd w:id="36"/>
    </w:p>
    <w:p w:rsidR="000B7ECE" w:rsidRPr="00E4662C" w:rsidRDefault="000B7ECE" w:rsidP="000B7ECE">
      <w:pPr>
        <w:spacing w:line="360" w:lineRule="auto"/>
        <w:rPr>
          <w:sz w:val="24"/>
        </w:rPr>
      </w:pPr>
      <w:r w:rsidRPr="00E4662C">
        <w:rPr>
          <w:sz w:val="24"/>
        </w:rPr>
        <w:t>The safety dataset will include all patients who receive</w:t>
      </w:r>
      <w:r w:rsidR="00D84E17">
        <w:rPr>
          <w:sz w:val="24"/>
        </w:rPr>
        <w:t>d</w:t>
      </w:r>
      <w:r w:rsidRPr="00E4662C">
        <w:rPr>
          <w:sz w:val="24"/>
        </w:rPr>
        <w:t xml:space="preserve"> at least one injection of investigational product.</w:t>
      </w:r>
    </w:p>
    <w:p w:rsidR="000B7ECE" w:rsidRPr="00E4662C" w:rsidRDefault="000B7ECE" w:rsidP="000B7ECE">
      <w:pPr>
        <w:spacing w:line="360" w:lineRule="auto"/>
        <w:rPr>
          <w:sz w:val="24"/>
        </w:rPr>
      </w:pPr>
      <w:r w:rsidRPr="00E4662C">
        <w:rPr>
          <w:sz w:val="24"/>
        </w:rPr>
        <w:t>In the event of subjects having received treatments that differed from those assigned according to the randomisation schedule, then the safety analyses should be conducted according to the treatment actually received (As Treated analysis) rather than according to the randomisation groups.</w:t>
      </w:r>
    </w:p>
    <w:p w:rsidR="00AF3917" w:rsidRDefault="00133EE1" w:rsidP="00596EEB">
      <w:pPr>
        <w:pStyle w:val="1"/>
      </w:pPr>
      <w:bookmarkStart w:id="37" w:name="_Ref397439559"/>
      <w:bookmarkStart w:id="38" w:name="_Toc461617831"/>
      <w:r>
        <w:t>Endpoint</w:t>
      </w:r>
      <w:r w:rsidR="00AF3917" w:rsidRPr="008D610C">
        <w:t>s</w:t>
      </w:r>
      <w:bookmarkEnd w:id="37"/>
      <w:r>
        <w:t xml:space="preserve"> for analysis</w:t>
      </w:r>
      <w:bookmarkEnd w:id="38"/>
    </w:p>
    <w:p w:rsidR="002077CD" w:rsidRPr="008D610C" w:rsidRDefault="002077CD" w:rsidP="00133EE1">
      <w:pPr>
        <w:pStyle w:val="2"/>
      </w:pPr>
      <w:bookmarkStart w:id="39" w:name="_Toc36974597"/>
      <w:bookmarkStart w:id="40" w:name="_Toc461617832"/>
      <w:bookmarkStart w:id="41" w:name="_Toc36974594"/>
      <w:r w:rsidRPr="008D610C">
        <w:t xml:space="preserve">Efficacy </w:t>
      </w:r>
      <w:r w:rsidR="00133EE1">
        <w:t>endpoint</w:t>
      </w:r>
      <w:r w:rsidRPr="008D610C">
        <w:t>s</w:t>
      </w:r>
      <w:bookmarkEnd w:id="39"/>
      <w:bookmarkEnd w:id="40"/>
    </w:p>
    <w:p w:rsidR="002077CD" w:rsidRDefault="002077CD" w:rsidP="00A6740A">
      <w:pPr>
        <w:pStyle w:val="3"/>
        <w:spacing w:line="360" w:lineRule="auto"/>
      </w:pPr>
      <w:bookmarkStart w:id="42" w:name="_Ref397527935"/>
      <w:bookmarkStart w:id="43" w:name="_Toc461617833"/>
      <w:r w:rsidRPr="008D610C">
        <w:t xml:space="preserve">Primary efficacy </w:t>
      </w:r>
      <w:r w:rsidR="00133EE1">
        <w:t>en</w:t>
      </w:r>
      <w:r w:rsidR="003C03D1">
        <w:t>d</w:t>
      </w:r>
      <w:r w:rsidR="00133EE1">
        <w:t>point</w:t>
      </w:r>
      <w:r w:rsidRPr="008D610C">
        <w:t>(s)</w:t>
      </w:r>
      <w:bookmarkEnd w:id="42"/>
      <w:bookmarkEnd w:id="43"/>
    </w:p>
    <w:p w:rsidR="00E85D2E" w:rsidRPr="00E4662C" w:rsidRDefault="00F4447C" w:rsidP="002A5F2A">
      <w:pPr>
        <w:spacing w:line="360" w:lineRule="auto"/>
        <w:rPr>
          <w:sz w:val="24"/>
        </w:rPr>
      </w:pPr>
      <w:r w:rsidRPr="00E4662C">
        <w:rPr>
          <w:sz w:val="24"/>
        </w:rPr>
        <w:t>The primary endpoint of the study is the overall survival. Overall survival is defined as the time from the date of randomisation to the date of death.</w:t>
      </w:r>
    </w:p>
    <w:p w:rsidR="00F4447C" w:rsidRPr="00E85D2E" w:rsidRDefault="00F4447C" w:rsidP="00E85D2E"/>
    <w:p w:rsidR="002077CD" w:rsidRDefault="002077CD" w:rsidP="002A5F2A">
      <w:pPr>
        <w:pStyle w:val="3"/>
        <w:spacing w:line="360" w:lineRule="auto"/>
      </w:pPr>
      <w:bookmarkStart w:id="44" w:name="_Toc461617834"/>
      <w:r w:rsidRPr="008D610C">
        <w:t xml:space="preserve">Secondary efficacy </w:t>
      </w:r>
      <w:r w:rsidR="003C03D1">
        <w:t>endpoint</w:t>
      </w:r>
      <w:r w:rsidRPr="008D610C">
        <w:t>s</w:t>
      </w:r>
      <w:bookmarkEnd w:id="44"/>
    </w:p>
    <w:p w:rsidR="00817186" w:rsidRPr="00F4447C" w:rsidRDefault="00F4447C" w:rsidP="002A5F2A">
      <w:pPr>
        <w:spacing w:line="360" w:lineRule="auto"/>
      </w:pPr>
      <w:r w:rsidRPr="00F4447C">
        <w:t>Secondary endpoints of the study are:</w:t>
      </w:r>
    </w:p>
    <w:p w:rsidR="00F4447C" w:rsidRPr="00F4447C" w:rsidRDefault="00F4447C" w:rsidP="001559A5">
      <w:pPr>
        <w:pStyle w:val="ac"/>
        <w:numPr>
          <w:ilvl w:val="0"/>
          <w:numId w:val="21"/>
        </w:numPr>
        <w:spacing w:line="360" w:lineRule="auto"/>
      </w:pPr>
      <w:r w:rsidRPr="00F4447C">
        <w:t>Survival rate at 12 months</w:t>
      </w:r>
    </w:p>
    <w:p w:rsidR="00F4447C" w:rsidRPr="00F4447C" w:rsidRDefault="00F4447C" w:rsidP="001559A5">
      <w:pPr>
        <w:pStyle w:val="ac"/>
        <w:numPr>
          <w:ilvl w:val="0"/>
          <w:numId w:val="21"/>
        </w:numPr>
        <w:spacing w:line="360" w:lineRule="auto"/>
      </w:pPr>
      <w:r w:rsidRPr="00F4447C">
        <w:t>Time to Treatment failure</w:t>
      </w:r>
    </w:p>
    <w:p w:rsidR="002077CD" w:rsidRDefault="002077CD" w:rsidP="003C03D1">
      <w:pPr>
        <w:pStyle w:val="2"/>
      </w:pPr>
      <w:bookmarkStart w:id="45" w:name="_Toc36974598"/>
      <w:bookmarkStart w:id="46" w:name="_Toc461617835"/>
      <w:r w:rsidRPr="008D610C">
        <w:t xml:space="preserve">Safety </w:t>
      </w:r>
      <w:r w:rsidR="003C03D1">
        <w:t>endpoint</w:t>
      </w:r>
      <w:r w:rsidRPr="008D610C">
        <w:t>s</w:t>
      </w:r>
      <w:bookmarkEnd w:id="45"/>
      <w:bookmarkEnd w:id="46"/>
    </w:p>
    <w:p w:rsidR="00F4447C" w:rsidRPr="002A5F2A" w:rsidRDefault="00B946E4" w:rsidP="002A5F2A">
      <w:pPr>
        <w:spacing w:line="360" w:lineRule="auto"/>
      </w:pPr>
      <w:r w:rsidRPr="002A5F2A">
        <w:t>The safety and tolerability will be evaluated by the monitoring of physical examinations, vital signs, electrocardiogram, the occurrence of AEs and SAEs, ECOG performance status, clinical laboratory evaluation and concomitant medication.</w:t>
      </w:r>
    </w:p>
    <w:p w:rsidR="002077CD" w:rsidRDefault="002077CD" w:rsidP="00A329C4">
      <w:pPr>
        <w:pStyle w:val="3"/>
        <w:spacing w:line="360" w:lineRule="auto"/>
      </w:pPr>
      <w:bookmarkStart w:id="47" w:name="_Toc461617836"/>
      <w:r w:rsidRPr="008D610C">
        <w:lastRenderedPageBreak/>
        <w:t>Adverse events</w:t>
      </w:r>
      <w:bookmarkEnd w:id="47"/>
    </w:p>
    <w:p w:rsidR="00A329C4" w:rsidRPr="00A329C4" w:rsidRDefault="00A329C4" w:rsidP="00A329C4">
      <w:pPr>
        <w:spacing w:line="360" w:lineRule="auto"/>
      </w:pPr>
      <w:r w:rsidRPr="00A329C4">
        <w:t>Any untoward medical occurrence in a patient or clinical investigation patient administered a pharmaceutical product and which does not necessarily have to have a causal relationship with this treatment.</w:t>
      </w:r>
      <w:r>
        <w:t xml:space="preserve"> </w:t>
      </w:r>
    </w:p>
    <w:p w:rsidR="00A329C4" w:rsidRPr="00A329C4" w:rsidRDefault="00A329C4" w:rsidP="00A329C4">
      <w:pPr>
        <w:spacing w:line="360" w:lineRule="auto"/>
      </w:pPr>
      <w:r w:rsidRPr="00A329C4">
        <w:t>An</w:t>
      </w:r>
      <w:r>
        <w:t xml:space="preserve"> </w:t>
      </w:r>
      <w:r w:rsidRPr="002A5F2A">
        <w:t>Adverse event</w:t>
      </w:r>
      <w:r w:rsidRPr="00A329C4">
        <w:t xml:space="preserve"> </w:t>
      </w:r>
      <w:r>
        <w:t>(</w:t>
      </w:r>
      <w:r w:rsidRPr="00A329C4">
        <w:t>AE</w:t>
      </w:r>
      <w:r>
        <w:t>)</w:t>
      </w:r>
      <w:r w:rsidRPr="00A329C4">
        <w:t xml:space="preserve"> can therefore be any unfavorable and unintended sign (including an abnormal laboratory finding), symptom, or disease (new or exacerbated) temporally associated with the use of a medicinal product, whether or not considered related to the medicinal product.</w:t>
      </w:r>
      <w:r>
        <w:t xml:space="preserve"> The</w:t>
      </w:r>
      <w:r w:rsidRPr="00A329C4">
        <w:t xml:space="preserve"> events occurring during pre-and post-treatment periods will also be</w:t>
      </w:r>
      <w:r>
        <w:t xml:space="preserve"> </w:t>
      </w:r>
      <w:r w:rsidRPr="00A329C4">
        <w:t>designated as AE</w:t>
      </w:r>
      <w:r>
        <w:t xml:space="preserve">s. Therefore, reporting of such </w:t>
      </w:r>
      <w:r w:rsidRPr="00A329C4">
        <w:t>events, AEs and SAEs, will commence when the</w:t>
      </w:r>
      <w:r>
        <w:t xml:space="preserve"> </w:t>
      </w:r>
      <w:r w:rsidRPr="00A329C4">
        <w:t>patient is enrolled into the study (date of signature of the informed consent) up until 4 weeks after</w:t>
      </w:r>
      <w:r>
        <w:t xml:space="preserve"> </w:t>
      </w:r>
      <w:r w:rsidRPr="00A329C4">
        <w:t>the end of the treatment visits.</w:t>
      </w:r>
    </w:p>
    <w:p w:rsidR="00A329C4" w:rsidRDefault="002A5F2A" w:rsidP="002A5F2A">
      <w:pPr>
        <w:spacing w:line="360" w:lineRule="auto"/>
      </w:pPr>
      <w:r w:rsidRPr="002A5F2A">
        <w:t xml:space="preserve">Adverse events (AE) will be coded using the latest available version of the Medical Dictionary for Regulatory Activities (MedDRA) and will be classified by MedDRA Preferred Term (PT) and System Organ Class (SOC). </w:t>
      </w:r>
    </w:p>
    <w:p w:rsidR="00A329C4" w:rsidRDefault="00A329C4" w:rsidP="002A5F2A">
      <w:pPr>
        <w:spacing w:line="360" w:lineRule="auto"/>
      </w:pPr>
    </w:p>
    <w:p w:rsidR="002A5F2A" w:rsidRPr="002A5F2A" w:rsidRDefault="002A5F2A" w:rsidP="002A5F2A">
      <w:pPr>
        <w:spacing w:line="360" w:lineRule="auto"/>
      </w:pPr>
      <w:r w:rsidRPr="002A5F2A">
        <w:t xml:space="preserve">Treatment Emergent Adverse Events (TEAE) will be defined as any adverse event that occur or worsen after the start of the study treatment </w:t>
      </w:r>
      <w:r w:rsidRPr="00735129">
        <w:rPr>
          <w:i/>
        </w:rPr>
        <w:t>i.e.:</w:t>
      </w:r>
      <w:r w:rsidRPr="002A5F2A">
        <w:t xml:space="preserve"> </w:t>
      </w:r>
    </w:p>
    <w:p w:rsidR="002A5F2A" w:rsidRPr="002A5F2A" w:rsidRDefault="002A5F2A" w:rsidP="001559A5">
      <w:pPr>
        <w:pStyle w:val="ac"/>
        <w:numPr>
          <w:ilvl w:val="0"/>
          <w:numId w:val="22"/>
        </w:numPr>
        <w:spacing w:line="360" w:lineRule="auto"/>
      </w:pPr>
      <w:r w:rsidRPr="002A5F2A">
        <w:t xml:space="preserve">An AE that was not present prior to receiving the </w:t>
      </w:r>
      <w:r w:rsidR="00F92127">
        <w:t>beginning of study treatment</w:t>
      </w:r>
      <w:r w:rsidRPr="002A5F2A">
        <w:t xml:space="preserve">, or </w:t>
      </w:r>
    </w:p>
    <w:p w:rsidR="002A5F2A" w:rsidRPr="002A5F2A" w:rsidRDefault="002A5F2A" w:rsidP="001559A5">
      <w:pPr>
        <w:pStyle w:val="ac"/>
        <w:numPr>
          <w:ilvl w:val="0"/>
          <w:numId w:val="22"/>
        </w:numPr>
        <w:spacing w:line="360" w:lineRule="auto"/>
      </w:pPr>
      <w:r w:rsidRPr="002A5F2A">
        <w:t xml:space="preserve">An AE that was present prior to receiving </w:t>
      </w:r>
      <w:r w:rsidR="00F92127">
        <w:t>beginning of study treatment</w:t>
      </w:r>
      <w:r w:rsidR="00F92127" w:rsidRPr="002A5F2A">
        <w:t xml:space="preserve"> </w:t>
      </w:r>
      <w:r w:rsidR="00F92127" w:rsidRPr="00F92127">
        <w:t>but which made the condition worse a</w:t>
      </w:r>
      <w:r w:rsidR="00F92127">
        <w:t>fter the study treatment started.</w:t>
      </w:r>
    </w:p>
    <w:p w:rsidR="002A5F2A" w:rsidRPr="002A5F2A" w:rsidRDefault="002A5F2A" w:rsidP="002A5F2A">
      <w:pPr>
        <w:spacing w:line="360" w:lineRule="auto"/>
      </w:pPr>
    </w:p>
    <w:p w:rsidR="002A5F2A" w:rsidRPr="004F636E" w:rsidRDefault="002A5F2A" w:rsidP="002A5F2A">
      <w:pPr>
        <w:spacing w:line="360" w:lineRule="auto"/>
      </w:pPr>
      <w:r w:rsidRPr="004F636E">
        <w:t xml:space="preserve">Serious adverse events (SAE) are those AE that put the life of the patient at risk or that cause serious or permanent damage to the patient's health. An AE is to be recorded and reported as SAE in the event of any of the following: </w:t>
      </w:r>
    </w:p>
    <w:p w:rsidR="002A5F2A" w:rsidRPr="002A5F2A" w:rsidRDefault="002A5F2A" w:rsidP="001559A5">
      <w:pPr>
        <w:pStyle w:val="ac"/>
        <w:numPr>
          <w:ilvl w:val="0"/>
          <w:numId w:val="23"/>
        </w:numPr>
        <w:spacing w:line="360" w:lineRule="auto"/>
      </w:pPr>
      <w:r w:rsidRPr="002A5F2A">
        <w:t xml:space="preserve">AE results in death </w:t>
      </w:r>
    </w:p>
    <w:p w:rsidR="002A5F2A" w:rsidRPr="002A5F2A" w:rsidRDefault="002A5F2A" w:rsidP="001559A5">
      <w:pPr>
        <w:pStyle w:val="ac"/>
        <w:numPr>
          <w:ilvl w:val="0"/>
          <w:numId w:val="23"/>
        </w:numPr>
        <w:spacing w:line="360" w:lineRule="auto"/>
      </w:pPr>
      <w:r w:rsidRPr="002A5F2A">
        <w:t xml:space="preserve">AE is life-threatening </w:t>
      </w:r>
    </w:p>
    <w:p w:rsidR="002A5F2A" w:rsidRPr="002A5F2A" w:rsidRDefault="002A5F2A" w:rsidP="001559A5">
      <w:pPr>
        <w:pStyle w:val="ac"/>
        <w:numPr>
          <w:ilvl w:val="0"/>
          <w:numId w:val="23"/>
        </w:numPr>
        <w:spacing w:line="360" w:lineRule="auto"/>
      </w:pPr>
      <w:r w:rsidRPr="002A5F2A">
        <w:t xml:space="preserve">AE </w:t>
      </w:r>
      <w:r>
        <w:t>requires</w:t>
      </w:r>
      <w:r w:rsidRPr="002A5F2A">
        <w:t xml:space="preserve"> hospitalisation or prolong</w:t>
      </w:r>
      <w:r>
        <w:t>ation</w:t>
      </w:r>
      <w:r w:rsidRPr="002A5F2A">
        <w:t xml:space="preserve"> </w:t>
      </w:r>
      <w:r>
        <w:t>of</w:t>
      </w:r>
      <w:r w:rsidRPr="002A5F2A">
        <w:t xml:space="preserve"> existing hospitalisation </w:t>
      </w:r>
    </w:p>
    <w:p w:rsidR="002A5F2A" w:rsidRPr="002A5F2A" w:rsidRDefault="002A5F2A" w:rsidP="001559A5">
      <w:pPr>
        <w:pStyle w:val="ac"/>
        <w:numPr>
          <w:ilvl w:val="0"/>
          <w:numId w:val="23"/>
        </w:numPr>
        <w:spacing w:line="360" w:lineRule="auto"/>
      </w:pPr>
      <w:r w:rsidRPr="002A5F2A">
        <w:t xml:space="preserve">AE results in persistent or significant disability or incapacity </w:t>
      </w:r>
    </w:p>
    <w:p w:rsidR="002A5F2A" w:rsidRDefault="002A5F2A" w:rsidP="001559A5">
      <w:pPr>
        <w:pStyle w:val="ac"/>
        <w:numPr>
          <w:ilvl w:val="0"/>
          <w:numId w:val="23"/>
        </w:numPr>
        <w:spacing w:line="360" w:lineRule="auto"/>
      </w:pPr>
      <w:r w:rsidRPr="002A5F2A">
        <w:t xml:space="preserve">AE is a congenital anomaly or birth defect. </w:t>
      </w:r>
    </w:p>
    <w:p w:rsidR="00C40594" w:rsidRPr="00F92127" w:rsidRDefault="002A5F2A" w:rsidP="001559A5">
      <w:pPr>
        <w:pStyle w:val="ac"/>
        <w:numPr>
          <w:ilvl w:val="0"/>
          <w:numId w:val="23"/>
        </w:numPr>
        <w:spacing w:line="360" w:lineRule="auto"/>
      </w:pPr>
      <w:r>
        <w:t>AE i</w:t>
      </w:r>
      <w:r w:rsidRPr="002A5F2A">
        <w:t xml:space="preserve">s </w:t>
      </w:r>
      <w:r w:rsidRPr="009D2DC1">
        <w:t>another</w:t>
      </w:r>
      <w:r w:rsidRPr="002A5F2A">
        <w:t xml:space="preserve"> medically important condition: This refers to an AE that may not be immediately life-threatening or results in death or hospitalization but may jeopardize the patient or may require intervention to prevent one of the outcomes listed above. Based on medical and scientific judgment (according to the investigator and or the sponsor) this should usually be considered serious.</w:t>
      </w:r>
    </w:p>
    <w:p w:rsidR="002077CD" w:rsidRDefault="002077CD" w:rsidP="00EB6816">
      <w:pPr>
        <w:pStyle w:val="3"/>
        <w:spacing w:line="360" w:lineRule="auto"/>
      </w:pPr>
      <w:bookmarkStart w:id="48" w:name="_Toc461617837"/>
      <w:r w:rsidRPr="008D610C">
        <w:lastRenderedPageBreak/>
        <w:t xml:space="preserve">Laboratory </w:t>
      </w:r>
      <w:r w:rsidR="003C03D1" w:rsidRPr="003C03D1">
        <w:t>endpoint</w:t>
      </w:r>
      <w:r w:rsidRPr="008D610C">
        <w:t>s</w:t>
      </w:r>
      <w:bookmarkEnd w:id="48"/>
    </w:p>
    <w:p w:rsidR="009D2DC1" w:rsidRDefault="009D2DC1" w:rsidP="00EB6816">
      <w:pPr>
        <w:spacing w:line="360" w:lineRule="auto"/>
      </w:pPr>
      <w:r>
        <w:t>The following clinical laboratory parameters will be measured at Baseline, week 3, week 6, week 9, week 12, week 15, week 18, every 12 week from week 27 to week 75 and every 24 week until End of treatment:</w:t>
      </w:r>
    </w:p>
    <w:p w:rsidR="009D2DC1" w:rsidRDefault="009D2DC1" w:rsidP="001559A5">
      <w:pPr>
        <w:pStyle w:val="ac"/>
        <w:numPr>
          <w:ilvl w:val="0"/>
          <w:numId w:val="23"/>
        </w:numPr>
        <w:spacing w:line="360" w:lineRule="auto"/>
      </w:pPr>
      <w:r>
        <w:t>Hematology: Hemoglobin, Hematocrit, WBC, Neutrophils, Lymphocytes, Monocytes, Eosinophils, Basophils and Platelet count</w:t>
      </w:r>
    </w:p>
    <w:p w:rsidR="009D2DC1" w:rsidRPr="009D2DC1" w:rsidRDefault="009D2DC1" w:rsidP="001559A5">
      <w:pPr>
        <w:pStyle w:val="ac"/>
        <w:numPr>
          <w:ilvl w:val="0"/>
          <w:numId w:val="23"/>
        </w:numPr>
        <w:spacing w:line="360" w:lineRule="auto"/>
      </w:pPr>
      <w:r>
        <w:t>Clinical chemistry: Sodium, Potassium, Calcium, Glucose, BUN or urea, Creatinine, AST, ALT, Alkaline phosphatase, Total bilirubin, Total protein, Albumin, LDH and Gamma-GT</w:t>
      </w:r>
    </w:p>
    <w:p w:rsidR="002077CD" w:rsidRDefault="002077CD" w:rsidP="00EB6816">
      <w:pPr>
        <w:pStyle w:val="3"/>
        <w:spacing w:line="360" w:lineRule="auto"/>
      </w:pPr>
      <w:bookmarkStart w:id="49" w:name="_Toc461617838"/>
      <w:r w:rsidRPr="008D610C">
        <w:t xml:space="preserve">Other safety </w:t>
      </w:r>
      <w:r w:rsidR="003C03D1" w:rsidRPr="003C03D1">
        <w:t>endpoint</w:t>
      </w:r>
      <w:r w:rsidRPr="008D610C">
        <w:t>s</w:t>
      </w:r>
      <w:bookmarkEnd w:id="49"/>
    </w:p>
    <w:p w:rsidR="007E39E3" w:rsidRPr="00EB6816" w:rsidRDefault="00EB6816" w:rsidP="00EB6816">
      <w:pPr>
        <w:pStyle w:val="4"/>
        <w:spacing w:line="360" w:lineRule="auto"/>
        <w:rPr>
          <w:rStyle w:val="Instruction"/>
          <w:rFonts w:ascii="Arial" w:hAnsi="Arial"/>
          <w:b/>
          <w:i w:val="0"/>
          <w:color w:val="auto"/>
          <w:sz w:val="22"/>
        </w:rPr>
      </w:pPr>
      <w:bookmarkStart w:id="50" w:name="_Toc461617839"/>
      <w:r w:rsidRPr="00EB6816">
        <w:rPr>
          <w:rStyle w:val="Instruction"/>
          <w:rFonts w:ascii="Arial" w:hAnsi="Arial"/>
          <w:b/>
          <w:i w:val="0"/>
          <w:color w:val="auto"/>
          <w:sz w:val="22"/>
        </w:rPr>
        <w:t>Physical examination</w:t>
      </w:r>
      <w:r>
        <w:rPr>
          <w:rStyle w:val="Instruction"/>
          <w:rFonts w:ascii="Arial" w:hAnsi="Arial"/>
          <w:b/>
          <w:i w:val="0"/>
          <w:color w:val="auto"/>
          <w:sz w:val="22"/>
        </w:rPr>
        <w:t xml:space="preserve"> and Vital signs</w:t>
      </w:r>
      <w:bookmarkEnd w:id="50"/>
    </w:p>
    <w:p w:rsidR="005358E4" w:rsidRDefault="00171C3B" w:rsidP="00171C3B">
      <w:pPr>
        <w:spacing w:line="360" w:lineRule="auto"/>
      </w:pPr>
      <w:r w:rsidRPr="00171C3B">
        <w:t xml:space="preserve">A physical examination </w:t>
      </w:r>
      <w:r w:rsidR="005358E4">
        <w:t xml:space="preserve">and vital signs </w:t>
      </w:r>
      <w:r w:rsidRPr="00171C3B">
        <w:t>will be conducted and recorded in the eCRF</w:t>
      </w:r>
      <w:r w:rsidR="005358E4">
        <w:t xml:space="preserve"> at Baseline, week 3, week 6, week 9, week 12, week 15, week 18, every 12 week from week 27 to week 75 and every 24 week until End of treatment</w:t>
      </w:r>
      <w:r w:rsidRPr="00171C3B">
        <w:t xml:space="preserve">. </w:t>
      </w:r>
    </w:p>
    <w:p w:rsidR="00171C3B" w:rsidRPr="00171C3B" w:rsidRDefault="00171C3B" w:rsidP="00171C3B">
      <w:pPr>
        <w:spacing w:line="360" w:lineRule="auto"/>
      </w:pPr>
      <w:r w:rsidRPr="00171C3B">
        <w:t>Any</w:t>
      </w:r>
      <w:r w:rsidR="005358E4">
        <w:t xml:space="preserve"> physical examination</w:t>
      </w:r>
      <w:r w:rsidRPr="00171C3B">
        <w:t xml:space="preserve"> abnormalities noted at</w:t>
      </w:r>
      <w:r>
        <w:t xml:space="preserve"> </w:t>
      </w:r>
      <w:r w:rsidRPr="00171C3B">
        <w:t>baseline will be recorded and re-assessed at subsequent evaluations. All newly- diagnosed or</w:t>
      </w:r>
      <w:r w:rsidR="005358E4">
        <w:t xml:space="preserve"> </w:t>
      </w:r>
      <w:r w:rsidRPr="00171C3B">
        <w:t>worsening conditions or signs and symptoms observed after baseline evaluation, irrespectively of</w:t>
      </w:r>
      <w:r w:rsidR="005358E4">
        <w:t xml:space="preserve"> </w:t>
      </w:r>
      <w:r w:rsidRPr="00171C3B">
        <w:t>whether related to treatment or not, will be recorded as AEs.</w:t>
      </w:r>
    </w:p>
    <w:p w:rsidR="005358E4" w:rsidRDefault="00171C3B" w:rsidP="00171C3B">
      <w:pPr>
        <w:spacing w:line="360" w:lineRule="auto"/>
      </w:pPr>
      <w:r w:rsidRPr="00171C3B">
        <w:t>Vital signs will include:</w:t>
      </w:r>
    </w:p>
    <w:p w:rsidR="005358E4" w:rsidRDefault="00171C3B" w:rsidP="001559A5">
      <w:pPr>
        <w:pStyle w:val="ac"/>
        <w:numPr>
          <w:ilvl w:val="0"/>
          <w:numId w:val="24"/>
        </w:numPr>
        <w:spacing w:line="360" w:lineRule="auto"/>
      </w:pPr>
      <w:r w:rsidRPr="00171C3B">
        <w:t xml:space="preserve">blood pressure </w:t>
      </w:r>
    </w:p>
    <w:p w:rsidR="005358E4" w:rsidRDefault="00171C3B" w:rsidP="001559A5">
      <w:pPr>
        <w:pStyle w:val="ac"/>
        <w:numPr>
          <w:ilvl w:val="0"/>
          <w:numId w:val="24"/>
        </w:numPr>
        <w:spacing w:line="360" w:lineRule="auto"/>
      </w:pPr>
      <w:r w:rsidRPr="00171C3B">
        <w:t xml:space="preserve">pulse rate after 5 minutes sitting, </w:t>
      </w:r>
    </w:p>
    <w:p w:rsidR="005358E4" w:rsidRDefault="00171C3B" w:rsidP="001559A5">
      <w:pPr>
        <w:pStyle w:val="ac"/>
        <w:numPr>
          <w:ilvl w:val="0"/>
          <w:numId w:val="24"/>
        </w:numPr>
        <w:spacing w:line="360" w:lineRule="auto"/>
      </w:pPr>
      <w:r w:rsidRPr="00171C3B">
        <w:t>body temperature,</w:t>
      </w:r>
    </w:p>
    <w:p w:rsidR="00EB6816" w:rsidRPr="00171C3B" w:rsidRDefault="00171C3B" w:rsidP="001559A5">
      <w:pPr>
        <w:pStyle w:val="ac"/>
        <w:numPr>
          <w:ilvl w:val="0"/>
          <w:numId w:val="24"/>
        </w:numPr>
        <w:spacing w:line="360" w:lineRule="auto"/>
      </w:pPr>
      <w:r w:rsidRPr="00171C3B">
        <w:t>weight, height (only at baseline).</w:t>
      </w:r>
    </w:p>
    <w:p w:rsidR="00EB6816" w:rsidRDefault="00EB6816" w:rsidP="00EB6816">
      <w:pPr>
        <w:pStyle w:val="4"/>
        <w:spacing w:line="360" w:lineRule="auto"/>
        <w:rPr>
          <w:rStyle w:val="Instruction"/>
          <w:rFonts w:ascii="Arial" w:hAnsi="Arial"/>
          <w:b/>
          <w:i w:val="0"/>
          <w:color w:val="auto"/>
          <w:sz w:val="22"/>
        </w:rPr>
      </w:pPr>
      <w:bookmarkStart w:id="51" w:name="_Toc461617840"/>
      <w:r>
        <w:rPr>
          <w:rStyle w:val="Instruction"/>
          <w:rFonts w:ascii="Arial" w:hAnsi="Arial"/>
          <w:b/>
          <w:i w:val="0"/>
          <w:color w:val="auto"/>
          <w:sz w:val="22"/>
        </w:rPr>
        <w:t>ECG</w:t>
      </w:r>
      <w:bookmarkEnd w:id="51"/>
    </w:p>
    <w:p w:rsidR="00EB6816" w:rsidRDefault="009C68C8" w:rsidP="00EB6816">
      <w:pPr>
        <w:spacing w:line="360" w:lineRule="auto"/>
      </w:pPr>
      <w:r>
        <w:t>A 12-lead ECG will be performed at baseline, week 18 and final visit (End of treatment visit)</w:t>
      </w:r>
    </w:p>
    <w:p w:rsidR="00EB6816" w:rsidRDefault="00EB6816" w:rsidP="00EB6816">
      <w:pPr>
        <w:pStyle w:val="4"/>
        <w:spacing w:line="360" w:lineRule="auto"/>
        <w:rPr>
          <w:rStyle w:val="Instruction"/>
          <w:rFonts w:ascii="Arial" w:hAnsi="Arial"/>
          <w:b/>
          <w:i w:val="0"/>
          <w:color w:val="auto"/>
          <w:sz w:val="22"/>
        </w:rPr>
      </w:pPr>
      <w:bookmarkStart w:id="52" w:name="_Toc461617841"/>
      <w:r>
        <w:rPr>
          <w:rStyle w:val="Instruction"/>
          <w:rFonts w:ascii="Arial" w:hAnsi="Arial"/>
          <w:b/>
          <w:i w:val="0"/>
          <w:color w:val="auto"/>
          <w:sz w:val="22"/>
        </w:rPr>
        <w:t>ECOG</w:t>
      </w:r>
      <w:bookmarkEnd w:id="52"/>
    </w:p>
    <w:p w:rsidR="00EB6816" w:rsidRDefault="009C68C8" w:rsidP="00EB6816">
      <w:pPr>
        <w:spacing w:line="360" w:lineRule="auto"/>
      </w:pPr>
      <w:r>
        <w:t>The ECOG performance status will be determined and recorded in the eCRF at Baseline, week 9, week 18, every 12 week from week 27 to week 75 and final visit.</w:t>
      </w:r>
    </w:p>
    <w:p w:rsidR="009C68C8" w:rsidRDefault="009C68C8" w:rsidP="00EB6816">
      <w:pPr>
        <w:spacing w:line="360" w:lineRule="auto"/>
      </w:pPr>
      <w:r>
        <w:t xml:space="preserve">The ECOG performance status will be </w:t>
      </w:r>
      <w:r w:rsidR="00D20C61">
        <w:t>graded</w:t>
      </w:r>
      <w:r>
        <w:t xml:space="preserve"> according the following criteria:</w:t>
      </w:r>
    </w:p>
    <w:p w:rsidR="00D20C61" w:rsidRDefault="00D20C61" w:rsidP="001559A5">
      <w:pPr>
        <w:pStyle w:val="ac"/>
        <w:numPr>
          <w:ilvl w:val="0"/>
          <w:numId w:val="25"/>
        </w:numPr>
        <w:spacing w:line="360" w:lineRule="auto"/>
      </w:pPr>
      <w:r w:rsidRPr="00D20C61">
        <w:t>Grade 0</w:t>
      </w:r>
      <w:r>
        <w:t>:</w:t>
      </w:r>
      <w:r w:rsidRPr="00D20C61">
        <w:t xml:space="preserve"> Fully active, able to carry on all pre-disease performance without restriction</w:t>
      </w:r>
    </w:p>
    <w:p w:rsidR="00D20C61" w:rsidRDefault="00D20C61" w:rsidP="001559A5">
      <w:pPr>
        <w:pStyle w:val="ac"/>
        <w:numPr>
          <w:ilvl w:val="0"/>
          <w:numId w:val="25"/>
        </w:numPr>
        <w:spacing w:line="360" w:lineRule="auto"/>
      </w:pPr>
      <w:r w:rsidRPr="00D20C61">
        <w:t>Grade 1</w:t>
      </w:r>
      <w:r>
        <w:t>:</w:t>
      </w:r>
      <w:r w:rsidRPr="00D20C61">
        <w:t xml:space="preserve"> Restricted in physically strenuous activity, but ambulatory and able to carry out work of a</w:t>
      </w:r>
      <w:r>
        <w:t xml:space="preserve"> </w:t>
      </w:r>
      <w:r w:rsidRPr="00D20C61">
        <w:t>light or sedentary nature, e.g., light house work, office work</w:t>
      </w:r>
    </w:p>
    <w:p w:rsidR="00D20C61" w:rsidRDefault="00D20C61" w:rsidP="001559A5">
      <w:pPr>
        <w:pStyle w:val="ac"/>
        <w:numPr>
          <w:ilvl w:val="0"/>
          <w:numId w:val="25"/>
        </w:numPr>
        <w:spacing w:line="360" w:lineRule="auto"/>
      </w:pPr>
      <w:r w:rsidRPr="00D20C61">
        <w:lastRenderedPageBreak/>
        <w:t>Grade 2</w:t>
      </w:r>
      <w:r>
        <w:t>:</w:t>
      </w:r>
      <w:r w:rsidRPr="00D20C61">
        <w:t xml:space="preserve"> Ambulatory and capable of all selfcare, but unable to carry out any work activities. Up and</w:t>
      </w:r>
      <w:r>
        <w:t xml:space="preserve"> </w:t>
      </w:r>
      <w:r w:rsidRPr="00D20C61">
        <w:t>about more than 50% of waking hours</w:t>
      </w:r>
    </w:p>
    <w:p w:rsidR="00D20C61" w:rsidRDefault="00D20C61" w:rsidP="001559A5">
      <w:pPr>
        <w:pStyle w:val="ac"/>
        <w:numPr>
          <w:ilvl w:val="0"/>
          <w:numId w:val="25"/>
        </w:numPr>
        <w:spacing w:line="360" w:lineRule="auto"/>
      </w:pPr>
      <w:r w:rsidRPr="00D20C61">
        <w:t>Grade 3</w:t>
      </w:r>
      <w:r>
        <w:t>:</w:t>
      </w:r>
      <w:r w:rsidRPr="00D20C61">
        <w:t xml:space="preserve"> Capable of only limited self-care, confined to bed or chair more than 50% of waking hours</w:t>
      </w:r>
    </w:p>
    <w:p w:rsidR="00D20C61" w:rsidRDefault="00D20C61" w:rsidP="001559A5">
      <w:pPr>
        <w:pStyle w:val="ac"/>
        <w:numPr>
          <w:ilvl w:val="0"/>
          <w:numId w:val="25"/>
        </w:numPr>
        <w:spacing w:line="360" w:lineRule="auto"/>
      </w:pPr>
      <w:r w:rsidRPr="00D20C61">
        <w:t>Grade 4</w:t>
      </w:r>
      <w:r>
        <w:t>:</w:t>
      </w:r>
      <w:r w:rsidRPr="00D20C61">
        <w:t xml:space="preserve"> Completely disabled. Cannot carry on any self-care. Totally confined to bed or chair</w:t>
      </w:r>
    </w:p>
    <w:p w:rsidR="00D20C61" w:rsidRPr="00D20C61" w:rsidRDefault="00D20C61" w:rsidP="001559A5">
      <w:pPr>
        <w:pStyle w:val="ac"/>
        <w:numPr>
          <w:ilvl w:val="0"/>
          <w:numId w:val="25"/>
        </w:numPr>
        <w:spacing w:line="360" w:lineRule="auto"/>
      </w:pPr>
      <w:r w:rsidRPr="00D20C61">
        <w:t>Grade 5</w:t>
      </w:r>
      <w:r>
        <w:t>:</w:t>
      </w:r>
      <w:r w:rsidRPr="00D20C61">
        <w:t xml:space="preserve"> Dead</w:t>
      </w:r>
    </w:p>
    <w:p w:rsidR="00EB6816" w:rsidRDefault="00EB6816" w:rsidP="00EB6816">
      <w:pPr>
        <w:pStyle w:val="4"/>
        <w:spacing w:line="360" w:lineRule="auto"/>
        <w:rPr>
          <w:rStyle w:val="Instruction"/>
          <w:rFonts w:ascii="Arial" w:hAnsi="Arial"/>
          <w:b/>
          <w:i w:val="0"/>
          <w:color w:val="auto"/>
          <w:sz w:val="22"/>
        </w:rPr>
      </w:pPr>
      <w:bookmarkStart w:id="53" w:name="_Toc461617842"/>
      <w:r>
        <w:rPr>
          <w:rStyle w:val="Instruction"/>
          <w:rFonts w:ascii="Arial" w:hAnsi="Arial"/>
          <w:b/>
          <w:i w:val="0"/>
          <w:color w:val="auto"/>
          <w:sz w:val="22"/>
        </w:rPr>
        <w:t>Concomitant medication</w:t>
      </w:r>
      <w:bookmarkEnd w:id="53"/>
    </w:p>
    <w:p w:rsidR="00EB6816" w:rsidRPr="007A22F7" w:rsidRDefault="00EB6816" w:rsidP="00EB6816">
      <w:pPr>
        <w:spacing w:line="360" w:lineRule="auto"/>
        <w:rPr>
          <w:sz w:val="24"/>
        </w:rPr>
      </w:pPr>
      <w:r w:rsidRPr="007A22F7">
        <w:rPr>
          <w:rStyle w:val="Instruction"/>
          <w:b w:val="0"/>
          <w:bCs/>
          <w:i w:val="0"/>
          <w:color w:val="auto"/>
        </w:rPr>
        <w:t xml:space="preserve">Safety will be assessed based on the analysis of Concomitant medication coded according to the </w:t>
      </w:r>
      <w:r>
        <w:rPr>
          <w:rStyle w:val="Instruction"/>
          <w:b w:val="0"/>
          <w:bCs/>
          <w:i w:val="0"/>
          <w:color w:val="auto"/>
        </w:rPr>
        <w:t xml:space="preserve">latest available version of the </w:t>
      </w:r>
      <w:r w:rsidRPr="007A22F7">
        <w:rPr>
          <w:rStyle w:val="Instruction"/>
          <w:b w:val="0"/>
          <w:bCs/>
          <w:i w:val="0"/>
          <w:color w:val="auto"/>
        </w:rPr>
        <w:t xml:space="preserve">WHO-Drug </w:t>
      </w:r>
      <w:r w:rsidRPr="007A22F7">
        <w:rPr>
          <w:sz w:val="24"/>
        </w:rPr>
        <w:t>dictionary</w:t>
      </w:r>
      <w:r>
        <w:rPr>
          <w:sz w:val="24"/>
        </w:rPr>
        <w:t>.</w:t>
      </w:r>
    </w:p>
    <w:p w:rsidR="00596EEB" w:rsidRPr="008D610C" w:rsidRDefault="00596EEB" w:rsidP="006D599D">
      <w:pPr>
        <w:pStyle w:val="1"/>
      </w:pPr>
      <w:bookmarkStart w:id="54" w:name="_Toc461617843"/>
      <w:bookmarkEnd w:id="41"/>
      <w:r w:rsidRPr="008D610C">
        <w:t xml:space="preserve">Statistical and </w:t>
      </w:r>
      <w:r w:rsidR="006D599D">
        <w:t>A</w:t>
      </w:r>
      <w:r w:rsidRPr="008D610C">
        <w:t xml:space="preserve">nalytical </w:t>
      </w:r>
      <w:r w:rsidR="006D599D">
        <w:t>Methods</w:t>
      </w:r>
      <w:bookmarkEnd w:id="54"/>
    </w:p>
    <w:p w:rsidR="008A6656" w:rsidRDefault="008A6656">
      <w:pPr>
        <w:pStyle w:val="2"/>
        <w:ind w:left="677" w:hanging="677"/>
      </w:pPr>
      <w:bookmarkStart w:id="55" w:name="_Toc461617844"/>
      <w:r>
        <w:t>General considerations</w:t>
      </w:r>
      <w:bookmarkEnd w:id="55"/>
    </w:p>
    <w:p w:rsidR="003255AF" w:rsidRPr="00C14529" w:rsidRDefault="003255AF" w:rsidP="00566E47">
      <w:pPr>
        <w:autoSpaceDE w:val="0"/>
        <w:autoSpaceDN w:val="0"/>
        <w:adjustRightInd w:val="0"/>
        <w:spacing w:line="360" w:lineRule="auto"/>
        <w:jc w:val="left"/>
        <w:rPr>
          <w:bCs/>
          <w:i/>
          <w:sz w:val="24"/>
        </w:rPr>
      </w:pPr>
      <w:r w:rsidRPr="00BC0244">
        <w:rPr>
          <w:rFonts w:ascii="TimesNewRomanPSMT" w:hAnsi="TimesNewRomanPSMT" w:cs="TimesNewRomanPSMT"/>
          <w:sz w:val="24"/>
          <w:lang w:val="en-US" w:eastAsia="fr-FR"/>
        </w:rPr>
        <w:t xml:space="preserve">The statistical analyses </w:t>
      </w:r>
      <w:r w:rsidR="00D84E17">
        <w:rPr>
          <w:rFonts w:ascii="TimesNewRomanPSMT" w:hAnsi="TimesNewRomanPSMT" w:cs="TimesNewRomanPSMT"/>
          <w:sz w:val="24"/>
          <w:lang w:val="en-US" w:eastAsia="fr-FR"/>
        </w:rPr>
        <w:t>will be</w:t>
      </w:r>
      <w:r w:rsidR="00D84E17" w:rsidRPr="00BC0244">
        <w:rPr>
          <w:rFonts w:ascii="TimesNewRomanPSMT" w:hAnsi="TimesNewRomanPSMT" w:cs="TimesNewRomanPSMT"/>
          <w:sz w:val="24"/>
          <w:lang w:val="en-US" w:eastAsia="fr-FR"/>
        </w:rPr>
        <w:t xml:space="preserve"> </w:t>
      </w:r>
      <w:r w:rsidRPr="00BC0244">
        <w:rPr>
          <w:rFonts w:ascii="TimesNewRomanPSMT" w:hAnsi="TimesNewRomanPSMT" w:cs="TimesNewRomanPSMT"/>
          <w:sz w:val="24"/>
          <w:lang w:val="en-US" w:eastAsia="fr-FR"/>
        </w:rPr>
        <w:t>performed in accordance with the ICH E9 guideline and will be based on the pooled data from the individual study sites, unless otherwise stated</w:t>
      </w:r>
      <w:r w:rsidRPr="00C14529">
        <w:rPr>
          <w:rFonts w:ascii="TimesNewRomanPSMT" w:hAnsi="TimesNewRomanPSMT" w:cs="TimesNewRomanPSMT"/>
          <w:sz w:val="24"/>
          <w:lang w:val="en-US" w:eastAsia="fr-FR"/>
        </w:rPr>
        <w:t>.</w:t>
      </w:r>
    </w:p>
    <w:p w:rsidR="00566E47" w:rsidRPr="00BC0244" w:rsidRDefault="005E158F" w:rsidP="00566E47">
      <w:pPr>
        <w:autoSpaceDE w:val="0"/>
        <w:autoSpaceDN w:val="0"/>
        <w:adjustRightInd w:val="0"/>
        <w:spacing w:line="360" w:lineRule="auto"/>
        <w:rPr>
          <w:rFonts w:ascii="TimesNewRomanPSMT" w:hAnsi="TimesNewRomanPSMT" w:cs="TimesNewRomanPSMT"/>
          <w:sz w:val="24"/>
          <w:lang w:val="en-US" w:eastAsia="fr-FR"/>
        </w:rPr>
      </w:pPr>
      <w:r w:rsidRPr="00BC0244">
        <w:rPr>
          <w:rFonts w:ascii="TimesNewRomanPSMT" w:hAnsi="TimesNewRomanPSMT" w:cs="TimesNewRomanPSMT"/>
          <w:sz w:val="24"/>
          <w:lang w:val="en-US" w:eastAsia="fr-FR"/>
        </w:rPr>
        <w:t>The s</w:t>
      </w:r>
      <w:r w:rsidR="003255AF" w:rsidRPr="00BC0244">
        <w:rPr>
          <w:rFonts w:ascii="TimesNewRomanPSMT" w:hAnsi="TimesNewRomanPSMT" w:cs="TimesNewRomanPSMT"/>
          <w:sz w:val="24"/>
          <w:lang w:val="en-US" w:eastAsia="fr-FR"/>
        </w:rPr>
        <w:t>tatistical analyses will be performed by an external Contract Research Organi</w:t>
      </w:r>
      <w:r w:rsidR="00E11DE0">
        <w:rPr>
          <w:rFonts w:ascii="TimesNewRomanPSMT" w:hAnsi="TimesNewRomanPSMT" w:cs="TimesNewRomanPSMT"/>
          <w:sz w:val="24"/>
          <w:lang w:val="en-US" w:eastAsia="fr-FR"/>
        </w:rPr>
        <w:t>z</w:t>
      </w:r>
      <w:r w:rsidR="003255AF" w:rsidRPr="00BC0244">
        <w:rPr>
          <w:rFonts w:ascii="TimesNewRomanPSMT" w:hAnsi="TimesNewRomanPSMT" w:cs="TimesNewRomanPSMT"/>
          <w:sz w:val="24"/>
          <w:lang w:val="en-US" w:eastAsia="fr-FR"/>
        </w:rPr>
        <w:t>ation (CRO), Venn Life Sciences, under the responsibility of the Sponsor.</w:t>
      </w:r>
      <w:r w:rsidR="00566E47" w:rsidRPr="00BC0244">
        <w:rPr>
          <w:rFonts w:ascii="TimesNewRomanPSMT" w:hAnsi="TimesNewRomanPSMT" w:cs="TimesNewRomanPSMT"/>
          <w:sz w:val="24"/>
          <w:lang w:val="en-US" w:eastAsia="fr-FR"/>
        </w:rPr>
        <w:t xml:space="preserve"> The full and detailed list of tables, listings and figures that will be produced is given in section </w:t>
      </w:r>
      <w:r w:rsidR="00FF5BA3">
        <w:rPr>
          <w:rFonts w:ascii="TimesNewRomanPSMT" w:hAnsi="TimesNewRomanPSMT" w:cs="TimesNewRomanPSMT"/>
          <w:sz w:val="24"/>
          <w:lang w:val="en-US" w:eastAsia="fr-FR"/>
        </w:rPr>
        <w:fldChar w:fldCharType="begin"/>
      </w:r>
      <w:r w:rsidR="00385110">
        <w:rPr>
          <w:rFonts w:ascii="TimesNewRomanPSMT" w:hAnsi="TimesNewRomanPSMT" w:cs="TimesNewRomanPSMT"/>
          <w:sz w:val="24"/>
          <w:lang w:val="en-US" w:eastAsia="fr-FR"/>
        </w:rPr>
        <w:instrText xml:space="preserve"> REF _Ref461617543 \r \h </w:instrText>
      </w:r>
      <w:r w:rsidR="00FF5BA3">
        <w:rPr>
          <w:rFonts w:ascii="TimesNewRomanPSMT" w:hAnsi="TimesNewRomanPSMT" w:cs="TimesNewRomanPSMT"/>
          <w:sz w:val="24"/>
          <w:lang w:val="en-US" w:eastAsia="fr-FR"/>
        </w:rPr>
      </w:r>
      <w:r w:rsidR="00FF5BA3">
        <w:rPr>
          <w:rFonts w:ascii="TimesNewRomanPSMT" w:hAnsi="TimesNewRomanPSMT" w:cs="TimesNewRomanPSMT"/>
          <w:sz w:val="24"/>
          <w:lang w:val="en-US" w:eastAsia="fr-FR"/>
        </w:rPr>
        <w:fldChar w:fldCharType="separate"/>
      </w:r>
      <w:r w:rsidR="007C78F1">
        <w:rPr>
          <w:rFonts w:ascii="TimesNewRomanPSMT" w:hAnsi="TimesNewRomanPSMT" w:cs="TimesNewRomanPSMT"/>
          <w:sz w:val="24"/>
          <w:lang w:val="en-US" w:eastAsia="fr-FR"/>
        </w:rPr>
        <w:t>10</w:t>
      </w:r>
      <w:r w:rsidR="00FF5BA3">
        <w:rPr>
          <w:rFonts w:ascii="TimesNewRomanPSMT" w:hAnsi="TimesNewRomanPSMT" w:cs="TimesNewRomanPSMT"/>
          <w:sz w:val="24"/>
          <w:lang w:val="en-US" w:eastAsia="fr-FR"/>
        </w:rPr>
        <w:fldChar w:fldCharType="end"/>
      </w:r>
      <w:r w:rsidR="00566E47" w:rsidRPr="00BC0244">
        <w:rPr>
          <w:rFonts w:ascii="TimesNewRomanPSMT" w:hAnsi="TimesNewRomanPSMT" w:cs="TimesNewRomanPSMT"/>
          <w:sz w:val="24"/>
          <w:lang w:val="en-US" w:eastAsia="fr-FR"/>
        </w:rPr>
        <w:t>.</w:t>
      </w:r>
    </w:p>
    <w:p w:rsidR="00AF3917" w:rsidRPr="008D610C" w:rsidRDefault="00AF3917" w:rsidP="00C42EA7">
      <w:pPr>
        <w:pStyle w:val="3"/>
        <w:spacing w:line="360" w:lineRule="auto"/>
      </w:pPr>
      <w:bookmarkStart w:id="56" w:name="_Toc461617845"/>
      <w:r w:rsidRPr="008D610C">
        <w:t>Presentation of results</w:t>
      </w:r>
      <w:bookmarkEnd w:id="56"/>
    </w:p>
    <w:p w:rsidR="00337DC5" w:rsidRPr="00D94780" w:rsidRDefault="00337DC5" w:rsidP="00C42EA7">
      <w:pPr>
        <w:spacing w:line="360" w:lineRule="auto"/>
        <w:rPr>
          <w:rStyle w:val="Instruction"/>
          <w:b w:val="0"/>
          <w:bCs/>
          <w:i w:val="0"/>
          <w:color w:val="auto"/>
        </w:rPr>
      </w:pPr>
      <w:r w:rsidRPr="00D94780">
        <w:rPr>
          <w:rStyle w:val="Instruction"/>
          <w:b w:val="0"/>
          <w:bCs/>
          <w:i w:val="0"/>
          <w:color w:val="auto"/>
        </w:rPr>
        <w:t>The following statistics will be presented:</w:t>
      </w:r>
    </w:p>
    <w:p w:rsidR="00337DC5" w:rsidRPr="00056779" w:rsidRDefault="00337DC5" w:rsidP="001559A5">
      <w:pPr>
        <w:pStyle w:val="ac"/>
        <w:numPr>
          <w:ilvl w:val="0"/>
          <w:numId w:val="26"/>
        </w:numPr>
        <w:spacing w:line="360" w:lineRule="auto"/>
        <w:ind w:left="714" w:hanging="357"/>
        <w:rPr>
          <w:rStyle w:val="Instruction"/>
          <w:b w:val="0"/>
          <w:bCs/>
          <w:i w:val="0"/>
          <w:color w:val="auto"/>
        </w:rPr>
      </w:pPr>
      <w:r w:rsidRPr="00D852C9">
        <w:rPr>
          <w:rStyle w:val="Instruction"/>
          <w:b w:val="0"/>
          <w:bCs/>
          <w:i w:val="0"/>
          <w:color w:val="auto"/>
        </w:rPr>
        <w:t xml:space="preserve">For quantitative variables: number of available data, number of missing values, mean, standard deviation, median, Q1, Q3, </w:t>
      </w:r>
      <w:r w:rsidRPr="00056779">
        <w:rPr>
          <w:rStyle w:val="Instruction"/>
          <w:b w:val="0"/>
          <w:bCs/>
          <w:i w:val="0"/>
          <w:color w:val="auto"/>
        </w:rPr>
        <w:t>minimum and maximum values. When relevant, confidence intervals will be calculated for the mean (Student CI) or the median (</w:t>
      </w:r>
      <w:r w:rsidRPr="00056779">
        <w:rPr>
          <w:rStyle w:val="Instruction"/>
          <w:b w:val="0"/>
          <w:i w:val="0"/>
          <w:color w:val="auto"/>
        </w:rPr>
        <w:t>Hahn</w:t>
      </w:r>
      <w:r w:rsidRPr="00056779">
        <w:rPr>
          <w:rStyle w:val="Instruction"/>
          <w:b w:val="0"/>
          <w:bCs/>
          <w:i w:val="0"/>
          <w:color w:val="auto"/>
        </w:rPr>
        <w:t xml:space="preserve"> &amp; </w:t>
      </w:r>
      <w:hyperlink r:id="rId13" w:history="1">
        <w:r w:rsidRPr="00056779">
          <w:rPr>
            <w:rStyle w:val="Instruction"/>
            <w:b w:val="0"/>
            <w:bCs/>
            <w:i w:val="0"/>
            <w:color w:val="auto"/>
          </w:rPr>
          <w:t xml:space="preserve"> </w:t>
        </w:r>
        <w:r w:rsidRPr="00056779">
          <w:rPr>
            <w:rStyle w:val="Instruction"/>
            <w:b w:val="0"/>
            <w:i w:val="0"/>
            <w:color w:val="auto"/>
          </w:rPr>
          <w:t>Meeker</w:t>
        </w:r>
      </w:hyperlink>
      <w:r w:rsidRPr="00056779">
        <w:rPr>
          <w:rStyle w:val="Instruction"/>
          <w:b w:val="0"/>
          <w:bCs/>
          <w:i w:val="0"/>
          <w:color w:val="auto"/>
        </w:rPr>
        <w:t xml:space="preserve"> 1991).</w:t>
      </w:r>
    </w:p>
    <w:p w:rsidR="00337DC5" w:rsidRPr="00D852C9" w:rsidRDefault="00337DC5" w:rsidP="001559A5">
      <w:pPr>
        <w:pStyle w:val="ac"/>
        <w:numPr>
          <w:ilvl w:val="0"/>
          <w:numId w:val="26"/>
        </w:numPr>
        <w:spacing w:line="360" w:lineRule="auto"/>
        <w:ind w:left="714" w:hanging="357"/>
        <w:rPr>
          <w:rStyle w:val="Instruction"/>
          <w:b w:val="0"/>
          <w:bCs/>
          <w:i w:val="0"/>
          <w:color w:val="auto"/>
        </w:rPr>
      </w:pPr>
      <w:r w:rsidRPr="00056779">
        <w:rPr>
          <w:rStyle w:val="Instruction"/>
          <w:b w:val="0"/>
          <w:bCs/>
          <w:i w:val="0"/>
          <w:color w:val="auto"/>
        </w:rPr>
        <w:t>For qualitative variables: number of available</w:t>
      </w:r>
      <w:r w:rsidRPr="00D852C9">
        <w:rPr>
          <w:rStyle w:val="Instruction"/>
          <w:b w:val="0"/>
          <w:bCs/>
          <w:i w:val="0"/>
          <w:color w:val="auto"/>
        </w:rPr>
        <w:t xml:space="preserve"> data, number of missing values</w:t>
      </w:r>
      <w:r w:rsidR="00D84E17">
        <w:rPr>
          <w:rStyle w:val="Instruction"/>
          <w:b w:val="0"/>
          <w:bCs/>
          <w:i w:val="0"/>
          <w:color w:val="auto"/>
        </w:rPr>
        <w:t>,</w:t>
      </w:r>
      <w:r w:rsidRPr="00D852C9">
        <w:rPr>
          <w:rStyle w:val="Instruction"/>
          <w:b w:val="0"/>
          <w:bCs/>
          <w:i w:val="0"/>
          <w:color w:val="auto"/>
        </w:rPr>
        <w:t xml:space="preserve"> number and percentage of observations in each category of the variable. Except if otherwise specified, percentages will be calculated using the number of available data as denominator (</w:t>
      </w:r>
      <w:r w:rsidRPr="00D852C9">
        <w:rPr>
          <w:rStyle w:val="Instruction"/>
          <w:b w:val="0"/>
          <w:bCs/>
          <w:color w:val="auto"/>
        </w:rPr>
        <w:t>i.e.</w:t>
      </w:r>
      <w:r w:rsidRPr="00D852C9">
        <w:rPr>
          <w:rStyle w:val="Instruction"/>
          <w:b w:val="0"/>
          <w:bCs/>
          <w:i w:val="0"/>
          <w:color w:val="auto"/>
        </w:rPr>
        <w:t>, not including missing values). When relevant, confidence intervals of proportions will be calculated using the Clopper-Pearson method (Clopper &amp; Pearson 1934).</w:t>
      </w:r>
    </w:p>
    <w:p w:rsidR="00F62111" w:rsidRDefault="00F62111" w:rsidP="00F62111">
      <w:pPr>
        <w:rPr>
          <w:highlight w:val="lightGray"/>
        </w:rPr>
      </w:pPr>
    </w:p>
    <w:p w:rsidR="00F62111" w:rsidRDefault="00F62111" w:rsidP="00FB2A8A">
      <w:pPr>
        <w:pStyle w:val="3"/>
        <w:spacing w:line="360" w:lineRule="auto"/>
      </w:pPr>
      <w:bookmarkStart w:id="57" w:name="_Toc461617846"/>
      <w:r>
        <w:t>Significance testing and estimation</w:t>
      </w:r>
      <w:bookmarkEnd w:id="57"/>
    </w:p>
    <w:p w:rsidR="00D84E17" w:rsidRDefault="00D84E17" w:rsidP="00FB2A8A">
      <w:pPr>
        <w:spacing w:line="360" w:lineRule="auto"/>
        <w:rPr>
          <w:sz w:val="24"/>
          <w:lang w:eastAsia="fr-FR"/>
        </w:rPr>
      </w:pPr>
      <w:r>
        <w:rPr>
          <w:sz w:val="24"/>
          <w:lang w:eastAsia="fr-FR"/>
        </w:rPr>
        <w:t>The analys</w:t>
      </w:r>
      <w:r w:rsidR="00C91D21">
        <w:rPr>
          <w:sz w:val="24"/>
          <w:lang w:eastAsia="fr-FR"/>
        </w:rPr>
        <w:t>e</w:t>
      </w:r>
      <w:r>
        <w:rPr>
          <w:sz w:val="24"/>
          <w:lang w:eastAsia="fr-FR"/>
        </w:rPr>
        <w:t xml:space="preserve">s </w:t>
      </w:r>
      <w:r w:rsidR="00C91D21">
        <w:rPr>
          <w:sz w:val="24"/>
          <w:lang w:eastAsia="fr-FR"/>
        </w:rPr>
        <w:t>of the primary efficacy criterion (</w:t>
      </w:r>
      <w:r w:rsidR="00C91D21" w:rsidRPr="004A16E7">
        <w:rPr>
          <w:sz w:val="24"/>
          <w:lang w:val="en-US" w:eastAsia="fr-FR"/>
        </w:rPr>
        <w:t>overall survival</w:t>
      </w:r>
      <w:r w:rsidR="00C91D21">
        <w:rPr>
          <w:sz w:val="24"/>
          <w:lang w:val="en-US" w:eastAsia="fr-FR"/>
        </w:rPr>
        <w:t xml:space="preserve">) </w:t>
      </w:r>
      <w:r w:rsidR="0086099D">
        <w:rPr>
          <w:sz w:val="24"/>
          <w:lang w:val="en-US" w:eastAsia="fr-FR"/>
        </w:rPr>
        <w:t xml:space="preserve">including the sensitivity analysis </w:t>
      </w:r>
      <w:r w:rsidR="00C91D21">
        <w:rPr>
          <w:sz w:val="24"/>
          <w:lang w:val="en-US" w:eastAsia="fr-FR"/>
        </w:rPr>
        <w:t xml:space="preserve">and of twelve months survival (secondary endpoint) will use a one-sided 0.05 type-one error rate. All other inferential tests on secondary or exploratory efficacy endpoints </w:t>
      </w:r>
      <w:r w:rsidR="00C91D21" w:rsidRPr="00FB2A8A">
        <w:rPr>
          <w:sz w:val="24"/>
          <w:lang w:val="en-US" w:eastAsia="fr-FR"/>
        </w:rPr>
        <w:t>(see Section</w:t>
      </w:r>
      <w:r w:rsidR="00A504EB">
        <w:rPr>
          <w:sz w:val="24"/>
          <w:lang w:val="en-US" w:eastAsia="fr-FR"/>
        </w:rPr>
        <w:t xml:space="preserve">s </w:t>
      </w:r>
      <w:r w:rsidR="00FF5BA3">
        <w:rPr>
          <w:sz w:val="24"/>
          <w:lang w:val="en-US" w:eastAsia="fr-FR"/>
        </w:rPr>
        <w:fldChar w:fldCharType="begin"/>
      </w:r>
      <w:r w:rsidR="00A504EB">
        <w:rPr>
          <w:sz w:val="24"/>
          <w:lang w:val="en-US" w:eastAsia="fr-FR"/>
        </w:rPr>
        <w:instrText xml:space="preserve"> REF _Ref461617432 \r \h </w:instrText>
      </w:r>
      <w:r w:rsidR="00FF5BA3">
        <w:rPr>
          <w:sz w:val="24"/>
          <w:lang w:val="en-US" w:eastAsia="fr-FR"/>
        </w:rPr>
      </w:r>
      <w:r w:rsidR="00FF5BA3">
        <w:rPr>
          <w:sz w:val="24"/>
          <w:lang w:val="en-US" w:eastAsia="fr-FR"/>
        </w:rPr>
        <w:fldChar w:fldCharType="separate"/>
      </w:r>
      <w:r w:rsidR="007C78F1">
        <w:rPr>
          <w:sz w:val="24"/>
          <w:lang w:val="en-US" w:eastAsia="fr-FR"/>
        </w:rPr>
        <w:t>5.2.4.3</w:t>
      </w:r>
      <w:r w:rsidR="00FF5BA3">
        <w:rPr>
          <w:sz w:val="24"/>
          <w:lang w:val="en-US" w:eastAsia="fr-FR"/>
        </w:rPr>
        <w:fldChar w:fldCharType="end"/>
      </w:r>
      <w:r w:rsidR="00C91D21">
        <w:rPr>
          <w:sz w:val="24"/>
          <w:lang w:val="en-US" w:eastAsia="fr-FR"/>
        </w:rPr>
        <w:t xml:space="preserve"> </w:t>
      </w:r>
      <w:r w:rsidR="00A504EB">
        <w:rPr>
          <w:sz w:val="24"/>
          <w:lang w:val="en-US" w:eastAsia="fr-FR"/>
        </w:rPr>
        <w:t xml:space="preserve">and </w:t>
      </w:r>
      <w:r w:rsidR="00FF5BA3">
        <w:rPr>
          <w:sz w:val="24"/>
          <w:lang w:val="en-US" w:eastAsia="fr-FR"/>
        </w:rPr>
        <w:fldChar w:fldCharType="begin"/>
      </w:r>
      <w:r w:rsidR="00A504EB">
        <w:rPr>
          <w:sz w:val="24"/>
          <w:lang w:val="en-US" w:eastAsia="fr-FR"/>
        </w:rPr>
        <w:instrText xml:space="preserve"> REF _Ref461617304 \r \h </w:instrText>
      </w:r>
      <w:r w:rsidR="00FF5BA3">
        <w:rPr>
          <w:sz w:val="24"/>
          <w:lang w:val="en-US" w:eastAsia="fr-FR"/>
        </w:rPr>
      </w:r>
      <w:r w:rsidR="00FF5BA3">
        <w:rPr>
          <w:sz w:val="24"/>
          <w:lang w:val="en-US" w:eastAsia="fr-FR"/>
        </w:rPr>
        <w:fldChar w:fldCharType="separate"/>
      </w:r>
      <w:r w:rsidR="007C78F1">
        <w:rPr>
          <w:sz w:val="24"/>
          <w:lang w:val="en-US" w:eastAsia="fr-FR"/>
        </w:rPr>
        <w:t>5.2.4.5</w:t>
      </w:r>
      <w:r w:rsidR="00FF5BA3">
        <w:rPr>
          <w:sz w:val="24"/>
          <w:lang w:val="en-US" w:eastAsia="fr-FR"/>
        </w:rPr>
        <w:fldChar w:fldCharType="end"/>
      </w:r>
      <w:r w:rsidR="00C91D21" w:rsidRPr="00FB2A8A">
        <w:rPr>
          <w:sz w:val="24"/>
          <w:lang w:val="en-US" w:eastAsia="fr-FR"/>
        </w:rPr>
        <w:t>)</w:t>
      </w:r>
      <w:r w:rsidR="00C91D21">
        <w:rPr>
          <w:sz w:val="24"/>
          <w:lang w:val="en-US" w:eastAsia="fr-FR"/>
        </w:rPr>
        <w:t xml:space="preserve"> </w:t>
      </w:r>
      <w:r w:rsidR="00865616">
        <w:rPr>
          <w:sz w:val="24"/>
          <w:lang w:val="en-US" w:eastAsia="fr-FR"/>
        </w:rPr>
        <w:t xml:space="preserve">are presented only with an illustrative purpose and </w:t>
      </w:r>
      <w:r w:rsidR="00C91D21">
        <w:rPr>
          <w:sz w:val="24"/>
          <w:lang w:val="en-US" w:eastAsia="fr-FR"/>
        </w:rPr>
        <w:t>will use a two-sided 0.05 type-one error rate.</w:t>
      </w:r>
    </w:p>
    <w:p w:rsidR="00865616" w:rsidRPr="00A62196" w:rsidRDefault="00FB2A8A" w:rsidP="00FB2A8A">
      <w:pPr>
        <w:spacing w:line="360" w:lineRule="auto"/>
        <w:rPr>
          <w:sz w:val="24"/>
        </w:rPr>
      </w:pPr>
      <w:r w:rsidRPr="00A62196">
        <w:rPr>
          <w:sz w:val="24"/>
        </w:rPr>
        <w:t>For some variables identified in this SAP, confidence intervals will be calculated with a two-sided coverage of 95%.</w:t>
      </w:r>
    </w:p>
    <w:p w:rsidR="00F62111" w:rsidRDefault="00F62111">
      <w:pPr>
        <w:pStyle w:val="2"/>
      </w:pPr>
      <w:bookmarkStart w:id="58" w:name="_Toc461617847"/>
      <w:bookmarkStart w:id="59" w:name="_Toc36974612"/>
      <w:r>
        <w:t>Planned analysis</w:t>
      </w:r>
      <w:bookmarkEnd w:id="58"/>
    </w:p>
    <w:p w:rsidR="00AF3917" w:rsidRPr="008D610C" w:rsidRDefault="00AF3917" w:rsidP="00BA51C4">
      <w:pPr>
        <w:pStyle w:val="3"/>
        <w:spacing w:line="360" w:lineRule="auto"/>
      </w:pPr>
      <w:bookmarkStart w:id="60" w:name="_Toc461617848"/>
      <w:r w:rsidRPr="008D610C">
        <w:t>Demographics and baseline characteristics</w:t>
      </w:r>
      <w:bookmarkEnd w:id="59"/>
      <w:bookmarkEnd w:id="60"/>
    </w:p>
    <w:p w:rsidR="00162DF5" w:rsidRPr="00A73986" w:rsidRDefault="00162DF5" w:rsidP="00BA51C4">
      <w:pPr>
        <w:spacing w:line="360" w:lineRule="auto"/>
        <w:rPr>
          <w:rStyle w:val="Instruction"/>
          <w:b w:val="0"/>
          <w:bCs/>
          <w:i w:val="0"/>
          <w:color w:val="auto"/>
        </w:rPr>
      </w:pPr>
      <w:r w:rsidRPr="00A73986">
        <w:rPr>
          <w:rStyle w:val="Instruction"/>
          <w:b w:val="0"/>
          <w:bCs/>
          <w:i w:val="0"/>
          <w:color w:val="auto"/>
        </w:rPr>
        <w:t>The following demographic variables will be summarised by treatment group on the FAS, SAF and the PP analysis data sets</w:t>
      </w:r>
      <w:r w:rsidR="00BA51C4" w:rsidRPr="00A73986">
        <w:rPr>
          <w:rStyle w:val="Instruction"/>
          <w:b w:val="0"/>
          <w:bCs/>
          <w:i w:val="0"/>
          <w:color w:val="auto"/>
        </w:rPr>
        <w:t>:</w:t>
      </w:r>
    </w:p>
    <w:p w:rsidR="00162DF5" w:rsidRPr="00A73986" w:rsidRDefault="00162DF5" w:rsidP="001559A5">
      <w:pPr>
        <w:pStyle w:val="ac"/>
        <w:numPr>
          <w:ilvl w:val="0"/>
          <w:numId w:val="27"/>
        </w:numPr>
        <w:spacing w:line="360" w:lineRule="auto"/>
        <w:rPr>
          <w:rStyle w:val="Instruction"/>
          <w:b w:val="0"/>
          <w:bCs/>
          <w:i w:val="0"/>
          <w:color w:val="auto"/>
        </w:rPr>
      </w:pPr>
      <w:r w:rsidRPr="00A73986">
        <w:rPr>
          <w:rStyle w:val="Instruction"/>
          <w:b w:val="0"/>
          <w:bCs/>
          <w:i w:val="0"/>
          <w:color w:val="auto"/>
        </w:rPr>
        <w:t>Demographic data: Age and Gender</w:t>
      </w:r>
      <w:r w:rsidR="00AC6FD2" w:rsidRPr="00A73986">
        <w:rPr>
          <w:rStyle w:val="Instruction"/>
          <w:b w:val="0"/>
          <w:bCs/>
          <w:i w:val="0"/>
          <w:color w:val="auto"/>
        </w:rPr>
        <w:t xml:space="preserve"> and urine pregnancy test only for all women</w:t>
      </w:r>
      <w:r w:rsidR="00BA51C4" w:rsidRPr="00A73986">
        <w:rPr>
          <w:rStyle w:val="Instruction"/>
          <w:b w:val="0"/>
          <w:bCs/>
          <w:i w:val="0"/>
          <w:color w:val="auto"/>
        </w:rPr>
        <w:t xml:space="preserve"> (Statistical </w:t>
      </w:r>
      <w:r w:rsidR="001A1F3D" w:rsidRPr="00A73986">
        <w:rPr>
          <w:rStyle w:val="Instruction"/>
          <w:b w:val="0"/>
          <w:bCs/>
          <w:i w:val="0"/>
          <w:color w:val="auto"/>
        </w:rPr>
        <w:t xml:space="preserve">Table </w:t>
      </w:r>
      <w:r w:rsidR="008C0591" w:rsidRPr="00A73986">
        <w:rPr>
          <w:rStyle w:val="Instruction"/>
          <w:b w:val="0"/>
          <w:bCs/>
          <w:i w:val="0"/>
          <w:color w:val="auto"/>
        </w:rPr>
        <w:t>1</w:t>
      </w:r>
      <w:r w:rsidR="00BA51C4" w:rsidRPr="00A73986">
        <w:rPr>
          <w:rStyle w:val="Instruction"/>
          <w:b w:val="0"/>
          <w:bCs/>
          <w:i w:val="0"/>
          <w:color w:val="auto"/>
        </w:rPr>
        <w:t>, Listing 16.2.4</w:t>
      </w:r>
      <w:r w:rsidR="00AC6FD2" w:rsidRPr="00A73986">
        <w:rPr>
          <w:rStyle w:val="Instruction"/>
          <w:b w:val="0"/>
          <w:bCs/>
          <w:i w:val="0"/>
          <w:color w:val="auto"/>
        </w:rPr>
        <w:t>.1</w:t>
      </w:r>
      <w:r w:rsidR="00BA51C4" w:rsidRPr="00A73986">
        <w:rPr>
          <w:rStyle w:val="Instruction"/>
          <w:b w:val="0"/>
          <w:bCs/>
          <w:i w:val="0"/>
          <w:color w:val="auto"/>
        </w:rPr>
        <w:t>)</w:t>
      </w:r>
    </w:p>
    <w:p w:rsidR="00EB43FD" w:rsidRPr="00A73986" w:rsidRDefault="00EB43FD" w:rsidP="00FC0F7D">
      <w:pPr>
        <w:pStyle w:val="ac"/>
        <w:numPr>
          <w:ilvl w:val="0"/>
          <w:numId w:val="27"/>
        </w:numPr>
        <w:spacing w:line="360" w:lineRule="auto"/>
        <w:rPr>
          <w:rStyle w:val="Instruction"/>
          <w:b w:val="0"/>
          <w:bCs/>
          <w:i w:val="0"/>
          <w:color w:val="auto"/>
        </w:rPr>
      </w:pPr>
      <w:r w:rsidRPr="00A73986">
        <w:rPr>
          <w:rStyle w:val="Instruction"/>
          <w:b w:val="0"/>
          <w:bCs/>
          <w:i w:val="0"/>
          <w:color w:val="auto"/>
        </w:rPr>
        <w:t>Disease characteristics</w:t>
      </w:r>
      <w:r w:rsidR="00FC0F7D" w:rsidRPr="00A73986">
        <w:rPr>
          <w:rStyle w:val="Instruction"/>
          <w:b w:val="0"/>
          <w:bCs/>
          <w:i w:val="0"/>
          <w:color w:val="auto"/>
        </w:rPr>
        <w:t xml:space="preserve"> (Results at screening visit for: Blood sample for HLA typing / Tumor sample for TERT and Chest/Abdomen MRI or CT / Bone scanning): HLA sample result, Biopsy sample result, scan type, scan result according to RECIST criteria</w:t>
      </w:r>
      <w:r w:rsidR="00DC3941">
        <w:rPr>
          <w:rStyle w:val="Instruction"/>
          <w:b w:val="0"/>
          <w:bCs/>
          <w:i w:val="0"/>
          <w:color w:val="auto"/>
        </w:rPr>
        <w:t xml:space="preserve"> (see Appendix 6: section </w:t>
      </w:r>
      <w:r w:rsidR="00FF5BA3">
        <w:rPr>
          <w:rStyle w:val="Instruction"/>
          <w:b w:val="0"/>
          <w:bCs/>
          <w:i w:val="0"/>
          <w:color w:val="auto"/>
        </w:rPr>
        <w:fldChar w:fldCharType="begin"/>
      </w:r>
      <w:r w:rsidR="00DC3941">
        <w:rPr>
          <w:rStyle w:val="Instruction"/>
          <w:b w:val="0"/>
          <w:bCs/>
          <w:i w:val="0"/>
          <w:color w:val="auto"/>
        </w:rPr>
        <w:instrText xml:space="preserve"> REF _Ref443402530 \r \h </w:instrText>
      </w:r>
      <w:r w:rsidR="00FF5BA3">
        <w:rPr>
          <w:rStyle w:val="Instruction"/>
          <w:b w:val="0"/>
          <w:bCs/>
          <w:i w:val="0"/>
          <w:color w:val="auto"/>
        </w:rPr>
      </w:r>
      <w:r w:rsidR="00FF5BA3">
        <w:rPr>
          <w:rStyle w:val="Instruction"/>
          <w:b w:val="0"/>
          <w:bCs/>
          <w:i w:val="0"/>
          <w:color w:val="auto"/>
        </w:rPr>
        <w:fldChar w:fldCharType="separate"/>
      </w:r>
      <w:r w:rsidR="007C78F1">
        <w:rPr>
          <w:rStyle w:val="Instruction"/>
          <w:b w:val="0"/>
          <w:bCs/>
          <w:i w:val="0"/>
          <w:color w:val="auto"/>
        </w:rPr>
        <w:t>10.6</w:t>
      </w:r>
      <w:r w:rsidR="00FF5BA3">
        <w:rPr>
          <w:rStyle w:val="Instruction"/>
          <w:b w:val="0"/>
          <w:bCs/>
          <w:i w:val="0"/>
          <w:color w:val="auto"/>
        </w:rPr>
        <w:fldChar w:fldCharType="end"/>
      </w:r>
      <w:r w:rsidR="00DC3941">
        <w:rPr>
          <w:rStyle w:val="Instruction"/>
          <w:b w:val="0"/>
          <w:bCs/>
          <w:i w:val="0"/>
          <w:color w:val="auto"/>
        </w:rPr>
        <w:t>)</w:t>
      </w:r>
      <w:r w:rsidR="00FC0F7D" w:rsidRPr="00A73986">
        <w:rPr>
          <w:rStyle w:val="Instruction"/>
          <w:b w:val="0"/>
          <w:bCs/>
          <w:i w:val="0"/>
          <w:color w:val="auto"/>
        </w:rPr>
        <w:t xml:space="preserve">, Bone scan, Bone scan result </w:t>
      </w:r>
      <w:r w:rsidRPr="00A73986">
        <w:rPr>
          <w:rStyle w:val="Instruction"/>
          <w:b w:val="0"/>
          <w:bCs/>
          <w:i w:val="0"/>
          <w:color w:val="auto"/>
        </w:rPr>
        <w:t xml:space="preserve">(Statistical </w:t>
      </w:r>
      <w:r w:rsidR="001A1F3D" w:rsidRPr="00A73986">
        <w:rPr>
          <w:rStyle w:val="Instruction"/>
          <w:b w:val="0"/>
          <w:bCs/>
          <w:i w:val="0"/>
          <w:color w:val="auto"/>
        </w:rPr>
        <w:t xml:space="preserve">Table </w:t>
      </w:r>
      <w:r w:rsidR="008C0591" w:rsidRPr="00A73986">
        <w:rPr>
          <w:rStyle w:val="Instruction"/>
          <w:b w:val="0"/>
          <w:bCs/>
          <w:i w:val="0"/>
          <w:color w:val="auto"/>
        </w:rPr>
        <w:t>7</w:t>
      </w:r>
      <w:r w:rsidRPr="00A73986">
        <w:rPr>
          <w:rStyle w:val="Instruction"/>
          <w:b w:val="0"/>
          <w:bCs/>
          <w:i w:val="0"/>
          <w:color w:val="auto"/>
        </w:rPr>
        <w:t>, Listing 16.2.4.2):</w:t>
      </w:r>
    </w:p>
    <w:p w:rsidR="00476329" w:rsidRPr="00A73986" w:rsidRDefault="00162DF5" w:rsidP="001559A5">
      <w:pPr>
        <w:pStyle w:val="ac"/>
        <w:numPr>
          <w:ilvl w:val="0"/>
          <w:numId w:val="27"/>
        </w:numPr>
        <w:spacing w:line="360" w:lineRule="auto"/>
        <w:rPr>
          <w:rStyle w:val="Instruction"/>
          <w:b w:val="0"/>
          <w:bCs/>
          <w:i w:val="0"/>
          <w:color w:val="auto"/>
        </w:rPr>
      </w:pPr>
      <w:r w:rsidRPr="00A73986">
        <w:rPr>
          <w:rStyle w:val="Instruction"/>
          <w:b w:val="0"/>
          <w:bCs/>
          <w:i w:val="0"/>
          <w:color w:val="auto"/>
        </w:rPr>
        <w:t>Medical history</w:t>
      </w:r>
      <w:r w:rsidR="00476329" w:rsidRPr="00A73986">
        <w:rPr>
          <w:rStyle w:val="Instruction"/>
          <w:b w:val="0"/>
          <w:bCs/>
          <w:i w:val="0"/>
          <w:color w:val="auto"/>
        </w:rPr>
        <w:t xml:space="preserve"> other than cancer under study by SOC and PT</w:t>
      </w:r>
      <w:r w:rsidR="00BA51C4" w:rsidRPr="00A73986">
        <w:rPr>
          <w:rStyle w:val="Instruction"/>
          <w:b w:val="0"/>
          <w:bCs/>
          <w:i w:val="0"/>
          <w:color w:val="auto"/>
        </w:rPr>
        <w:t xml:space="preserve"> (Statistical table </w:t>
      </w:r>
      <w:r w:rsidR="008C0591" w:rsidRPr="00A73986">
        <w:rPr>
          <w:rStyle w:val="Instruction"/>
          <w:b w:val="0"/>
          <w:bCs/>
          <w:i w:val="0"/>
          <w:color w:val="auto"/>
        </w:rPr>
        <w:t>10</w:t>
      </w:r>
      <w:r w:rsidR="00BA51C4" w:rsidRPr="00A73986">
        <w:rPr>
          <w:rStyle w:val="Instruction"/>
          <w:b w:val="0"/>
          <w:bCs/>
          <w:i w:val="0"/>
          <w:color w:val="auto"/>
        </w:rPr>
        <w:t>, Listing 16.2.4</w:t>
      </w:r>
      <w:r w:rsidR="00AC6FD2" w:rsidRPr="00A73986">
        <w:rPr>
          <w:rStyle w:val="Instruction"/>
          <w:b w:val="0"/>
          <w:bCs/>
          <w:i w:val="0"/>
          <w:color w:val="auto"/>
        </w:rPr>
        <w:t>.5</w:t>
      </w:r>
      <w:r w:rsidR="00BA51C4" w:rsidRPr="00A73986">
        <w:rPr>
          <w:rStyle w:val="Instruction"/>
          <w:b w:val="0"/>
          <w:bCs/>
          <w:i w:val="0"/>
          <w:color w:val="auto"/>
        </w:rPr>
        <w:t>)</w:t>
      </w:r>
    </w:p>
    <w:p w:rsidR="00162DF5" w:rsidRPr="00A73986" w:rsidRDefault="00476329" w:rsidP="001559A5">
      <w:pPr>
        <w:pStyle w:val="ac"/>
        <w:numPr>
          <w:ilvl w:val="0"/>
          <w:numId w:val="27"/>
        </w:numPr>
        <w:spacing w:line="360" w:lineRule="auto"/>
        <w:rPr>
          <w:rStyle w:val="Instruction"/>
          <w:b w:val="0"/>
          <w:bCs/>
          <w:i w:val="0"/>
          <w:color w:val="auto"/>
        </w:rPr>
      </w:pPr>
      <w:r w:rsidRPr="00A73986">
        <w:rPr>
          <w:rStyle w:val="Instruction"/>
          <w:b w:val="0"/>
          <w:bCs/>
          <w:i w:val="0"/>
          <w:color w:val="auto"/>
        </w:rPr>
        <w:t xml:space="preserve">Cancer history </w:t>
      </w:r>
      <w:r w:rsidR="00BA51C4" w:rsidRPr="00A73986">
        <w:rPr>
          <w:rStyle w:val="Instruction"/>
          <w:b w:val="0"/>
          <w:bCs/>
          <w:i w:val="0"/>
          <w:color w:val="auto"/>
        </w:rPr>
        <w:t xml:space="preserve">(Statistical </w:t>
      </w:r>
      <w:r w:rsidR="001A1F3D" w:rsidRPr="00A73986">
        <w:rPr>
          <w:rStyle w:val="Instruction"/>
          <w:b w:val="0"/>
          <w:bCs/>
          <w:i w:val="0"/>
          <w:color w:val="auto"/>
        </w:rPr>
        <w:t xml:space="preserve">Table </w:t>
      </w:r>
      <w:r w:rsidR="008C0591" w:rsidRPr="00A73986">
        <w:rPr>
          <w:rStyle w:val="Instruction"/>
          <w:b w:val="0"/>
          <w:bCs/>
          <w:i w:val="0"/>
          <w:color w:val="auto"/>
        </w:rPr>
        <w:t>8</w:t>
      </w:r>
      <w:r w:rsidR="00BA51C4" w:rsidRPr="00A73986">
        <w:rPr>
          <w:rStyle w:val="Instruction"/>
          <w:b w:val="0"/>
          <w:bCs/>
          <w:i w:val="0"/>
          <w:color w:val="auto"/>
        </w:rPr>
        <w:t>, Listing 16.2.4</w:t>
      </w:r>
      <w:r w:rsidR="00AC6FD2" w:rsidRPr="00A73986">
        <w:rPr>
          <w:rStyle w:val="Instruction"/>
          <w:b w:val="0"/>
          <w:bCs/>
          <w:i w:val="0"/>
          <w:color w:val="auto"/>
        </w:rPr>
        <w:t>.3</w:t>
      </w:r>
      <w:r w:rsidR="00BA51C4" w:rsidRPr="00A73986">
        <w:rPr>
          <w:rStyle w:val="Instruction"/>
          <w:b w:val="0"/>
          <w:bCs/>
          <w:i w:val="0"/>
          <w:color w:val="auto"/>
        </w:rPr>
        <w:t>)</w:t>
      </w:r>
    </w:p>
    <w:p w:rsidR="005129CF" w:rsidRDefault="00162DF5" w:rsidP="005129CF">
      <w:pPr>
        <w:pStyle w:val="ac"/>
        <w:numPr>
          <w:ilvl w:val="0"/>
          <w:numId w:val="27"/>
        </w:numPr>
        <w:spacing w:line="360" w:lineRule="auto"/>
        <w:rPr>
          <w:rStyle w:val="Instruction"/>
          <w:b w:val="0"/>
          <w:bCs/>
          <w:i w:val="0"/>
          <w:color w:val="auto"/>
        </w:rPr>
      </w:pPr>
      <w:r w:rsidRPr="00A73986">
        <w:rPr>
          <w:rStyle w:val="Instruction"/>
          <w:b w:val="0"/>
          <w:bCs/>
          <w:i w:val="0"/>
          <w:color w:val="auto"/>
        </w:rPr>
        <w:t>Treatment history</w:t>
      </w:r>
      <w:r w:rsidR="00BA51C4" w:rsidRPr="00A73986">
        <w:rPr>
          <w:rStyle w:val="Instruction"/>
          <w:b w:val="0"/>
          <w:bCs/>
          <w:i w:val="0"/>
          <w:color w:val="auto"/>
        </w:rPr>
        <w:t xml:space="preserve"> (Statistical </w:t>
      </w:r>
      <w:r w:rsidR="001A1F3D" w:rsidRPr="00A73986">
        <w:rPr>
          <w:rStyle w:val="Instruction"/>
          <w:b w:val="0"/>
          <w:bCs/>
          <w:i w:val="0"/>
          <w:color w:val="auto"/>
        </w:rPr>
        <w:t xml:space="preserve">Table </w:t>
      </w:r>
      <w:r w:rsidR="008C0591" w:rsidRPr="00A73986">
        <w:rPr>
          <w:rStyle w:val="Instruction"/>
          <w:b w:val="0"/>
          <w:bCs/>
          <w:i w:val="0"/>
          <w:color w:val="auto"/>
        </w:rPr>
        <w:t>9</w:t>
      </w:r>
      <w:r w:rsidR="00BA51C4" w:rsidRPr="00A73986">
        <w:rPr>
          <w:rStyle w:val="Instruction"/>
          <w:b w:val="0"/>
          <w:bCs/>
          <w:i w:val="0"/>
          <w:color w:val="auto"/>
        </w:rPr>
        <w:t>, Listing 16.2.4</w:t>
      </w:r>
      <w:r w:rsidR="00AC6FD2" w:rsidRPr="00A73986">
        <w:rPr>
          <w:rStyle w:val="Instruction"/>
          <w:b w:val="0"/>
          <w:bCs/>
          <w:i w:val="0"/>
          <w:color w:val="auto"/>
        </w:rPr>
        <w:t>.4)</w:t>
      </w:r>
    </w:p>
    <w:p w:rsidR="005129CF" w:rsidRDefault="005129CF" w:rsidP="005129CF">
      <w:pPr>
        <w:pStyle w:val="ac"/>
        <w:spacing w:line="360" w:lineRule="auto"/>
        <w:rPr>
          <w:rStyle w:val="Instruction"/>
          <w:b w:val="0"/>
          <w:bCs/>
          <w:i w:val="0"/>
          <w:color w:val="auto"/>
        </w:rPr>
      </w:pPr>
    </w:p>
    <w:p w:rsidR="005129CF" w:rsidRDefault="005129CF" w:rsidP="005129CF">
      <w:pPr>
        <w:spacing w:line="360" w:lineRule="auto"/>
        <w:rPr>
          <w:rStyle w:val="Instruction"/>
          <w:b w:val="0"/>
          <w:bCs/>
          <w:i w:val="0"/>
          <w:color w:val="auto"/>
        </w:rPr>
      </w:pPr>
      <w:r>
        <w:rPr>
          <w:rStyle w:val="Instruction"/>
          <w:b w:val="0"/>
          <w:bCs/>
          <w:i w:val="0"/>
          <w:color w:val="auto"/>
        </w:rPr>
        <w:t>The following baseline characteristics will be described by treatment group on the FAS analysis data set:</w:t>
      </w:r>
    </w:p>
    <w:p w:rsidR="005129CF" w:rsidRDefault="005129CF" w:rsidP="005129CF">
      <w:pPr>
        <w:pStyle w:val="ac"/>
        <w:numPr>
          <w:ilvl w:val="0"/>
          <w:numId w:val="49"/>
        </w:numPr>
        <w:spacing w:line="360" w:lineRule="auto"/>
        <w:rPr>
          <w:rStyle w:val="Instruction"/>
          <w:b w:val="0"/>
          <w:bCs/>
          <w:i w:val="0"/>
          <w:color w:val="auto"/>
        </w:rPr>
      </w:pPr>
      <w:r>
        <w:rPr>
          <w:rStyle w:val="Instruction"/>
          <w:b w:val="0"/>
          <w:bCs/>
          <w:i w:val="0"/>
          <w:color w:val="auto"/>
        </w:rPr>
        <w:lastRenderedPageBreak/>
        <w:t>Laboratory test: Hematology at baseline (Statistical Table 11) and clinical chemistry at baseline (Statistical Table 12)</w:t>
      </w:r>
    </w:p>
    <w:p w:rsidR="005129CF" w:rsidRDefault="005129CF" w:rsidP="005129CF">
      <w:pPr>
        <w:pStyle w:val="ac"/>
        <w:numPr>
          <w:ilvl w:val="0"/>
          <w:numId w:val="49"/>
        </w:numPr>
        <w:spacing w:line="360" w:lineRule="auto"/>
        <w:rPr>
          <w:rStyle w:val="Instruction"/>
          <w:b w:val="0"/>
          <w:bCs/>
          <w:i w:val="0"/>
          <w:color w:val="auto"/>
        </w:rPr>
      </w:pPr>
      <w:r>
        <w:rPr>
          <w:rStyle w:val="Instruction"/>
          <w:b w:val="0"/>
          <w:bCs/>
          <w:i w:val="0"/>
          <w:color w:val="auto"/>
        </w:rPr>
        <w:t>Vital signs at baseline (Statistical Table 13)</w:t>
      </w:r>
    </w:p>
    <w:p w:rsidR="005129CF" w:rsidRDefault="005129CF" w:rsidP="005129CF">
      <w:pPr>
        <w:pStyle w:val="ac"/>
        <w:numPr>
          <w:ilvl w:val="0"/>
          <w:numId w:val="49"/>
        </w:numPr>
        <w:spacing w:line="360" w:lineRule="auto"/>
        <w:rPr>
          <w:rStyle w:val="Instruction"/>
          <w:b w:val="0"/>
          <w:bCs/>
          <w:i w:val="0"/>
          <w:color w:val="auto"/>
        </w:rPr>
      </w:pPr>
      <w:r>
        <w:rPr>
          <w:rStyle w:val="Instruction"/>
          <w:b w:val="0"/>
          <w:bCs/>
          <w:i w:val="0"/>
          <w:color w:val="auto"/>
        </w:rPr>
        <w:t>Physical examination at baseline (Statistical Table 14)</w:t>
      </w:r>
    </w:p>
    <w:p w:rsidR="005129CF" w:rsidRDefault="005129CF" w:rsidP="005129CF">
      <w:pPr>
        <w:pStyle w:val="ac"/>
        <w:numPr>
          <w:ilvl w:val="0"/>
          <w:numId w:val="49"/>
        </w:numPr>
        <w:spacing w:line="360" w:lineRule="auto"/>
        <w:rPr>
          <w:rStyle w:val="Instruction"/>
          <w:b w:val="0"/>
          <w:bCs/>
          <w:i w:val="0"/>
          <w:color w:val="auto"/>
        </w:rPr>
      </w:pPr>
      <w:r>
        <w:rPr>
          <w:rStyle w:val="Instruction"/>
          <w:b w:val="0"/>
          <w:bCs/>
          <w:i w:val="0"/>
          <w:color w:val="auto"/>
        </w:rPr>
        <w:t>12–lead ECG at baseline (Statistical Table 15)</w:t>
      </w:r>
    </w:p>
    <w:p w:rsidR="005129CF" w:rsidRPr="005129CF" w:rsidRDefault="005129CF" w:rsidP="005129CF">
      <w:pPr>
        <w:pStyle w:val="ac"/>
        <w:numPr>
          <w:ilvl w:val="0"/>
          <w:numId w:val="49"/>
        </w:numPr>
        <w:spacing w:line="360" w:lineRule="auto"/>
        <w:rPr>
          <w:rStyle w:val="Instruction"/>
          <w:b w:val="0"/>
          <w:bCs/>
          <w:i w:val="0"/>
          <w:color w:val="auto"/>
        </w:rPr>
      </w:pPr>
      <w:r>
        <w:rPr>
          <w:rStyle w:val="Instruction"/>
          <w:b w:val="0"/>
          <w:bCs/>
          <w:i w:val="0"/>
          <w:color w:val="auto"/>
        </w:rPr>
        <w:t>ECOG performance status (Statistical Table 16)</w:t>
      </w:r>
    </w:p>
    <w:p w:rsidR="00AF3917" w:rsidRPr="00A73986" w:rsidRDefault="00AF3917" w:rsidP="00F758BA">
      <w:pPr>
        <w:pStyle w:val="3"/>
        <w:spacing w:line="360" w:lineRule="auto"/>
      </w:pPr>
      <w:bookmarkStart w:id="61" w:name="_Toc36974613"/>
      <w:bookmarkStart w:id="62" w:name="_Toc461617849"/>
      <w:r w:rsidRPr="00A73986">
        <w:t>Patient disposition and study discontinuations</w:t>
      </w:r>
      <w:bookmarkEnd w:id="61"/>
      <w:bookmarkEnd w:id="62"/>
    </w:p>
    <w:p w:rsidR="00EB3322" w:rsidRDefault="00EB3322" w:rsidP="00F758BA">
      <w:pPr>
        <w:spacing w:line="360" w:lineRule="auto"/>
        <w:rPr>
          <w:sz w:val="24"/>
        </w:rPr>
      </w:pPr>
      <w:bookmarkStart w:id="63" w:name="_Toc36974614"/>
      <w:r w:rsidRPr="00A73986">
        <w:rPr>
          <w:sz w:val="24"/>
        </w:rPr>
        <w:t>Patient disposition will be described using a listing (Listing 16.2.1</w:t>
      </w:r>
      <w:r w:rsidR="00AC6FD2" w:rsidRPr="00A73986">
        <w:rPr>
          <w:sz w:val="24"/>
        </w:rPr>
        <w:t>.1</w:t>
      </w:r>
      <w:r w:rsidRPr="00A73986">
        <w:rPr>
          <w:sz w:val="24"/>
        </w:rPr>
        <w:t>)</w:t>
      </w:r>
      <w:r w:rsidR="00C91D21" w:rsidRPr="00A73986">
        <w:rPr>
          <w:sz w:val="24"/>
        </w:rPr>
        <w:t>, a statistical</w:t>
      </w:r>
      <w:r w:rsidRPr="00A73986">
        <w:rPr>
          <w:sz w:val="24"/>
        </w:rPr>
        <w:t xml:space="preserve"> table (Statistical </w:t>
      </w:r>
      <w:r w:rsidR="001A1F3D" w:rsidRPr="00A73986">
        <w:rPr>
          <w:sz w:val="24"/>
        </w:rPr>
        <w:t xml:space="preserve">Table </w:t>
      </w:r>
      <w:r w:rsidR="008C0591" w:rsidRPr="00A73986">
        <w:rPr>
          <w:sz w:val="24"/>
        </w:rPr>
        <w:t>2</w:t>
      </w:r>
      <w:r w:rsidRPr="00A73986">
        <w:rPr>
          <w:sz w:val="24"/>
        </w:rPr>
        <w:t xml:space="preserve">) and a flow chart (Figure </w:t>
      </w:r>
      <w:r w:rsidR="008C0591" w:rsidRPr="00A73986">
        <w:rPr>
          <w:sz w:val="24"/>
        </w:rPr>
        <w:t>1</w:t>
      </w:r>
      <w:r w:rsidRPr="00A73986">
        <w:rPr>
          <w:sz w:val="24"/>
        </w:rPr>
        <w:t>).</w:t>
      </w:r>
      <w:r w:rsidRPr="00C369A5">
        <w:rPr>
          <w:sz w:val="24"/>
        </w:rPr>
        <w:t xml:space="preserve"> </w:t>
      </w:r>
    </w:p>
    <w:p w:rsidR="00EB3322" w:rsidRPr="00C369A5" w:rsidRDefault="00EB3322" w:rsidP="00F758BA">
      <w:pPr>
        <w:spacing w:line="360" w:lineRule="auto"/>
        <w:rPr>
          <w:sz w:val="24"/>
        </w:rPr>
      </w:pPr>
      <w:r w:rsidRPr="00C369A5">
        <w:rPr>
          <w:sz w:val="24"/>
        </w:rPr>
        <w:t>The following variables will be tabulated for the screened population:</w:t>
      </w:r>
    </w:p>
    <w:p w:rsidR="00EB3322" w:rsidRPr="00C369A5" w:rsidRDefault="00EB3322" w:rsidP="001559A5">
      <w:pPr>
        <w:pStyle w:val="ac"/>
        <w:numPr>
          <w:ilvl w:val="0"/>
          <w:numId w:val="27"/>
        </w:numPr>
        <w:spacing w:line="360" w:lineRule="auto"/>
        <w:rPr>
          <w:sz w:val="24"/>
        </w:rPr>
      </w:pPr>
      <w:r w:rsidRPr="00C369A5">
        <w:rPr>
          <w:sz w:val="24"/>
        </w:rPr>
        <w:t>Number of patients screened</w:t>
      </w:r>
    </w:p>
    <w:p w:rsidR="00EB3322" w:rsidRPr="00C369A5" w:rsidRDefault="00EB3322" w:rsidP="001559A5">
      <w:pPr>
        <w:pStyle w:val="ac"/>
        <w:numPr>
          <w:ilvl w:val="0"/>
          <w:numId w:val="27"/>
        </w:numPr>
        <w:spacing w:line="360" w:lineRule="auto"/>
        <w:rPr>
          <w:sz w:val="24"/>
        </w:rPr>
      </w:pPr>
      <w:r w:rsidRPr="00C369A5">
        <w:rPr>
          <w:sz w:val="24"/>
        </w:rPr>
        <w:t>Number of patients included in the study</w:t>
      </w:r>
    </w:p>
    <w:p w:rsidR="00EB3322" w:rsidRPr="00C369A5" w:rsidRDefault="00EB3322" w:rsidP="001559A5">
      <w:pPr>
        <w:pStyle w:val="ac"/>
        <w:numPr>
          <w:ilvl w:val="0"/>
          <w:numId w:val="27"/>
        </w:numPr>
        <w:spacing w:line="360" w:lineRule="auto"/>
        <w:rPr>
          <w:sz w:val="24"/>
        </w:rPr>
      </w:pPr>
      <w:r w:rsidRPr="00C369A5">
        <w:rPr>
          <w:sz w:val="24"/>
        </w:rPr>
        <w:t xml:space="preserve">Number of randomised patients, total and per </w:t>
      </w:r>
      <w:r>
        <w:rPr>
          <w:sz w:val="24"/>
        </w:rPr>
        <w:t>treatment</w:t>
      </w:r>
      <w:r w:rsidRPr="00C369A5">
        <w:rPr>
          <w:sz w:val="24"/>
        </w:rPr>
        <w:t xml:space="preserve"> group</w:t>
      </w:r>
    </w:p>
    <w:p w:rsidR="00EB3322" w:rsidRPr="00C369A5" w:rsidRDefault="00EB3322" w:rsidP="001559A5">
      <w:pPr>
        <w:pStyle w:val="ac"/>
        <w:numPr>
          <w:ilvl w:val="0"/>
          <w:numId w:val="27"/>
        </w:numPr>
        <w:spacing w:line="360" w:lineRule="auto"/>
        <w:rPr>
          <w:sz w:val="24"/>
        </w:rPr>
      </w:pPr>
      <w:r w:rsidRPr="00C369A5">
        <w:rPr>
          <w:sz w:val="24"/>
        </w:rPr>
        <w:t>Number of randomised patient</w:t>
      </w:r>
      <w:r w:rsidR="00C91D21">
        <w:rPr>
          <w:sz w:val="24"/>
        </w:rPr>
        <w:t>s</w:t>
      </w:r>
      <w:r w:rsidRPr="00C369A5">
        <w:rPr>
          <w:sz w:val="24"/>
        </w:rPr>
        <w:t xml:space="preserve"> </w:t>
      </w:r>
      <w:r w:rsidR="00C91D21">
        <w:rPr>
          <w:sz w:val="24"/>
        </w:rPr>
        <w:t>assessed at each</w:t>
      </w:r>
      <w:r w:rsidR="00C91D21" w:rsidRPr="00C369A5">
        <w:rPr>
          <w:sz w:val="24"/>
        </w:rPr>
        <w:t xml:space="preserve"> </w:t>
      </w:r>
      <w:r w:rsidRPr="00C369A5">
        <w:rPr>
          <w:sz w:val="24"/>
        </w:rPr>
        <w:t xml:space="preserve">visit, total and per </w:t>
      </w:r>
      <w:r>
        <w:rPr>
          <w:sz w:val="24"/>
        </w:rPr>
        <w:t>treatment</w:t>
      </w:r>
      <w:r w:rsidRPr="00C369A5">
        <w:rPr>
          <w:sz w:val="24"/>
        </w:rPr>
        <w:t xml:space="preserve"> group</w:t>
      </w:r>
    </w:p>
    <w:p w:rsidR="00C91D21" w:rsidRPr="00C369A5" w:rsidRDefault="00EB3322" w:rsidP="001559A5">
      <w:pPr>
        <w:pStyle w:val="ac"/>
        <w:numPr>
          <w:ilvl w:val="0"/>
          <w:numId w:val="27"/>
        </w:numPr>
        <w:spacing w:line="360" w:lineRule="auto"/>
        <w:rPr>
          <w:sz w:val="24"/>
        </w:rPr>
      </w:pPr>
      <w:r w:rsidRPr="00C369A5">
        <w:rPr>
          <w:sz w:val="24"/>
        </w:rPr>
        <w:t>Number of randomised pat</w:t>
      </w:r>
      <w:r>
        <w:rPr>
          <w:sz w:val="24"/>
        </w:rPr>
        <w:t>ients withdrawn from the study</w:t>
      </w:r>
      <w:r w:rsidRPr="00C369A5">
        <w:rPr>
          <w:sz w:val="24"/>
        </w:rPr>
        <w:t xml:space="preserve"> </w:t>
      </w:r>
      <w:r w:rsidR="00F758BA">
        <w:rPr>
          <w:sz w:val="24"/>
        </w:rPr>
        <w:t xml:space="preserve">per reason for withdrawal, </w:t>
      </w:r>
      <w:r w:rsidRPr="00C369A5">
        <w:rPr>
          <w:sz w:val="24"/>
        </w:rPr>
        <w:t xml:space="preserve">total and </w:t>
      </w:r>
      <w:r w:rsidR="00F758BA">
        <w:rPr>
          <w:sz w:val="24"/>
        </w:rPr>
        <w:t xml:space="preserve">per </w:t>
      </w:r>
      <w:r w:rsidRPr="00C369A5">
        <w:rPr>
          <w:sz w:val="24"/>
        </w:rPr>
        <w:t xml:space="preserve"> </w:t>
      </w:r>
      <w:r>
        <w:rPr>
          <w:sz w:val="24"/>
        </w:rPr>
        <w:t>treatment</w:t>
      </w:r>
      <w:r w:rsidRPr="00C369A5">
        <w:rPr>
          <w:sz w:val="24"/>
        </w:rPr>
        <w:t xml:space="preserve"> group </w:t>
      </w:r>
    </w:p>
    <w:p w:rsidR="00EB3322" w:rsidRDefault="00EB3322" w:rsidP="00F758BA">
      <w:pPr>
        <w:spacing w:line="360" w:lineRule="auto"/>
        <w:rPr>
          <w:sz w:val="24"/>
        </w:rPr>
      </w:pPr>
    </w:p>
    <w:p w:rsidR="00EB3322" w:rsidRPr="00A73986" w:rsidRDefault="00EB3322" w:rsidP="00F758BA">
      <w:pPr>
        <w:spacing w:line="360" w:lineRule="auto"/>
        <w:rPr>
          <w:sz w:val="24"/>
        </w:rPr>
      </w:pPr>
      <w:r w:rsidRPr="00A73986">
        <w:rPr>
          <w:sz w:val="24"/>
        </w:rPr>
        <w:t xml:space="preserve">The numbers of patient within each dataset (FAS, PP and SAF), globally and by treatment group, will be provided (Statistical </w:t>
      </w:r>
      <w:r w:rsidR="001A1F3D" w:rsidRPr="00A73986">
        <w:rPr>
          <w:sz w:val="24"/>
        </w:rPr>
        <w:t xml:space="preserve">Table </w:t>
      </w:r>
      <w:r w:rsidR="008C0591" w:rsidRPr="00A73986">
        <w:rPr>
          <w:sz w:val="24"/>
        </w:rPr>
        <w:t>3</w:t>
      </w:r>
      <w:r w:rsidR="00F758BA" w:rsidRPr="00A73986">
        <w:rPr>
          <w:sz w:val="24"/>
        </w:rPr>
        <w:t>)</w:t>
      </w:r>
      <w:r w:rsidR="00C91D21" w:rsidRPr="00A73986">
        <w:rPr>
          <w:sz w:val="24"/>
        </w:rPr>
        <w:t xml:space="preserve"> together with numbers of patients assessed at each visit, globally and by treatment group</w:t>
      </w:r>
      <w:r w:rsidR="00F758BA" w:rsidRPr="00A73986">
        <w:rPr>
          <w:sz w:val="24"/>
        </w:rPr>
        <w:t xml:space="preserve">. </w:t>
      </w:r>
      <w:r w:rsidRPr="00A73986">
        <w:rPr>
          <w:sz w:val="24"/>
        </w:rPr>
        <w:t>Reasons for exclusions from the FAS and PP populations will also be provided in Listing 16.2.3</w:t>
      </w:r>
      <w:r w:rsidR="00AC6FD2" w:rsidRPr="00A73986">
        <w:rPr>
          <w:sz w:val="24"/>
        </w:rPr>
        <w:t>.1</w:t>
      </w:r>
      <w:r w:rsidRPr="00A73986">
        <w:rPr>
          <w:sz w:val="24"/>
        </w:rPr>
        <w:t>, according to ICHE3.</w:t>
      </w:r>
    </w:p>
    <w:p w:rsidR="00EB3322" w:rsidRPr="00A73986" w:rsidRDefault="00EB3322" w:rsidP="00F758BA">
      <w:pPr>
        <w:spacing w:line="360" w:lineRule="auto"/>
        <w:rPr>
          <w:sz w:val="24"/>
        </w:rPr>
      </w:pPr>
    </w:p>
    <w:p w:rsidR="00EB3322" w:rsidRPr="00A73986" w:rsidRDefault="00EB3322" w:rsidP="00F758BA">
      <w:pPr>
        <w:spacing w:line="360" w:lineRule="auto"/>
        <w:rPr>
          <w:sz w:val="24"/>
        </w:rPr>
      </w:pPr>
      <w:r w:rsidRPr="00A73986">
        <w:rPr>
          <w:sz w:val="24"/>
        </w:rPr>
        <w:t xml:space="preserve">All protocol deviations will be tabulated </w:t>
      </w:r>
      <w:r w:rsidR="00C91D21" w:rsidRPr="00A73986">
        <w:rPr>
          <w:sz w:val="24"/>
        </w:rPr>
        <w:t xml:space="preserve">by category (major or minor deviations, see Section </w:t>
      </w:r>
      <w:fldSimple w:instr=" REF _Ref436226104 \r \h  \* MERGEFORMAT ">
        <w:r w:rsidR="007C78F1">
          <w:rPr>
            <w:sz w:val="24"/>
          </w:rPr>
          <w:t>3.1</w:t>
        </w:r>
      </w:fldSimple>
      <w:r w:rsidR="00C91D21" w:rsidRPr="00A73986">
        <w:rPr>
          <w:sz w:val="24"/>
        </w:rPr>
        <w:t xml:space="preserve">) </w:t>
      </w:r>
      <w:r w:rsidRPr="00A73986">
        <w:rPr>
          <w:sz w:val="24"/>
        </w:rPr>
        <w:t xml:space="preserve">by treatment group for the randomized population (Statistical </w:t>
      </w:r>
      <w:r w:rsidR="001A1F3D" w:rsidRPr="00A73986">
        <w:rPr>
          <w:sz w:val="24"/>
        </w:rPr>
        <w:t>T</w:t>
      </w:r>
      <w:r w:rsidRPr="00A73986">
        <w:rPr>
          <w:sz w:val="24"/>
        </w:rPr>
        <w:t xml:space="preserve">able </w:t>
      </w:r>
      <w:r w:rsidR="008C0591" w:rsidRPr="00A73986">
        <w:rPr>
          <w:sz w:val="24"/>
        </w:rPr>
        <w:t xml:space="preserve">5 </w:t>
      </w:r>
      <w:r w:rsidRPr="00A73986">
        <w:rPr>
          <w:sz w:val="24"/>
        </w:rPr>
        <w:t xml:space="preserve">and </w:t>
      </w:r>
      <w:r w:rsidR="008C0591" w:rsidRPr="00A73986">
        <w:rPr>
          <w:sz w:val="24"/>
        </w:rPr>
        <w:t xml:space="preserve">6 </w:t>
      </w:r>
      <w:r w:rsidRPr="00A73986">
        <w:rPr>
          <w:sz w:val="24"/>
        </w:rPr>
        <w:t>respectively). All major and minor protocol deviations will also be provided in Listing 16.2.2.</w:t>
      </w:r>
    </w:p>
    <w:p w:rsidR="00AF3917" w:rsidRPr="00A73986" w:rsidRDefault="00AF3917" w:rsidP="003B4BCF">
      <w:pPr>
        <w:pStyle w:val="3"/>
        <w:spacing w:line="360" w:lineRule="auto"/>
        <w:rPr>
          <w:szCs w:val="24"/>
        </w:rPr>
      </w:pPr>
      <w:bookmarkStart w:id="64" w:name="_Toc461617850"/>
      <w:r w:rsidRPr="00A73986">
        <w:rPr>
          <w:szCs w:val="24"/>
        </w:rPr>
        <w:t>Extent of exposure and compliance</w:t>
      </w:r>
      <w:bookmarkEnd w:id="63"/>
      <w:bookmarkEnd w:id="64"/>
    </w:p>
    <w:p w:rsidR="005845F9" w:rsidRPr="00A73986" w:rsidRDefault="005845F9" w:rsidP="004A0A14">
      <w:pPr>
        <w:pStyle w:val="Default"/>
        <w:spacing w:line="360" w:lineRule="auto"/>
        <w:jc w:val="both"/>
        <w:rPr>
          <w:rFonts w:ascii="Times New Roman" w:hAnsi="Times New Roman" w:cs="Times New Roman"/>
          <w:color w:val="auto"/>
          <w:lang w:val="en-GB" w:eastAsia="en-US"/>
        </w:rPr>
      </w:pPr>
      <w:bookmarkStart w:id="65" w:name="_Toc36974615"/>
      <w:r w:rsidRPr="00A73986">
        <w:rPr>
          <w:rFonts w:ascii="Times New Roman" w:hAnsi="Times New Roman" w:cs="Times New Roman"/>
          <w:color w:val="auto"/>
          <w:lang w:val="en-GB" w:eastAsia="en-US"/>
        </w:rPr>
        <w:t>Compliance with study treatment will be computed for each subject of the FAS and the PP populations as the proportion of vaccination</w:t>
      </w:r>
      <w:r w:rsidR="00B56968" w:rsidRPr="00A73986">
        <w:rPr>
          <w:rFonts w:ascii="Times New Roman" w:hAnsi="Times New Roman" w:cs="Times New Roman"/>
          <w:color w:val="auto"/>
          <w:lang w:val="en-GB" w:eastAsia="en-US"/>
        </w:rPr>
        <w:t>s actually</w:t>
      </w:r>
      <w:r w:rsidR="00991B24" w:rsidRPr="00A73986">
        <w:rPr>
          <w:rFonts w:ascii="Times New Roman" w:hAnsi="Times New Roman" w:cs="Times New Roman"/>
          <w:color w:val="auto"/>
          <w:lang w:val="en-GB" w:eastAsia="en-US"/>
        </w:rPr>
        <w:t xml:space="preserve"> performed</w:t>
      </w:r>
      <w:r w:rsidRPr="00A73986">
        <w:rPr>
          <w:rFonts w:ascii="Times New Roman" w:hAnsi="Times New Roman" w:cs="Times New Roman"/>
          <w:color w:val="auto"/>
          <w:lang w:val="en-GB" w:eastAsia="en-US"/>
        </w:rPr>
        <w:t xml:space="preserve"> (see section </w:t>
      </w:r>
      <w:fldSimple w:instr=" REF _Ref201937289 \r \h  \* MERGEFORMAT ">
        <w:r w:rsidR="007C78F1">
          <w:rPr>
            <w:rFonts w:ascii="Times New Roman" w:hAnsi="Times New Roman" w:cs="Times New Roman"/>
            <w:color w:val="auto"/>
            <w:lang w:val="en-GB" w:eastAsia="en-US"/>
          </w:rPr>
          <w:t>8</w:t>
        </w:r>
      </w:fldSimple>
      <w:r w:rsidRPr="00A73986">
        <w:rPr>
          <w:rFonts w:ascii="Times New Roman" w:hAnsi="Times New Roman" w:cs="Times New Roman"/>
          <w:color w:val="auto"/>
          <w:lang w:val="en-GB" w:eastAsia="en-US"/>
        </w:rPr>
        <w:t xml:space="preserve">). Treatment </w:t>
      </w:r>
      <w:r w:rsidRPr="00A73986">
        <w:rPr>
          <w:rFonts w:ascii="Times New Roman" w:hAnsi="Times New Roman" w:cs="Times New Roman"/>
          <w:color w:val="auto"/>
          <w:lang w:val="en-GB" w:eastAsia="en-US"/>
        </w:rPr>
        <w:lastRenderedPageBreak/>
        <w:t xml:space="preserve">compliance will then be analysed globally and by treatment group, as a numerical variable as well as a categorical variable (see section </w:t>
      </w:r>
      <w:fldSimple w:instr=" REF _Ref201937289 \r \h  \* MERGEFORMAT ">
        <w:r w:rsidR="007C78F1">
          <w:rPr>
            <w:rFonts w:ascii="Times New Roman" w:hAnsi="Times New Roman" w:cs="Times New Roman"/>
            <w:color w:val="auto"/>
            <w:lang w:val="en-GB" w:eastAsia="en-US"/>
          </w:rPr>
          <w:t>8</w:t>
        </w:r>
      </w:fldSimple>
      <w:r w:rsidRPr="00A73986">
        <w:rPr>
          <w:rFonts w:ascii="Times New Roman" w:hAnsi="Times New Roman" w:cs="Times New Roman"/>
          <w:color w:val="auto"/>
          <w:lang w:val="en-GB" w:eastAsia="en-US"/>
        </w:rPr>
        <w:t xml:space="preserve">, Statistical </w:t>
      </w:r>
      <w:r w:rsidR="001A1F3D" w:rsidRPr="00A73986">
        <w:rPr>
          <w:rFonts w:ascii="Times New Roman" w:hAnsi="Times New Roman" w:cs="Times New Roman"/>
          <w:color w:val="auto"/>
          <w:lang w:val="en-GB" w:eastAsia="en-US"/>
        </w:rPr>
        <w:t xml:space="preserve">Table </w:t>
      </w:r>
      <w:r w:rsidR="008C0591" w:rsidRPr="00A73986">
        <w:rPr>
          <w:rFonts w:ascii="Times New Roman" w:hAnsi="Times New Roman" w:cs="Times New Roman"/>
          <w:color w:val="auto"/>
          <w:lang w:val="en-GB" w:eastAsia="en-US"/>
        </w:rPr>
        <w:t>18</w:t>
      </w:r>
      <w:r w:rsidRPr="00A73986">
        <w:rPr>
          <w:rFonts w:ascii="Times New Roman" w:hAnsi="Times New Roman" w:cs="Times New Roman"/>
          <w:color w:val="auto"/>
          <w:lang w:val="en-GB" w:eastAsia="en-US"/>
        </w:rPr>
        <w:t xml:space="preserve">). </w:t>
      </w:r>
    </w:p>
    <w:p w:rsidR="005845F9" w:rsidRPr="00A73986" w:rsidRDefault="005845F9" w:rsidP="004A0A14">
      <w:pPr>
        <w:spacing w:line="360" w:lineRule="auto"/>
        <w:rPr>
          <w:b/>
          <w:i/>
          <w:sz w:val="24"/>
        </w:rPr>
      </w:pPr>
    </w:p>
    <w:p w:rsidR="005845F9" w:rsidRPr="00A73986" w:rsidRDefault="005845F9" w:rsidP="004A0A14">
      <w:pPr>
        <w:spacing w:line="360" w:lineRule="auto"/>
        <w:rPr>
          <w:sz w:val="24"/>
        </w:rPr>
      </w:pPr>
      <w:r w:rsidRPr="00A73986">
        <w:rPr>
          <w:sz w:val="24"/>
        </w:rPr>
        <w:t xml:space="preserve">To analyse the extent of exposure the following variables will be summarised by treatment group for the SAF population (Statistical </w:t>
      </w:r>
      <w:r w:rsidR="001A1F3D" w:rsidRPr="00A73986">
        <w:rPr>
          <w:sz w:val="24"/>
        </w:rPr>
        <w:t xml:space="preserve">Table </w:t>
      </w:r>
      <w:r w:rsidR="00B42DC6" w:rsidRPr="00A73986">
        <w:rPr>
          <w:sz w:val="24"/>
        </w:rPr>
        <w:t>31</w:t>
      </w:r>
      <w:r w:rsidRPr="00A73986">
        <w:rPr>
          <w:sz w:val="24"/>
        </w:rPr>
        <w:t>):</w:t>
      </w:r>
    </w:p>
    <w:p w:rsidR="005845F9" w:rsidRPr="00A73986" w:rsidRDefault="005845F9" w:rsidP="001559A5">
      <w:pPr>
        <w:pStyle w:val="ac"/>
        <w:numPr>
          <w:ilvl w:val="0"/>
          <w:numId w:val="29"/>
        </w:numPr>
        <w:spacing w:line="360" w:lineRule="auto"/>
        <w:rPr>
          <w:sz w:val="24"/>
        </w:rPr>
      </w:pPr>
      <w:r w:rsidRPr="00A73986">
        <w:rPr>
          <w:sz w:val="24"/>
        </w:rPr>
        <w:t xml:space="preserve">number of </w:t>
      </w:r>
      <w:r w:rsidR="004A0A14" w:rsidRPr="00A73986">
        <w:rPr>
          <w:sz w:val="24"/>
        </w:rPr>
        <w:t>vaccination</w:t>
      </w:r>
      <w:r w:rsidR="00B56968" w:rsidRPr="00A73986">
        <w:rPr>
          <w:sz w:val="24"/>
        </w:rPr>
        <w:t>s</w:t>
      </w:r>
      <w:r w:rsidR="004A0A14" w:rsidRPr="00A73986">
        <w:rPr>
          <w:sz w:val="24"/>
        </w:rPr>
        <w:t xml:space="preserve"> performed</w:t>
      </w:r>
    </w:p>
    <w:p w:rsidR="005845F9" w:rsidRPr="00A73986" w:rsidRDefault="005845F9" w:rsidP="001559A5">
      <w:pPr>
        <w:pStyle w:val="ac"/>
        <w:numPr>
          <w:ilvl w:val="0"/>
          <w:numId w:val="29"/>
        </w:numPr>
        <w:spacing w:line="360" w:lineRule="auto"/>
        <w:rPr>
          <w:sz w:val="24"/>
        </w:rPr>
      </w:pPr>
      <w:r w:rsidRPr="00A73986">
        <w:rPr>
          <w:sz w:val="24"/>
        </w:rPr>
        <w:t xml:space="preserve">duration (number of days) between first IP </w:t>
      </w:r>
      <w:r w:rsidR="004A0A14" w:rsidRPr="00A73986">
        <w:rPr>
          <w:sz w:val="24"/>
        </w:rPr>
        <w:t>administration</w:t>
      </w:r>
      <w:r w:rsidRPr="00A73986">
        <w:rPr>
          <w:sz w:val="24"/>
        </w:rPr>
        <w:t xml:space="preserve"> and last IP </w:t>
      </w:r>
      <w:r w:rsidR="004A0A14" w:rsidRPr="00A73986">
        <w:rPr>
          <w:sz w:val="24"/>
        </w:rPr>
        <w:t>administration</w:t>
      </w:r>
      <w:r w:rsidRPr="00A73986">
        <w:rPr>
          <w:sz w:val="24"/>
        </w:rPr>
        <w:t>.</w:t>
      </w:r>
    </w:p>
    <w:p w:rsidR="005845F9" w:rsidRPr="00A73986" w:rsidRDefault="005845F9" w:rsidP="003B4BCF">
      <w:pPr>
        <w:spacing w:line="360" w:lineRule="auto"/>
        <w:rPr>
          <w:rFonts w:cs="Arial"/>
          <w:sz w:val="24"/>
        </w:rPr>
      </w:pPr>
    </w:p>
    <w:p w:rsidR="003B4BCF" w:rsidRPr="005737C9" w:rsidRDefault="003B4BCF" w:rsidP="003B4BCF">
      <w:pPr>
        <w:spacing w:line="360" w:lineRule="auto"/>
        <w:rPr>
          <w:rFonts w:cs="Arial"/>
          <w:sz w:val="24"/>
        </w:rPr>
      </w:pPr>
      <w:r w:rsidRPr="00A73986">
        <w:rPr>
          <w:rFonts w:cs="Arial"/>
          <w:sz w:val="24"/>
        </w:rPr>
        <w:t>The number of patients administered investigational product will be summarized according to the duration of treatment, separately for each treatment groups and in total</w:t>
      </w:r>
      <w:r w:rsidR="00B42DC6" w:rsidRPr="00A73986">
        <w:rPr>
          <w:rFonts w:cs="Arial"/>
          <w:sz w:val="24"/>
        </w:rPr>
        <w:t xml:space="preserve">. </w:t>
      </w:r>
      <w:r w:rsidRPr="00A73986">
        <w:rPr>
          <w:sz w:val="24"/>
        </w:rPr>
        <w:t>The compliance and the duration of treatment will also listed in Listing 16.2</w:t>
      </w:r>
      <w:r w:rsidR="00801FC9" w:rsidRPr="00A73986">
        <w:rPr>
          <w:sz w:val="24"/>
        </w:rPr>
        <w:t>.5.1 and Listing 16.2.5.2, respectively</w:t>
      </w:r>
    </w:p>
    <w:p w:rsidR="00AF3917" w:rsidRDefault="00AF3917" w:rsidP="00F62111">
      <w:pPr>
        <w:pStyle w:val="3"/>
      </w:pPr>
      <w:bookmarkStart w:id="66" w:name="_Toc461617851"/>
      <w:r w:rsidRPr="008D610C">
        <w:t>Efficacy analyses</w:t>
      </w:r>
      <w:bookmarkEnd w:id="66"/>
      <w:r w:rsidRPr="008D610C">
        <w:t xml:space="preserve"> </w:t>
      </w:r>
      <w:bookmarkEnd w:id="65"/>
    </w:p>
    <w:p w:rsidR="00AF3917" w:rsidRPr="008D610C" w:rsidRDefault="00AF3917" w:rsidP="00F62111">
      <w:pPr>
        <w:pStyle w:val="4"/>
      </w:pPr>
      <w:bookmarkStart w:id="67" w:name="_Ref461442927"/>
      <w:bookmarkStart w:id="68" w:name="_Toc461617852"/>
      <w:r w:rsidRPr="008D610C">
        <w:t>Primary efficacy analysis</w:t>
      </w:r>
      <w:bookmarkEnd w:id="67"/>
      <w:bookmarkEnd w:id="68"/>
    </w:p>
    <w:p w:rsidR="008D4F9F" w:rsidRPr="005737C9" w:rsidRDefault="000F3CA5" w:rsidP="000F3CA5">
      <w:pPr>
        <w:spacing w:line="360" w:lineRule="auto"/>
        <w:rPr>
          <w:sz w:val="24"/>
        </w:rPr>
      </w:pPr>
      <w:r w:rsidRPr="000F3CA5">
        <w:t xml:space="preserve">Initially, the primary endpoint of the study was overall survival at month 12. It was changed to </w:t>
      </w:r>
      <w:r w:rsidR="008D4F9F" w:rsidRPr="005737C9">
        <w:rPr>
          <w:sz w:val="24"/>
        </w:rPr>
        <w:t>overall survival</w:t>
      </w:r>
      <w:r>
        <w:rPr>
          <w:sz w:val="24"/>
        </w:rPr>
        <w:t xml:space="preserve"> following amendment </w:t>
      </w:r>
      <w:r w:rsidR="00CB4C1E">
        <w:rPr>
          <w:sz w:val="24"/>
        </w:rPr>
        <w:t xml:space="preserve">Protocol </w:t>
      </w:r>
      <w:r>
        <w:rPr>
          <w:sz w:val="24"/>
        </w:rPr>
        <w:t xml:space="preserve">dated </w:t>
      </w:r>
      <w:r w:rsidR="00CB4C1E">
        <w:rPr>
          <w:sz w:val="24"/>
        </w:rPr>
        <w:t>07 July 2015</w:t>
      </w:r>
      <w:r w:rsidR="008D4F9F" w:rsidRPr="005737C9">
        <w:rPr>
          <w:sz w:val="24"/>
        </w:rPr>
        <w:t>. Overall survival is defined as the time from the date of randomization to the date of death. For patients who will be alive at the time of analysis, overall survival will be censored at the time of the last available information data.</w:t>
      </w:r>
    </w:p>
    <w:p w:rsidR="008D4F9F" w:rsidRPr="00DE79AD" w:rsidRDefault="008D4F9F" w:rsidP="008D4F9F">
      <w:pPr>
        <w:spacing w:line="360" w:lineRule="auto"/>
        <w:rPr>
          <w:sz w:val="24"/>
        </w:rPr>
      </w:pPr>
      <w:r w:rsidRPr="00DE79AD">
        <w:rPr>
          <w:sz w:val="24"/>
        </w:rPr>
        <w:t>If no information is available on patient survival then every effort should be made by the investigator to obtain information on the patient vital status and the date of his/her death if relevant. In the rare cases where the information is missing, the patient will be censored at the time of the last information available.</w:t>
      </w:r>
    </w:p>
    <w:p w:rsidR="008D4F9F" w:rsidRPr="00DE79AD" w:rsidRDefault="008D4F9F" w:rsidP="008D4F9F">
      <w:pPr>
        <w:spacing w:line="360" w:lineRule="auto"/>
        <w:rPr>
          <w:sz w:val="24"/>
          <w:lang w:val="en-US"/>
        </w:rPr>
      </w:pPr>
      <w:r w:rsidRPr="00DE79AD">
        <w:rPr>
          <w:sz w:val="24"/>
        </w:rPr>
        <w:t>The primary analysis (</w:t>
      </w:r>
      <w:r w:rsidR="000F3CA5" w:rsidRPr="00DE79AD">
        <w:rPr>
          <w:sz w:val="24"/>
        </w:rPr>
        <w:t xml:space="preserve">on </w:t>
      </w:r>
      <w:r w:rsidRPr="00DE79AD">
        <w:rPr>
          <w:sz w:val="24"/>
        </w:rPr>
        <w:t xml:space="preserve">the FAS set) will </w:t>
      </w:r>
      <w:r w:rsidR="000F3CA5" w:rsidRPr="00DE79AD">
        <w:rPr>
          <w:sz w:val="24"/>
        </w:rPr>
        <w:t xml:space="preserve">compare Overall survival </w:t>
      </w:r>
      <w:r w:rsidRPr="00DE79AD">
        <w:rPr>
          <w:sz w:val="24"/>
        </w:rPr>
        <w:t>using Kaplan Meier survival curves and Logrank test</w:t>
      </w:r>
      <w:r w:rsidR="00DB4B27" w:rsidRPr="00DE79AD">
        <w:rPr>
          <w:sz w:val="24"/>
        </w:rPr>
        <w:t xml:space="preserve"> (Statistical </w:t>
      </w:r>
      <w:r w:rsidR="001A1F3D" w:rsidRPr="00DE79AD">
        <w:rPr>
          <w:sz w:val="24"/>
        </w:rPr>
        <w:t xml:space="preserve">Table </w:t>
      </w:r>
      <w:r w:rsidR="00B42DC6" w:rsidRPr="00DE79AD">
        <w:rPr>
          <w:sz w:val="24"/>
        </w:rPr>
        <w:t>19</w:t>
      </w:r>
      <w:r w:rsidR="00DB4B27" w:rsidRPr="00DE79AD">
        <w:rPr>
          <w:sz w:val="24"/>
        </w:rPr>
        <w:t xml:space="preserve">, Figure </w:t>
      </w:r>
      <w:r w:rsidR="00B42DC6" w:rsidRPr="00DE79AD">
        <w:rPr>
          <w:sz w:val="24"/>
        </w:rPr>
        <w:t>2</w:t>
      </w:r>
      <w:r w:rsidR="00DB4B27" w:rsidRPr="00DE79AD">
        <w:rPr>
          <w:sz w:val="24"/>
        </w:rPr>
        <w:t>). The primary analysis will be one-sided at the 0.05 significance level.</w:t>
      </w:r>
      <w:r w:rsidR="00011FF8" w:rsidRPr="00DE79AD">
        <w:rPr>
          <w:sz w:val="24"/>
        </w:rPr>
        <w:t xml:space="preserve"> Patients in the FAS will be analysed according to the treatment administered at the first injection and their correct strata, provided that, in the case where the actual treatment/strata differ from the randomised treatment/strata, it can be clearly justified that this difference was not influenced by knowledge of the assigned treatment.</w:t>
      </w:r>
    </w:p>
    <w:p w:rsidR="00DB4B27" w:rsidRPr="00DE79AD" w:rsidRDefault="00DB4B27" w:rsidP="00986CEB">
      <w:pPr>
        <w:pStyle w:val="4"/>
        <w:spacing w:line="360" w:lineRule="auto"/>
      </w:pPr>
      <w:bookmarkStart w:id="69" w:name="_Ref443919075"/>
      <w:bookmarkStart w:id="70" w:name="_Ref443919079"/>
      <w:bookmarkStart w:id="71" w:name="_Toc461617853"/>
      <w:r w:rsidRPr="00DE79AD">
        <w:t>Sensitivity efficacy analysis</w:t>
      </w:r>
      <w:bookmarkEnd w:id="69"/>
      <w:bookmarkEnd w:id="70"/>
      <w:bookmarkEnd w:id="71"/>
    </w:p>
    <w:p w:rsidR="008D4F9F" w:rsidRPr="00DE79AD" w:rsidRDefault="00DB4B27" w:rsidP="00986CEB">
      <w:pPr>
        <w:spacing w:line="360" w:lineRule="auto"/>
        <w:rPr>
          <w:sz w:val="24"/>
        </w:rPr>
      </w:pPr>
      <w:r w:rsidRPr="00DE79AD">
        <w:rPr>
          <w:sz w:val="24"/>
        </w:rPr>
        <w:t>To assess the robustness of the main analysis, several sensitivity analyses will be performed:</w:t>
      </w:r>
    </w:p>
    <w:p w:rsidR="00DB4B27" w:rsidRPr="00DE79AD" w:rsidRDefault="00DB4B27" w:rsidP="001559A5">
      <w:pPr>
        <w:pStyle w:val="ac"/>
        <w:numPr>
          <w:ilvl w:val="0"/>
          <w:numId w:val="31"/>
        </w:numPr>
        <w:spacing w:line="360" w:lineRule="auto"/>
        <w:rPr>
          <w:sz w:val="24"/>
        </w:rPr>
      </w:pPr>
      <w:r w:rsidRPr="00DE79AD">
        <w:rPr>
          <w:sz w:val="24"/>
        </w:rPr>
        <w:lastRenderedPageBreak/>
        <w:t>The same primary analysis will be performed on the Per-Protocol set</w:t>
      </w:r>
      <w:r w:rsidR="00B42DC6" w:rsidRPr="00DE79AD">
        <w:rPr>
          <w:sz w:val="24"/>
        </w:rPr>
        <w:t xml:space="preserve"> (Statistical </w:t>
      </w:r>
      <w:r w:rsidR="001A1F3D" w:rsidRPr="00DE79AD">
        <w:rPr>
          <w:sz w:val="24"/>
        </w:rPr>
        <w:t>T</w:t>
      </w:r>
      <w:r w:rsidR="00B42DC6" w:rsidRPr="00DE79AD">
        <w:rPr>
          <w:sz w:val="24"/>
        </w:rPr>
        <w:t>able 20, Figure 3).</w:t>
      </w:r>
    </w:p>
    <w:p w:rsidR="000F3CA5" w:rsidRPr="00DE79AD" w:rsidRDefault="000F3CA5" w:rsidP="00011FF8">
      <w:pPr>
        <w:pStyle w:val="ac"/>
        <w:numPr>
          <w:ilvl w:val="0"/>
          <w:numId w:val="31"/>
        </w:numPr>
        <w:spacing w:line="360" w:lineRule="auto"/>
        <w:rPr>
          <w:sz w:val="24"/>
        </w:rPr>
      </w:pPr>
      <w:r w:rsidRPr="00DE79AD">
        <w:rPr>
          <w:sz w:val="24"/>
        </w:rPr>
        <w:t>In case of randomisation errors (patients not receiving the treatment attributed by randomisation) and/or stratification error</w:t>
      </w:r>
      <w:r w:rsidR="00C14529" w:rsidRPr="00DE79AD">
        <w:rPr>
          <w:sz w:val="24"/>
        </w:rPr>
        <w:t>s</w:t>
      </w:r>
      <w:r w:rsidRPr="00DE79AD">
        <w:rPr>
          <w:sz w:val="24"/>
        </w:rPr>
        <w:t xml:space="preserve"> (patients </w:t>
      </w:r>
      <w:r w:rsidR="00011FF8" w:rsidRPr="00DE79AD">
        <w:rPr>
          <w:sz w:val="24"/>
        </w:rPr>
        <w:t xml:space="preserve">not attributed to the correct strata at the time of randomisation), the primary analysis will be repeated, according to treatment attributed by randomisation and strata used for the randomisation). If no patient show randomisation or stratification errors, this sensitivity analysis will </w:t>
      </w:r>
      <w:r w:rsidR="00224B8A">
        <w:rPr>
          <w:sz w:val="24"/>
        </w:rPr>
        <w:t xml:space="preserve">not </w:t>
      </w:r>
      <w:r w:rsidR="00011FF8" w:rsidRPr="00DE79AD">
        <w:rPr>
          <w:sz w:val="24"/>
        </w:rPr>
        <w:t>be applicable.</w:t>
      </w:r>
    </w:p>
    <w:p w:rsidR="00DB4B27" w:rsidRPr="00DE79AD" w:rsidRDefault="0095768D" w:rsidP="001559A5">
      <w:pPr>
        <w:pStyle w:val="ac"/>
        <w:numPr>
          <w:ilvl w:val="0"/>
          <w:numId w:val="31"/>
        </w:numPr>
        <w:spacing w:line="360" w:lineRule="auto"/>
        <w:rPr>
          <w:sz w:val="24"/>
        </w:rPr>
      </w:pPr>
      <w:r w:rsidRPr="00DE79AD">
        <w:rPr>
          <w:sz w:val="24"/>
        </w:rPr>
        <w:t>Cox-model regressions of overall survival adjusted for the stratification factors and prognostic factors on the FAS and PP sets, a two-sided 9</w:t>
      </w:r>
      <w:r w:rsidR="00224B8A">
        <w:rPr>
          <w:sz w:val="24"/>
        </w:rPr>
        <w:t>0</w:t>
      </w:r>
      <w:r w:rsidRPr="00DE79AD">
        <w:rPr>
          <w:sz w:val="24"/>
        </w:rPr>
        <w:t>% confidence interval of the hazard ratio of the treatment effect will be provided</w:t>
      </w:r>
      <w:r w:rsidR="00B42DC6" w:rsidRPr="00DE79AD">
        <w:rPr>
          <w:sz w:val="24"/>
        </w:rPr>
        <w:t xml:space="preserve"> (Statistical </w:t>
      </w:r>
      <w:r w:rsidR="001A1F3D" w:rsidRPr="00DE79AD">
        <w:rPr>
          <w:sz w:val="24"/>
        </w:rPr>
        <w:t>T</w:t>
      </w:r>
      <w:r w:rsidR="00B42DC6" w:rsidRPr="00DE79AD">
        <w:rPr>
          <w:sz w:val="24"/>
        </w:rPr>
        <w:t>able 21</w:t>
      </w:r>
      <w:r w:rsidR="0065334D">
        <w:rPr>
          <w:sz w:val="24"/>
        </w:rPr>
        <w:t>, Figure 4</w:t>
      </w:r>
      <w:r w:rsidR="00B42DC6" w:rsidRPr="00DE79AD">
        <w:rPr>
          <w:sz w:val="24"/>
        </w:rPr>
        <w:t>)</w:t>
      </w:r>
    </w:p>
    <w:p w:rsidR="0010131C" w:rsidRPr="005737C9" w:rsidRDefault="0010131C" w:rsidP="001559A5">
      <w:pPr>
        <w:pStyle w:val="ac"/>
        <w:numPr>
          <w:ilvl w:val="1"/>
          <w:numId w:val="31"/>
        </w:numPr>
        <w:spacing w:line="360" w:lineRule="auto"/>
        <w:rPr>
          <w:sz w:val="24"/>
        </w:rPr>
      </w:pPr>
      <w:r w:rsidRPr="005737C9">
        <w:rPr>
          <w:sz w:val="24"/>
        </w:rPr>
        <w:t>Stratification factors:</w:t>
      </w:r>
    </w:p>
    <w:p w:rsidR="0010131C" w:rsidRPr="005737C9" w:rsidRDefault="0010131C" w:rsidP="001559A5">
      <w:pPr>
        <w:pStyle w:val="af2"/>
        <w:numPr>
          <w:ilvl w:val="2"/>
          <w:numId w:val="31"/>
        </w:numPr>
        <w:rPr>
          <w:sz w:val="24"/>
          <w:lang w:val="en-US"/>
        </w:rPr>
      </w:pPr>
      <w:r w:rsidRPr="005737C9">
        <w:rPr>
          <w:sz w:val="24"/>
          <w:lang w:val="en-US"/>
        </w:rPr>
        <w:t>Response to first line chemotherapy: objective response vs. stable disease,</w:t>
      </w:r>
    </w:p>
    <w:p w:rsidR="0010131C" w:rsidRPr="005737C9" w:rsidRDefault="0010131C" w:rsidP="001559A5">
      <w:pPr>
        <w:pStyle w:val="af2"/>
        <w:numPr>
          <w:ilvl w:val="2"/>
          <w:numId w:val="31"/>
        </w:numPr>
        <w:rPr>
          <w:sz w:val="24"/>
          <w:lang w:val="en-US"/>
        </w:rPr>
      </w:pPr>
      <w:r w:rsidRPr="005737C9">
        <w:rPr>
          <w:sz w:val="24"/>
          <w:lang w:val="en-US"/>
        </w:rPr>
        <w:t>Squamous vs. non-squamous,</w:t>
      </w:r>
    </w:p>
    <w:p w:rsidR="0010131C" w:rsidRPr="005737C9" w:rsidRDefault="0010131C" w:rsidP="001559A5">
      <w:pPr>
        <w:pStyle w:val="ac"/>
        <w:numPr>
          <w:ilvl w:val="2"/>
          <w:numId w:val="31"/>
        </w:numPr>
        <w:spacing w:line="360" w:lineRule="auto"/>
        <w:rPr>
          <w:sz w:val="24"/>
        </w:rPr>
      </w:pPr>
      <w:r w:rsidRPr="005737C9">
        <w:rPr>
          <w:sz w:val="24"/>
          <w:lang w:val="en-US"/>
        </w:rPr>
        <w:t>Stage IV vs. recurrent stage I-III</w:t>
      </w:r>
    </w:p>
    <w:p w:rsidR="0010131C" w:rsidRPr="005737C9" w:rsidRDefault="0010131C" w:rsidP="001559A5">
      <w:pPr>
        <w:pStyle w:val="ac"/>
        <w:numPr>
          <w:ilvl w:val="1"/>
          <w:numId w:val="31"/>
        </w:numPr>
        <w:spacing w:line="360" w:lineRule="auto"/>
        <w:rPr>
          <w:sz w:val="24"/>
        </w:rPr>
      </w:pPr>
      <w:r w:rsidRPr="005737C9">
        <w:rPr>
          <w:sz w:val="24"/>
          <w:lang w:val="en-US"/>
        </w:rPr>
        <w:t>Prognostic factors:</w:t>
      </w:r>
    </w:p>
    <w:p w:rsidR="0010131C" w:rsidRPr="005737C9" w:rsidRDefault="0010131C" w:rsidP="001559A5">
      <w:pPr>
        <w:pStyle w:val="af2"/>
        <w:numPr>
          <w:ilvl w:val="2"/>
          <w:numId w:val="31"/>
        </w:numPr>
        <w:rPr>
          <w:sz w:val="24"/>
          <w:lang w:val="en-US"/>
        </w:rPr>
      </w:pPr>
      <w:r w:rsidRPr="005737C9">
        <w:rPr>
          <w:sz w:val="24"/>
          <w:lang w:val="en-US"/>
        </w:rPr>
        <w:t>Level of tumor TERT expression: low vs. high,</w:t>
      </w:r>
    </w:p>
    <w:p w:rsidR="0010131C" w:rsidRPr="005737C9" w:rsidRDefault="0010131C" w:rsidP="001559A5">
      <w:pPr>
        <w:pStyle w:val="ac"/>
        <w:numPr>
          <w:ilvl w:val="2"/>
          <w:numId w:val="31"/>
        </w:numPr>
        <w:spacing w:line="360" w:lineRule="auto"/>
        <w:rPr>
          <w:sz w:val="24"/>
        </w:rPr>
      </w:pPr>
      <w:r w:rsidRPr="005737C9">
        <w:rPr>
          <w:sz w:val="24"/>
          <w:lang w:val="en-US"/>
        </w:rPr>
        <w:t>Vaccine specific immune response status: naturally occurring response vs. absence of naturally occurring response</w:t>
      </w:r>
    </w:p>
    <w:p w:rsidR="00AF3917" w:rsidRPr="00DE79AD" w:rsidRDefault="00AF3917" w:rsidP="00986CEB">
      <w:pPr>
        <w:pStyle w:val="4"/>
        <w:spacing w:line="360" w:lineRule="auto"/>
      </w:pPr>
      <w:bookmarkStart w:id="72" w:name="_Ref461617432"/>
      <w:bookmarkStart w:id="73" w:name="_Toc461617854"/>
      <w:r w:rsidRPr="00DE79AD">
        <w:t>Secondary efficacy analyses</w:t>
      </w:r>
      <w:bookmarkEnd w:id="72"/>
      <w:bookmarkEnd w:id="73"/>
    </w:p>
    <w:p w:rsidR="008D4F9F" w:rsidRPr="00DE79AD" w:rsidRDefault="008D4F9F" w:rsidP="00986CEB">
      <w:pPr>
        <w:spacing w:line="360" w:lineRule="auto"/>
        <w:rPr>
          <w:sz w:val="24"/>
        </w:rPr>
      </w:pPr>
      <w:r w:rsidRPr="00DE79AD">
        <w:rPr>
          <w:sz w:val="24"/>
        </w:rPr>
        <w:t xml:space="preserve">The following secondary endpoints will be </w:t>
      </w:r>
      <w:r w:rsidR="00986CEB" w:rsidRPr="00DE79AD">
        <w:rPr>
          <w:sz w:val="24"/>
        </w:rPr>
        <w:t>analysed on the FAS and PP sets:</w:t>
      </w:r>
    </w:p>
    <w:p w:rsidR="008D4F9F" w:rsidRPr="00DE79AD" w:rsidRDefault="008D4F9F" w:rsidP="001559A5">
      <w:pPr>
        <w:pStyle w:val="ac"/>
        <w:numPr>
          <w:ilvl w:val="0"/>
          <w:numId w:val="19"/>
        </w:numPr>
        <w:spacing w:line="360" w:lineRule="auto"/>
        <w:rPr>
          <w:sz w:val="24"/>
        </w:rPr>
      </w:pPr>
      <w:r w:rsidRPr="00DE79AD">
        <w:rPr>
          <w:sz w:val="24"/>
        </w:rPr>
        <w:t>Twelve months survival:</w:t>
      </w:r>
    </w:p>
    <w:p w:rsidR="008D4F9F" w:rsidRPr="00DE79AD" w:rsidRDefault="008D4F9F" w:rsidP="008D4F9F">
      <w:pPr>
        <w:spacing w:line="360" w:lineRule="auto"/>
        <w:rPr>
          <w:sz w:val="24"/>
        </w:rPr>
      </w:pPr>
      <w:r w:rsidRPr="00DE79AD">
        <w:rPr>
          <w:sz w:val="24"/>
        </w:rPr>
        <w:t>A patient overall survival (success) at 12 months is defined as a patient who is alive as confirmed by the visit at week 52. If the patient misses the visit or has been lost to follow-up, every effort will be made by the investigator to ascertain whether the patient was alive on the theoretical date of his/her week 52 visit.</w:t>
      </w:r>
    </w:p>
    <w:p w:rsidR="008D4F9F" w:rsidRPr="00DE79AD" w:rsidRDefault="008D4F9F" w:rsidP="008D4F9F">
      <w:pPr>
        <w:spacing w:line="360" w:lineRule="auto"/>
        <w:rPr>
          <w:sz w:val="24"/>
        </w:rPr>
      </w:pPr>
      <w:r w:rsidRPr="00DE79AD">
        <w:rPr>
          <w:sz w:val="24"/>
        </w:rPr>
        <w:t>A one-sided Pearson’s chi-squared test of proportions will be used to compare the survival rate of the Vx-001 treated group to the placebo treated group at 12 months</w:t>
      </w:r>
      <w:r w:rsidR="00B42DC6" w:rsidRPr="00DE79AD">
        <w:rPr>
          <w:sz w:val="24"/>
        </w:rPr>
        <w:t xml:space="preserve"> (Statistical </w:t>
      </w:r>
      <w:r w:rsidR="001A1F3D" w:rsidRPr="00DE79AD">
        <w:rPr>
          <w:sz w:val="24"/>
        </w:rPr>
        <w:t>T</w:t>
      </w:r>
      <w:r w:rsidR="00B42DC6" w:rsidRPr="00DE79AD">
        <w:rPr>
          <w:sz w:val="24"/>
        </w:rPr>
        <w:t>able 22)</w:t>
      </w:r>
      <w:r w:rsidRPr="00DE79AD">
        <w:rPr>
          <w:sz w:val="24"/>
        </w:rPr>
        <w:t>.</w:t>
      </w:r>
    </w:p>
    <w:p w:rsidR="008D4F9F" w:rsidRPr="00DE79AD" w:rsidRDefault="008D4F9F" w:rsidP="001559A5">
      <w:pPr>
        <w:pStyle w:val="ac"/>
        <w:numPr>
          <w:ilvl w:val="0"/>
          <w:numId w:val="19"/>
        </w:numPr>
        <w:spacing w:line="360" w:lineRule="auto"/>
        <w:rPr>
          <w:sz w:val="24"/>
        </w:rPr>
      </w:pPr>
      <w:r w:rsidRPr="00DE79AD">
        <w:rPr>
          <w:sz w:val="24"/>
        </w:rPr>
        <w:t>Time to Treatment Failure (TTF)</w:t>
      </w:r>
    </w:p>
    <w:p w:rsidR="008D4F9F" w:rsidRPr="00DE79AD" w:rsidRDefault="008D4F9F" w:rsidP="008D4F9F">
      <w:pPr>
        <w:spacing w:line="360" w:lineRule="auto"/>
        <w:rPr>
          <w:sz w:val="24"/>
        </w:rPr>
      </w:pPr>
      <w:r w:rsidRPr="00DE79AD">
        <w:rPr>
          <w:sz w:val="24"/>
        </w:rPr>
        <w:lastRenderedPageBreak/>
        <w:t>Time to treatment failure is defined as the interval between the date of first study treatment and the date of early withdraw</w:t>
      </w:r>
      <w:r w:rsidR="00011FF8" w:rsidRPr="00DE79AD">
        <w:rPr>
          <w:sz w:val="24"/>
        </w:rPr>
        <w:t>al</w:t>
      </w:r>
      <w:r w:rsidRPr="00DE79AD">
        <w:rPr>
          <w:sz w:val="24"/>
        </w:rPr>
        <w:t>, or the date of the initiation of other anti-tumor treatment, whichever will come first. Patients without early withdraw</w:t>
      </w:r>
      <w:r w:rsidR="00011FF8" w:rsidRPr="00DE79AD">
        <w:rPr>
          <w:sz w:val="24"/>
        </w:rPr>
        <w:t>al</w:t>
      </w:r>
      <w:r w:rsidRPr="00DE79AD">
        <w:rPr>
          <w:sz w:val="24"/>
        </w:rPr>
        <w:t xml:space="preserve"> or initiation of another anti-tumor treatment will be censored at their last tumor assessment of target or non-target lesions. If patient </w:t>
      </w:r>
      <w:r w:rsidR="00011FF8" w:rsidRPr="00DE79AD">
        <w:rPr>
          <w:sz w:val="24"/>
        </w:rPr>
        <w:t>have neither a</w:t>
      </w:r>
      <w:r w:rsidR="00CB4C1E" w:rsidRPr="00DE79AD">
        <w:rPr>
          <w:sz w:val="24"/>
        </w:rPr>
        <w:t>n</w:t>
      </w:r>
      <w:r w:rsidR="00011FF8" w:rsidRPr="00DE79AD">
        <w:rPr>
          <w:sz w:val="24"/>
        </w:rPr>
        <w:t xml:space="preserve">y failure </w:t>
      </w:r>
      <w:r w:rsidRPr="00DE79AD">
        <w:rPr>
          <w:sz w:val="24"/>
        </w:rPr>
        <w:t>event</w:t>
      </w:r>
      <w:r w:rsidR="00011FF8" w:rsidRPr="00DE79AD">
        <w:rPr>
          <w:sz w:val="24"/>
        </w:rPr>
        <w:t>s</w:t>
      </w:r>
      <w:r w:rsidRPr="00DE79AD">
        <w:rPr>
          <w:sz w:val="24"/>
        </w:rPr>
        <w:t xml:space="preserve"> </w:t>
      </w:r>
      <w:r w:rsidR="00011FF8" w:rsidRPr="00DE79AD">
        <w:rPr>
          <w:sz w:val="24"/>
        </w:rPr>
        <w:t xml:space="preserve">nor </w:t>
      </w:r>
      <w:r w:rsidRPr="00DE79AD">
        <w:rPr>
          <w:sz w:val="24"/>
        </w:rPr>
        <w:t>any post-baseline tumor assessment censoring time will be set to zero.</w:t>
      </w:r>
    </w:p>
    <w:p w:rsidR="008D4F9F" w:rsidRPr="00DE79AD" w:rsidRDefault="008D4F9F" w:rsidP="008D4F9F">
      <w:pPr>
        <w:spacing w:line="360" w:lineRule="auto"/>
        <w:rPr>
          <w:sz w:val="24"/>
        </w:rPr>
      </w:pPr>
      <w:r w:rsidRPr="00DE79AD">
        <w:rPr>
          <w:sz w:val="24"/>
        </w:rPr>
        <w:t>All these secondary endpoints are "time to event" endpoints and will be analyzed via</w:t>
      </w:r>
    </w:p>
    <w:p w:rsidR="008D4F9F" w:rsidRPr="00DE79AD" w:rsidRDefault="008D4F9F" w:rsidP="001559A5">
      <w:pPr>
        <w:pStyle w:val="ac"/>
        <w:numPr>
          <w:ilvl w:val="0"/>
          <w:numId w:val="20"/>
        </w:numPr>
        <w:spacing w:line="360" w:lineRule="auto"/>
        <w:rPr>
          <w:sz w:val="24"/>
        </w:rPr>
      </w:pPr>
      <w:r w:rsidRPr="00DE79AD">
        <w:rPr>
          <w:sz w:val="24"/>
        </w:rPr>
        <w:t>Kaplan-Meier curves by treatment arm and log-rank test for their comparison</w:t>
      </w:r>
      <w:r w:rsidR="00E977A3" w:rsidRPr="00DE79AD">
        <w:rPr>
          <w:sz w:val="24"/>
        </w:rPr>
        <w:t xml:space="preserve"> (Statistical </w:t>
      </w:r>
      <w:r w:rsidR="001A1F3D" w:rsidRPr="00DE79AD">
        <w:rPr>
          <w:sz w:val="24"/>
        </w:rPr>
        <w:t>T</w:t>
      </w:r>
      <w:r w:rsidR="00E977A3" w:rsidRPr="00DE79AD">
        <w:rPr>
          <w:sz w:val="24"/>
        </w:rPr>
        <w:t xml:space="preserve">able 23, Figure </w:t>
      </w:r>
      <w:r w:rsidR="0065334D">
        <w:rPr>
          <w:sz w:val="24"/>
        </w:rPr>
        <w:t>5</w:t>
      </w:r>
      <w:r w:rsidR="00E977A3" w:rsidRPr="00DE79AD">
        <w:rPr>
          <w:sz w:val="24"/>
        </w:rPr>
        <w:t>)</w:t>
      </w:r>
    </w:p>
    <w:p w:rsidR="008D4F9F" w:rsidRPr="00DE79AD" w:rsidRDefault="008D4F9F" w:rsidP="001559A5">
      <w:pPr>
        <w:pStyle w:val="ac"/>
        <w:numPr>
          <w:ilvl w:val="0"/>
          <w:numId w:val="20"/>
        </w:numPr>
        <w:spacing w:line="360" w:lineRule="auto"/>
        <w:rPr>
          <w:sz w:val="24"/>
        </w:rPr>
      </w:pPr>
      <w:r w:rsidRPr="00DE79AD">
        <w:rPr>
          <w:sz w:val="24"/>
        </w:rPr>
        <w:t xml:space="preserve">Cox regression model where the treatment effect will be included and also the stratification factors and prognostic factors specified in the section </w:t>
      </w:r>
      <w:r w:rsidR="00986CEB" w:rsidRPr="00DE79AD">
        <w:rPr>
          <w:sz w:val="24"/>
        </w:rPr>
        <w:t>5.2.4.2</w:t>
      </w:r>
      <w:r w:rsidRPr="00DE79AD">
        <w:rPr>
          <w:sz w:val="24"/>
        </w:rPr>
        <w:t xml:space="preserve"> will be also included.</w:t>
      </w:r>
      <w:r w:rsidR="00986CEB" w:rsidRPr="00DE79AD">
        <w:rPr>
          <w:sz w:val="24"/>
        </w:rPr>
        <w:t xml:space="preserve"> Via this Cox model a two-sided 95% confidence interval of the hazard ratio of the treatment effect will be provided for both population (FAS and PP sets)</w:t>
      </w:r>
      <w:r w:rsidR="00E977A3" w:rsidRPr="00DE79AD">
        <w:rPr>
          <w:sz w:val="24"/>
        </w:rPr>
        <w:t xml:space="preserve"> (Statistical </w:t>
      </w:r>
      <w:r w:rsidR="001A1F3D" w:rsidRPr="00DE79AD">
        <w:rPr>
          <w:sz w:val="24"/>
        </w:rPr>
        <w:t>T</w:t>
      </w:r>
      <w:r w:rsidR="00E977A3" w:rsidRPr="00DE79AD">
        <w:rPr>
          <w:sz w:val="24"/>
        </w:rPr>
        <w:t>able 24</w:t>
      </w:r>
      <w:r w:rsidR="00BE59C8">
        <w:rPr>
          <w:sz w:val="24"/>
        </w:rPr>
        <w:t>, Figure 6</w:t>
      </w:r>
      <w:r w:rsidR="00E977A3" w:rsidRPr="00DE79AD">
        <w:rPr>
          <w:sz w:val="24"/>
        </w:rPr>
        <w:t>).</w:t>
      </w:r>
    </w:p>
    <w:p w:rsidR="005737C9" w:rsidRPr="00DE79AD" w:rsidRDefault="005737C9" w:rsidP="005737C9">
      <w:pPr>
        <w:pStyle w:val="4"/>
      </w:pPr>
      <w:bookmarkStart w:id="74" w:name="_Toc427329713"/>
      <w:bookmarkStart w:id="75" w:name="_Toc461617855"/>
      <w:r w:rsidRPr="00DE79AD">
        <w:t>Exploratory efficacy analyses</w:t>
      </w:r>
      <w:bookmarkEnd w:id="74"/>
      <w:bookmarkEnd w:id="75"/>
    </w:p>
    <w:p w:rsidR="005737C9" w:rsidRPr="00DE79AD" w:rsidRDefault="005737C9" w:rsidP="005737C9">
      <w:pPr>
        <w:spacing w:line="360" w:lineRule="auto"/>
        <w:rPr>
          <w:sz w:val="24"/>
        </w:rPr>
      </w:pPr>
      <w:r w:rsidRPr="00DE79AD">
        <w:rPr>
          <w:sz w:val="24"/>
        </w:rPr>
        <w:t>The following endpoints will be analysed in various exploratory analyses:</w:t>
      </w:r>
    </w:p>
    <w:p w:rsidR="005737C9" w:rsidRPr="00DE79AD" w:rsidRDefault="005737C9" w:rsidP="001559A5">
      <w:pPr>
        <w:pStyle w:val="ac"/>
        <w:numPr>
          <w:ilvl w:val="0"/>
          <w:numId w:val="19"/>
        </w:numPr>
        <w:spacing w:line="360" w:lineRule="auto"/>
        <w:rPr>
          <w:sz w:val="24"/>
        </w:rPr>
      </w:pPr>
      <w:r w:rsidRPr="00DE79AD">
        <w:rPr>
          <w:sz w:val="24"/>
        </w:rPr>
        <w:t>Disease Control of Subsequent Second Line Treatments</w:t>
      </w:r>
    </w:p>
    <w:p w:rsidR="005737C9" w:rsidRPr="00DE79AD" w:rsidRDefault="005737C9" w:rsidP="005737C9">
      <w:pPr>
        <w:spacing w:line="360" w:lineRule="auto"/>
        <w:rPr>
          <w:sz w:val="24"/>
        </w:rPr>
      </w:pPr>
      <w:r w:rsidRPr="00DE79AD">
        <w:rPr>
          <w:sz w:val="24"/>
        </w:rPr>
        <w:t>Disease control rate defined as the ratio of the number of patients who had confirmed response (PR or CR) or stable disease (SD) according to the RECIST 1.1 criteria to the number of patients in analysis population (FAS, Per-protocol set, resp.). The disease control rates after the end of subsequent second line treatments will be compared between Vx-001 treated and placebo treated patients via two-sided Pearson’s chi-squared test</w:t>
      </w:r>
      <w:r w:rsidR="00104A71" w:rsidRPr="00DE79AD">
        <w:rPr>
          <w:sz w:val="24"/>
        </w:rPr>
        <w:t xml:space="preserve"> (</w:t>
      </w:r>
      <w:r w:rsidR="001A1F3D" w:rsidRPr="00DE79AD">
        <w:rPr>
          <w:sz w:val="24"/>
        </w:rPr>
        <w:t>Statistical T</w:t>
      </w:r>
      <w:r w:rsidR="00104A71" w:rsidRPr="00DE79AD">
        <w:rPr>
          <w:sz w:val="24"/>
        </w:rPr>
        <w:t>able 25)</w:t>
      </w:r>
      <w:r w:rsidRPr="00DE79AD">
        <w:rPr>
          <w:sz w:val="24"/>
        </w:rPr>
        <w:t>.</w:t>
      </w:r>
    </w:p>
    <w:p w:rsidR="005737C9" w:rsidRPr="00DE79AD" w:rsidRDefault="005737C9" w:rsidP="001559A5">
      <w:pPr>
        <w:pStyle w:val="ac"/>
        <w:numPr>
          <w:ilvl w:val="0"/>
          <w:numId w:val="19"/>
        </w:numPr>
        <w:spacing w:line="360" w:lineRule="auto"/>
        <w:rPr>
          <w:sz w:val="24"/>
        </w:rPr>
      </w:pPr>
      <w:r w:rsidRPr="00DE79AD">
        <w:rPr>
          <w:sz w:val="24"/>
        </w:rPr>
        <w:t>Vaccine Specific Immune Response</w:t>
      </w:r>
    </w:p>
    <w:p w:rsidR="005737C9" w:rsidRPr="00DE79AD" w:rsidRDefault="005737C9" w:rsidP="005737C9">
      <w:pPr>
        <w:spacing w:line="360" w:lineRule="auto"/>
        <w:rPr>
          <w:sz w:val="24"/>
        </w:rPr>
      </w:pPr>
      <w:r w:rsidRPr="00DE79AD">
        <w:rPr>
          <w:sz w:val="24"/>
        </w:rPr>
        <w:t xml:space="preserve">Vaccine specific immune response (determined by the percentage of ARG-Vx001 specific T cells producing IFN-γ and/or </w:t>
      </w:r>
      <w:r w:rsidR="00E11DE0" w:rsidRPr="00DE79AD">
        <w:rPr>
          <w:sz w:val="24"/>
        </w:rPr>
        <w:t>perforin</w:t>
      </w:r>
      <w:r w:rsidRPr="00DE79AD">
        <w:rPr>
          <w:sz w:val="24"/>
        </w:rPr>
        <w:t xml:space="preserve">) will be evaluated by IFN-γ ELISpot® assay and </w:t>
      </w:r>
      <w:r w:rsidR="00E11DE0" w:rsidRPr="00DE79AD">
        <w:rPr>
          <w:sz w:val="24"/>
        </w:rPr>
        <w:t>perforin</w:t>
      </w:r>
      <w:r w:rsidRPr="00DE79AD">
        <w:rPr>
          <w:sz w:val="24"/>
        </w:rPr>
        <w:t xml:space="preserve"> ELISpot® assay performed at baseline, after the second and sixth injection</w:t>
      </w:r>
      <w:r w:rsidR="00E11DE0" w:rsidRPr="00DE79AD">
        <w:rPr>
          <w:sz w:val="24"/>
        </w:rPr>
        <w:t xml:space="preserve"> or end of treatment </w:t>
      </w:r>
      <w:r w:rsidR="006A56E2" w:rsidRPr="00DE79AD">
        <w:rPr>
          <w:color w:val="000000"/>
        </w:rPr>
        <w:t>in case of the patient withdrawal from the study before or at Week 18</w:t>
      </w:r>
      <w:r w:rsidRPr="00DE79AD">
        <w:rPr>
          <w:sz w:val="24"/>
        </w:rPr>
        <w:t xml:space="preserve"> and from week 39, every 24 weeks. </w:t>
      </w:r>
    </w:p>
    <w:p w:rsidR="005737C9" w:rsidRPr="00DE79AD" w:rsidRDefault="005737C9" w:rsidP="005737C9">
      <w:pPr>
        <w:spacing w:line="360" w:lineRule="auto"/>
        <w:rPr>
          <w:sz w:val="24"/>
        </w:rPr>
      </w:pPr>
      <w:r w:rsidRPr="00DE79AD">
        <w:rPr>
          <w:sz w:val="24"/>
        </w:rPr>
        <w:t xml:space="preserve">The impact of the vaccine induced immune response on </w:t>
      </w:r>
      <w:r w:rsidR="00BB369B" w:rsidRPr="00DE79AD">
        <w:rPr>
          <w:sz w:val="24"/>
        </w:rPr>
        <w:t>overall survival</w:t>
      </w:r>
      <w:r w:rsidRPr="00DE79AD">
        <w:rPr>
          <w:sz w:val="24"/>
        </w:rPr>
        <w:t xml:space="preserve"> will be studied as follows:</w:t>
      </w:r>
    </w:p>
    <w:p w:rsidR="005737C9" w:rsidRPr="00DE79AD" w:rsidRDefault="005737C9" w:rsidP="005737C9">
      <w:pPr>
        <w:spacing w:line="360" w:lineRule="auto"/>
        <w:rPr>
          <w:sz w:val="24"/>
        </w:rPr>
      </w:pPr>
      <w:r w:rsidRPr="00DE79AD">
        <w:rPr>
          <w:sz w:val="24"/>
        </w:rPr>
        <w:lastRenderedPageBreak/>
        <w:t xml:space="preserve">Comparison of </w:t>
      </w:r>
      <w:r w:rsidR="004E0623" w:rsidRPr="00DE79AD">
        <w:rPr>
          <w:sz w:val="24"/>
        </w:rPr>
        <w:t>overall survival</w:t>
      </w:r>
      <w:r w:rsidRPr="00DE79AD">
        <w:rPr>
          <w:sz w:val="24"/>
        </w:rPr>
        <w:t xml:space="preserve"> in patients with vaccine induced immune response detected after the second and sixth injection of Vx-001</w:t>
      </w:r>
      <w:r w:rsidR="00EB095F" w:rsidRPr="00DE79AD">
        <w:rPr>
          <w:sz w:val="24"/>
        </w:rPr>
        <w:t xml:space="preserve"> (Statistical </w:t>
      </w:r>
      <w:r w:rsidR="001A1F3D" w:rsidRPr="00DE79AD">
        <w:rPr>
          <w:sz w:val="24"/>
        </w:rPr>
        <w:t>T</w:t>
      </w:r>
      <w:r w:rsidR="00EB095F" w:rsidRPr="00DE79AD">
        <w:rPr>
          <w:sz w:val="24"/>
        </w:rPr>
        <w:t xml:space="preserve">able 26, Statistical </w:t>
      </w:r>
      <w:r w:rsidR="001A1F3D" w:rsidRPr="00DE79AD">
        <w:rPr>
          <w:sz w:val="24"/>
        </w:rPr>
        <w:t>T</w:t>
      </w:r>
      <w:r w:rsidR="00EB095F" w:rsidRPr="00DE79AD">
        <w:rPr>
          <w:sz w:val="24"/>
        </w:rPr>
        <w:t xml:space="preserve">able 27, Figure </w:t>
      </w:r>
      <w:r w:rsidR="00BE59C8">
        <w:rPr>
          <w:sz w:val="24"/>
        </w:rPr>
        <w:t>7</w:t>
      </w:r>
      <w:r w:rsidR="00EB095F" w:rsidRPr="00DE79AD">
        <w:rPr>
          <w:sz w:val="24"/>
        </w:rPr>
        <w:t xml:space="preserve">, </w:t>
      </w:r>
      <w:r w:rsidR="00735129" w:rsidRPr="00DE79AD">
        <w:rPr>
          <w:sz w:val="24"/>
        </w:rPr>
        <w:t>and Figure</w:t>
      </w:r>
      <w:r w:rsidR="00EB095F" w:rsidRPr="00DE79AD">
        <w:rPr>
          <w:sz w:val="24"/>
        </w:rPr>
        <w:t xml:space="preserve"> </w:t>
      </w:r>
      <w:r w:rsidR="00BE59C8">
        <w:rPr>
          <w:sz w:val="24"/>
        </w:rPr>
        <w:t>8</w:t>
      </w:r>
      <w:r w:rsidR="00EB095F" w:rsidRPr="00DE79AD">
        <w:rPr>
          <w:sz w:val="24"/>
        </w:rPr>
        <w:t>):</w:t>
      </w:r>
    </w:p>
    <w:p w:rsidR="005737C9" w:rsidRPr="00DE79AD" w:rsidRDefault="005737C9" w:rsidP="001559A5">
      <w:pPr>
        <w:numPr>
          <w:ilvl w:val="1"/>
          <w:numId w:val="32"/>
        </w:numPr>
        <w:spacing w:after="120" w:line="360" w:lineRule="auto"/>
        <w:ind w:left="1497" w:hanging="357"/>
        <w:rPr>
          <w:sz w:val="24"/>
        </w:rPr>
      </w:pPr>
      <w:r w:rsidRPr="00DE79AD">
        <w:rPr>
          <w:sz w:val="24"/>
        </w:rPr>
        <w:t>patients who received at least two and six injections of placebo, respectively,</w:t>
      </w:r>
    </w:p>
    <w:p w:rsidR="005737C9" w:rsidRPr="00DE79AD" w:rsidRDefault="005737C9" w:rsidP="001559A5">
      <w:pPr>
        <w:numPr>
          <w:ilvl w:val="1"/>
          <w:numId w:val="32"/>
        </w:numPr>
        <w:spacing w:after="120" w:line="360" w:lineRule="auto"/>
        <w:ind w:left="1497" w:hanging="357"/>
        <w:rPr>
          <w:sz w:val="24"/>
        </w:rPr>
      </w:pPr>
      <w:r w:rsidRPr="00DE79AD">
        <w:rPr>
          <w:sz w:val="24"/>
        </w:rPr>
        <w:t>patients randomised to Vx-001 who did not develop vaccine specific immune response after the second and sixth injections of Vx-001, respectively.</w:t>
      </w:r>
    </w:p>
    <w:p w:rsidR="005737C9" w:rsidRPr="00DE79AD" w:rsidRDefault="005737C9" w:rsidP="005737C9">
      <w:pPr>
        <w:spacing w:line="360" w:lineRule="auto"/>
        <w:rPr>
          <w:sz w:val="24"/>
        </w:rPr>
      </w:pPr>
      <w:r w:rsidRPr="00DE79AD">
        <w:rPr>
          <w:sz w:val="24"/>
        </w:rPr>
        <w:t xml:space="preserve">Comparison of </w:t>
      </w:r>
      <w:r w:rsidR="004E0623" w:rsidRPr="00DE79AD">
        <w:rPr>
          <w:sz w:val="24"/>
        </w:rPr>
        <w:t>overall survival</w:t>
      </w:r>
      <w:r w:rsidRPr="00DE79AD">
        <w:rPr>
          <w:sz w:val="24"/>
        </w:rPr>
        <w:t xml:space="preserve"> in Vx-001-treated vs placebo-treated patients who had</w:t>
      </w:r>
      <w:r w:rsidR="00EB095F" w:rsidRPr="00DE79AD">
        <w:rPr>
          <w:sz w:val="24"/>
        </w:rPr>
        <w:t xml:space="preserve"> (Statistical </w:t>
      </w:r>
      <w:r w:rsidR="001A1F3D" w:rsidRPr="00DE79AD">
        <w:rPr>
          <w:sz w:val="24"/>
        </w:rPr>
        <w:t>T</w:t>
      </w:r>
      <w:r w:rsidR="00EB095F" w:rsidRPr="00DE79AD">
        <w:rPr>
          <w:sz w:val="24"/>
        </w:rPr>
        <w:t xml:space="preserve">able 28, Statistical </w:t>
      </w:r>
      <w:r w:rsidR="001A1F3D" w:rsidRPr="00DE79AD">
        <w:rPr>
          <w:sz w:val="24"/>
        </w:rPr>
        <w:t>T</w:t>
      </w:r>
      <w:r w:rsidR="00EB095F" w:rsidRPr="00DE79AD">
        <w:rPr>
          <w:sz w:val="24"/>
        </w:rPr>
        <w:t xml:space="preserve">able 29, Figure </w:t>
      </w:r>
      <w:r w:rsidR="00BE59C8">
        <w:rPr>
          <w:sz w:val="24"/>
        </w:rPr>
        <w:t>9</w:t>
      </w:r>
      <w:r w:rsidR="00EB095F" w:rsidRPr="00DE79AD">
        <w:rPr>
          <w:sz w:val="24"/>
        </w:rPr>
        <w:t xml:space="preserve">, Figure </w:t>
      </w:r>
      <w:r w:rsidR="00BE59C8">
        <w:rPr>
          <w:sz w:val="24"/>
        </w:rPr>
        <w:t>10</w:t>
      </w:r>
      <w:r w:rsidR="00EB095F" w:rsidRPr="00DE79AD">
        <w:rPr>
          <w:sz w:val="24"/>
        </w:rPr>
        <w:t>)</w:t>
      </w:r>
      <w:r w:rsidR="00A26C8E">
        <w:rPr>
          <w:sz w:val="24"/>
        </w:rPr>
        <w:t xml:space="preserve">: </w:t>
      </w:r>
    </w:p>
    <w:p w:rsidR="005737C9" w:rsidRPr="00DE79AD" w:rsidRDefault="005737C9" w:rsidP="001559A5">
      <w:pPr>
        <w:numPr>
          <w:ilvl w:val="0"/>
          <w:numId w:val="33"/>
        </w:numPr>
        <w:spacing w:after="120" w:line="360" w:lineRule="auto"/>
        <w:rPr>
          <w:sz w:val="24"/>
        </w:rPr>
      </w:pPr>
      <w:r w:rsidRPr="00DE79AD">
        <w:rPr>
          <w:sz w:val="24"/>
        </w:rPr>
        <w:t>a vaccine specific immune response before Vx-001 or placebo injection,</w:t>
      </w:r>
    </w:p>
    <w:p w:rsidR="005737C9" w:rsidRPr="00DE79AD" w:rsidRDefault="005737C9" w:rsidP="001559A5">
      <w:pPr>
        <w:numPr>
          <w:ilvl w:val="0"/>
          <w:numId w:val="33"/>
        </w:numPr>
        <w:spacing w:after="120" w:line="360" w:lineRule="auto"/>
        <w:rPr>
          <w:sz w:val="24"/>
        </w:rPr>
      </w:pPr>
      <w:r w:rsidRPr="00DE79AD">
        <w:rPr>
          <w:sz w:val="24"/>
        </w:rPr>
        <w:t xml:space="preserve">high level of TERT expression or low level of TERT expression in their </w:t>
      </w:r>
      <w:r w:rsidR="006A56E2" w:rsidRPr="00DE79AD">
        <w:rPr>
          <w:sz w:val="24"/>
        </w:rPr>
        <w:t>tumour biopsy</w:t>
      </w:r>
      <w:r w:rsidRPr="00DE79AD">
        <w:rPr>
          <w:sz w:val="24"/>
        </w:rPr>
        <w:t>.</w:t>
      </w:r>
    </w:p>
    <w:p w:rsidR="005737C9" w:rsidRPr="00DE79AD" w:rsidRDefault="005737C9" w:rsidP="005737C9">
      <w:pPr>
        <w:spacing w:line="360" w:lineRule="auto"/>
        <w:rPr>
          <w:sz w:val="24"/>
        </w:rPr>
      </w:pPr>
      <w:r w:rsidRPr="00DE79AD">
        <w:rPr>
          <w:sz w:val="24"/>
        </w:rPr>
        <w:t>The</w:t>
      </w:r>
      <w:r w:rsidR="00C14529" w:rsidRPr="00DE79AD">
        <w:rPr>
          <w:sz w:val="24"/>
        </w:rPr>
        <w:t>se</w:t>
      </w:r>
      <w:r w:rsidRPr="00DE79AD">
        <w:rPr>
          <w:sz w:val="24"/>
        </w:rPr>
        <w:t xml:space="preserve"> comparison</w:t>
      </w:r>
      <w:r w:rsidR="00C14529" w:rsidRPr="00DE79AD">
        <w:rPr>
          <w:sz w:val="24"/>
        </w:rPr>
        <w:t>s</w:t>
      </w:r>
      <w:r w:rsidRPr="00DE79AD">
        <w:rPr>
          <w:sz w:val="24"/>
        </w:rPr>
        <w:t xml:space="preserve"> w</w:t>
      </w:r>
      <w:r w:rsidR="00011FF8" w:rsidRPr="00DE79AD">
        <w:rPr>
          <w:sz w:val="24"/>
        </w:rPr>
        <w:t>ill be</w:t>
      </w:r>
      <w:r w:rsidRPr="00DE79AD">
        <w:rPr>
          <w:sz w:val="24"/>
        </w:rPr>
        <w:t xml:space="preserve"> done </w:t>
      </w:r>
      <w:r w:rsidR="004E0623" w:rsidRPr="00DE79AD">
        <w:rPr>
          <w:sz w:val="24"/>
        </w:rPr>
        <w:t xml:space="preserve">using Kaplan Meier survival curves and </w:t>
      </w:r>
      <w:r w:rsidR="0043210A" w:rsidRPr="00DE79AD">
        <w:rPr>
          <w:sz w:val="24"/>
        </w:rPr>
        <w:t xml:space="preserve">two-sided </w:t>
      </w:r>
      <w:r w:rsidR="004E0623" w:rsidRPr="00DE79AD">
        <w:rPr>
          <w:sz w:val="24"/>
        </w:rPr>
        <w:t>Logrank test</w:t>
      </w:r>
      <w:r w:rsidR="001A1F3D" w:rsidRPr="00DE79AD">
        <w:rPr>
          <w:sz w:val="24"/>
        </w:rPr>
        <w:t xml:space="preserve"> on FAS set</w:t>
      </w:r>
      <w:r w:rsidRPr="00DE79AD">
        <w:rPr>
          <w:sz w:val="24"/>
        </w:rPr>
        <w:t>.</w:t>
      </w:r>
    </w:p>
    <w:p w:rsidR="00EC0CBA" w:rsidRPr="00DE79AD" w:rsidRDefault="00EC0CBA" w:rsidP="00EC0CBA">
      <w:pPr>
        <w:pStyle w:val="4"/>
        <w:spacing w:line="360" w:lineRule="auto"/>
      </w:pPr>
      <w:bookmarkStart w:id="76" w:name="_Ref461617304"/>
      <w:bookmarkStart w:id="77" w:name="_Toc461617856"/>
      <w:r w:rsidRPr="00DE79AD">
        <w:t>Other Exploratory Analyses</w:t>
      </w:r>
      <w:bookmarkEnd w:id="76"/>
      <w:bookmarkEnd w:id="77"/>
    </w:p>
    <w:p w:rsidR="00EC0CBA" w:rsidRPr="00EC0CBA" w:rsidRDefault="00EC0CBA" w:rsidP="00EC0CBA">
      <w:pPr>
        <w:spacing w:line="360" w:lineRule="auto"/>
        <w:rPr>
          <w:sz w:val="24"/>
        </w:rPr>
      </w:pPr>
      <w:r w:rsidRPr="00DE79AD">
        <w:rPr>
          <w:sz w:val="24"/>
        </w:rPr>
        <w:t>More general variants of Cox proportional hazards models will be applied to evaluate the influence of different prognostic factors, stratification factors, baseline characteristics on the treatment effect to time-to-death. Two-sided 95% confidence intervals of the hazard ratios of the treatment effect will be provided for each analysis</w:t>
      </w:r>
      <w:r w:rsidR="001A1F3D" w:rsidRPr="00DE79AD">
        <w:rPr>
          <w:sz w:val="24"/>
        </w:rPr>
        <w:t xml:space="preserve"> on FAS set (Statistical Table 30</w:t>
      </w:r>
      <w:r w:rsidR="00BE59C8">
        <w:rPr>
          <w:sz w:val="24"/>
        </w:rPr>
        <w:t>, Figure 11</w:t>
      </w:r>
      <w:r w:rsidR="001A1F3D" w:rsidRPr="00DE79AD">
        <w:rPr>
          <w:sz w:val="24"/>
        </w:rPr>
        <w:t>)</w:t>
      </w:r>
      <w:r w:rsidRPr="00DE79AD">
        <w:rPr>
          <w:sz w:val="24"/>
        </w:rPr>
        <w:t>.</w:t>
      </w:r>
      <w:r w:rsidRPr="00EC0CBA">
        <w:rPr>
          <w:sz w:val="24"/>
        </w:rPr>
        <w:t xml:space="preserve"> Additionally to stratification factors (Response to first line chemotherapy: objective response vs. stable disease, Squamous vs. non-squamous, Stage IV vs. recurrent stage I-III) and prognostic factors (Level of tumor TERT expression: low vs. high, Vaccine specific immune response status: naturally occurring response vs. absence of naturally occurring response) </w:t>
      </w:r>
      <w:r w:rsidR="00011FF8">
        <w:rPr>
          <w:sz w:val="24"/>
        </w:rPr>
        <w:t>the</w:t>
      </w:r>
      <w:r w:rsidR="00011FF8" w:rsidRPr="00EC0CBA">
        <w:rPr>
          <w:sz w:val="24"/>
        </w:rPr>
        <w:t xml:space="preserve"> </w:t>
      </w:r>
      <w:r w:rsidRPr="00EC0CBA">
        <w:rPr>
          <w:sz w:val="24"/>
        </w:rPr>
        <w:t>following baseline characteristics will be included:</w:t>
      </w:r>
    </w:p>
    <w:p w:rsidR="00EC0CBA" w:rsidRPr="00EC0CBA" w:rsidRDefault="0006687F" w:rsidP="00EC0CBA">
      <w:pPr>
        <w:numPr>
          <w:ilvl w:val="1"/>
          <w:numId w:val="44"/>
        </w:numPr>
        <w:spacing w:after="120"/>
        <w:rPr>
          <w:sz w:val="24"/>
        </w:rPr>
      </w:pPr>
      <w:r w:rsidRPr="00EC0CBA">
        <w:rPr>
          <w:sz w:val="24"/>
        </w:rPr>
        <w:t>A</w:t>
      </w:r>
      <w:r w:rsidR="00EC0CBA" w:rsidRPr="00EC0CBA">
        <w:rPr>
          <w:sz w:val="24"/>
        </w:rPr>
        <w:t>ge (at informed consent signing)</w:t>
      </w:r>
      <w:r>
        <w:rPr>
          <w:sz w:val="24"/>
        </w:rPr>
        <w:t xml:space="preserve"> : &lt;65 and </w:t>
      </w:r>
      <w:r w:rsidR="00672126">
        <w:rPr>
          <w:sz w:val="24"/>
        </w:rPr>
        <w:t>≥65 years</w:t>
      </w:r>
      <w:r w:rsidR="00EC0CBA" w:rsidRPr="00EC0CBA">
        <w:rPr>
          <w:sz w:val="24"/>
        </w:rPr>
        <w:t xml:space="preserve">, </w:t>
      </w:r>
    </w:p>
    <w:p w:rsidR="00EC0CBA" w:rsidRPr="00EC0CBA" w:rsidRDefault="00EC0CBA" w:rsidP="00EC0CBA">
      <w:pPr>
        <w:numPr>
          <w:ilvl w:val="1"/>
          <w:numId w:val="44"/>
        </w:numPr>
        <w:spacing w:after="120"/>
        <w:rPr>
          <w:sz w:val="24"/>
        </w:rPr>
      </w:pPr>
      <w:r w:rsidRPr="00EC0CBA">
        <w:rPr>
          <w:sz w:val="24"/>
        </w:rPr>
        <w:t>gender,</w:t>
      </w:r>
    </w:p>
    <w:p w:rsidR="00EC0CBA" w:rsidRPr="00EC0CBA" w:rsidRDefault="00EC0CBA" w:rsidP="00EC0CBA">
      <w:pPr>
        <w:numPr>
          <w:ilvl w:val="1"/>
          <w:numId w:val="44"/>
        </w:numPr>
        <w:spacing w:after="120"/>
        <w:rPr>
          <w:sz w:val="24"/>
        </w:rPr>
      </w:pPr>
      <w:r w:rsidRPr="00EC0CBA">
        <w:rPr>
          <w:sz w:val="24"/>
        </w:rPr>
        <w:t>ECOG Performance Status,</w:t>
      </w:r>
    </w:p>
    <w:p w:rsidR="00EC0CBA" w:rsidRDefault="00EC0CBA" w:rsidP="00EC0CBA">
      <w:pPr>
        <w:numPr>
          <w:ilvl w:val="1"/>
          <w:numId w:val="44"/>
        </w:numPr>
        <w:spacing w:after="120"/>
        <w:rPr>
          <w:sz w:val="24"/>
        </w:rPr>
      </w:pPr>
      <w:r w:rsidRPr="00EC0CBA">
        <w:rPr>
          <w:sz w:val="24"/>
        </w:rPr>
        <w:t>smoking history</w:t>
      </w:r>
      <w:r w:rsidR="00A87976">
        <w:rPr>
          <w:sz w:val="24"/>
        </w:rPr>
        <w:t>,</w:t>
      </w:r>
    </w:p>
    <w:p w:rsidR="00BE59C8" w:rsidRPr="00EC0CBA" w:rsidRDefault="00BE59C8" w:rsidP="00EC0CBA">
      <w:pPr>
        <w:numPr>
          <w:ilvl w:val="1"/>
          <w:numId w:val="44"/>
        </w:numPr>
        <w:spacing w:after="120"/>
        <w:rPr>
          <w:sz w:val="24"/>
        </w:rPr>
      </w:pPr>
      <w:r>
        <w:rPr>
          <w:sz w:val="24"/>
        </w:rPr>
        <w:t>First line</w:t>
      </w:r>
      <w:r w:rsidR="008D1711">
        <w:rPr>
          <w:sz w:val="24"/>
        </w:rPr>
        <w:t xml:space="preserve"> </w:t>
      </w:r>
      <w:r>
        <w:rPr>
          <w:sz w:val="24"/>
        </w:rPr>
        <w:t>chemotherapy</w:t>
      </w:r>
      <w:r w:rsidR="008959AE">
        <w:rPr>
          <w:sz w:val="24"/>
        </w:rPr>
        <w:t xml:space="preserve"> (see section </w:t>
      </w:r>
      <w:r w:rsidR="00FF5BA3">
        <w:rPr>
          <w:sz w:val="24"/>
        </w:rPr>
        <w:fldChar w:fldCharType="begin"/>
      </w:r>
      <w:r w:rsidR="008959AE">
        <w:rPr>
          <w:sz w:val="24"/>
        </w:rPr>
        <w:instrText xml:space="preserve"> REF _Ref201937289 \r \h </w:instrText>
      </w:r>
      <w:r w:rsidR="00FF5BA3">
        <w:rPr>
          <w:sz w:val="24"/>
        </w:rPr>
      </w:r>
      <w:r w:rsidR="00FF5BA3">
        <w:rPr>
          <w:sz w:val="24"/>
        </w:rPr>
        <w:fldChar w:fldCharType="separate"/>
      </w:r>
      <w:r w:rsidR="007C78F1">
        <w:rPr>
          <w:sz w:val="24"/>
        </w:rPr>
        <w:t>8</w:t>
      </w:r>
      <w:r w:rsidR="00FF5BA3">
        <w:rPr>
          <w:sz w:val="24"/>
        </w:rPr>
        <w:fldChar w:fldCharType="end"/>
      </w:r>
      <w:r w:rsidR="008959AE">
        <w:rPr>
          <w:sz w:val="24"/>
        </w:rPr>
        <w:t xml:space="preserve"> for details on the grouping used)</w:t>
      </w:r>
      <w:r w:rsidR="00A87976">
        <w:rPr>
          <w:sz w:val="24"/>
        </w:rPr>
        <w:t>.</w:t>
      </w:r>
    </w:p>
    <w:p w:rsidR="00AF3917" w:rsidRPr="008D610C" w:rsidRDefault="00AF3917" w:rsidP="00741CCD">
      <w:pPr>
        <w:pStyle w:val="3"/>
        <w:spacing w:line="360" w:lineRule="auto"/>
      </w:pPr>
      <w:bookmarkStart w:id="78" w:name="_Toc36974616"/>
      <w:bookmarkStart w:id="79" w:name="_Toc461617857"/>
      <w:r w:rsidRPr="008D610C">
        <w:lastRenderedPageBreak/>
        <w:t>Safety analyses</w:t>
      </w:r>
      <w:bookmarkEnd w:id="78"/>
      <w:bookmarkEnd w:id="79"/>
    </w:p>
    <w:p w:rsidR="00741CCD" w:rsidRPr="00057F93" w:rsidRDefault="00C24112" w:rsidP="00741CCD">
      <w:pPr>
        <w:pStyle w:val="Default"/>
        <w:spacing w:line="360" w:lineRule="auto"/>
        <w:jc w:val="both"/>
        <w:rPr>
          <w:rFonts w:ascii="Times New Roman" w:hAnsi="Times New Roman" w:cs="Times New Roman"/>
        </w:rPr>
      </w:pPr>
      <w:r w:rsidRPr="00057F93">
        <w:rPr>
          <w:rFonts w:ascii="Times New Roman" w:hAnsi="Times New Roman" w:cs="Times New Roman"/>
        </w:rPr>
        <w:t>Safety analysis will be based on the incidence, intensity, and type of adverse events</w:t>
      </w:r>
      <w:r>
        <w:rPr>
          <w:rFonts w:ascii="Times New Roman" w:hAnsi="Times New Roman" w:cs="Times New Roman"/>
        </w:rPr>
        <w:t>,</w:t>
      </w:r>
      <w:r w:rsidR="00011FF8">
        <w:rPr>
          <w:rFonts w:ascii="Times New Roman" w:hAnsi="Times New Roman" w:cs="Times New Roman"/>
        </w:rPr>
        <w:t xml:space="preserve"> on</w:t>
      </w:r>
      <w:r>
        <w:rPr>
          <w:rFonts w:ascii="Times New Roman" w:hAnsi="Times New Roman" w:cs="Times New Roman"/>
        </w:rPr>
        <w:t xml:space="preserve"> clinical laboratory evaluations,</w:t>
      </w:r>
      <w:r w:rsidR="00741CCD">
        <w:rPr>
          <w:rFonts w:ascii="Times New Roman" w:hAnsi="Times New Roman" w:cs="Times New Roman"/>
        </w:rPr>
        <w:t xml:space="preserve"> physical exams</w:t>
      </w:r>
      <w:r w:rsidRPr="00057F93">
        <w:rPr>
          <w:rFonts w:ascii="Times New Roman" w:hAnsi="Times New Roman" w:cs="Times New Roman"/>
        </w:rPr>
        <w:t>, vital signs</w:t>
      </w:r>
      <w:r w:rsidR="00741CCD">
        <w:rPr>
          <w:rFonts w:ascii="Times New Roman" w:hAnsi="Times New Roman" w:cs="Times New Roman"/>
        </w:rPr>
        <w:t>, ECG, ECOG performance status and local site reaction</w:t>
      </w:r>
      <w:r w:rsidR="00011FF8">
        <w:rPr>
          <w:rFonts w:ascii="Times New Roman" w:hAnsi="Times New Roman" w:cs="Times New Roman"/>
        </w:rPr>
        <w:t>s.</w:t>
      </w:r>
      <w:r w:rsidRPr="00057F93">
        <w:rPr>
          <w:rFonts w:ascii="Times New Roman" w:hAnsi="Times New Roman" w:cs="Times New Roman"/>
        </w:rPr>
        <w:t xml:space="preserve"> Safety variables will be tabulated and presented for all subjects </w:t>
      </w:r>
      <w:r w:rsidR="00741CCD">
        <w:rPr>
          <w:rFonts w:ascii="Times New Roman" w:hAnsi="Times New Roman" w:cs="Times New Roman"/>
        </w:rPr>
        <w:t>included in the Safety population (SAF).</w:t>
      </w:r>
    </w:p>
    <w:p w:rsidR="00AF3917" w:rsidRDefault="00AF3917" w:rsidP="00D20871">
      <w:pPr>
        <w:pStyle w:val="4"/>
        <w:spacing w:line="360" w:lineRule="auto"/>
      </w:pPr>
      <w:bookmarkStart w:id="80" w:name="_Toc461617858"/>
      <w:r w:rsidRPr="008D610C">
        <w:t>Adverse events</w:t>
      </w:r>
      <w:bookmarkEnd w:id="80"/>
    </w:p>
    <w:p w:rsidR="00D20871" w:rsidRPr="00D20871" w:rsidRDefault="00D20871" w:rsidP="00D20871">
      <w:pPr>
        <w:pStyle w:val="Default"/>
        <w:spacing w:line="360" w:lineRule="auto"/>
        <w:jc w:val="both"/>
        <w:rPr>
          <w:rFonts w:ascii="Times New Roman" w:hAnsi="Times New Roman" w:cs="Times New Roman"/>
          <w:b/>
          <w:u w:val="single"/>
        </w:rPr>
      </w:pPr>
      <w:r w:rsidRPr="00D20871">
        <w:rPr>
          <w:rFonts w:ascii="Times New Roman" w:hAnsi="Times New Roman" w:cs="Times New Roman"/>
          <w:b/>
          <w:u w:val="single"/>
        </w:rPr>
        <w:t>Adverse event listings:</w:t>
      </w:r>
    </w:p>
    <w:p w:rsidR="00D20871" w:rsidRPr="00D20871" w:rsidRDefault="00D20871" w:rsidP="00D20871">
      <w:pPr>
        <w:pStyle w:val="Default"/>
        <w:spacing w:line="360" w:lineRule="auto"/>
        <w:jc w:val="both"/>
        <w:rPr>
          <w:rFonts w:ascii="Times New Roman" w:hAnsi="Times New Roman" w:cs="Times New Roman"/>
        </w:rPr>
      </w:pPr>
      <w:r w:rsidRPr="00D20871">
        <w:rPr>
          <w:rFonts w:ascii="Times New Roman" w:hAnsi="Times New Roman" w:cs="Times New Roman"/>
        </w:rPr>
        <w:t xml:space="preserve">AE listings will be presented and sorted by subject, start date (calendar date and day from first </w:t>
      </w:r>
      <w:r w:rsidR="009A03A1">
        <w:rPr>
          <w:rFonts w:ascii="Times New Roman" w:hAnsi="Times New Roman" w:cs="Times New Roman"/>
        </w:rPr>
        <w:t>vaccination</w:t>
      </w:r>
      <w:r w:rsidRPr="00D20871">
        <w:rPr>
          <w:rFonts w:ascii="Times New Roman" w:hAnsi="Times New Roman" w:cs="Times New Roman"/>
        </w:rPr>
        <w:t xml:space="preserve"> </w:t>
      </w:r>
      <w:r w:rsidR="009A03A1">
        <w:rPr>
          <w:rFonts w:ascii="Times New Roman" w:hAnsi="Times New Roman" w:cs="Times New Roman"/>
        </w:rPr>
        <w:t>administration</w:t>
      </w:r>
      <w:r w:rsidRPr="00D20871">
        <w:rPr>
          <w:rFonts w:ascii="Times New Roman" w:hAnsi="Times New Roman" w:cs="Times New Roman"/>
        </w:rPr>
        <w:t xml:space="preserve">), primary system organ class, preferred term and verbatim text for all adverse events recorded during the study and will include time since last </w:t>
      </w:r>
      <w:r w:rsidR="009A03A1">
        <w:rPr>
          <w:rFonts w:ascii="Times New Roman" w:hAnsi="Times New Roman" w:cs="Times New Roman"/>
        </w:rPr>
        <w:t>vaccination</w:t>
      </w:r>
      <w:r w:rsidRPr="00D20871">
        <w:rPr>
          <w:rFonts w:ascii="Times New Roman" w:hAnsi="Times New Roman" w:cs="Times New Roman"/>
        </w:rPr>
        <w:t xml:space="preserve"> and duration.</w:t>
      </w:r>
    </w:p>
    <w:p w:rsidR="00D20871" w:rsidRPr="00D20871" w:rsidRDefault="00D20871" w:rsidP="00D20871">
      <w:pPr>
        <w:pStyle w:val="Default"/>
        <w:spacing w:line="360" w:lineRule="auto"/>
        <w:jc w:val="both"/>
        <w:rPr>
          <w:rFonts w:ascii="Times New Roman" w:hAnsi="Times New Roman" w:cs="Times New Roman"/>
        </w:rPr>
      </w:pPr>
    </w:p>
    <w:p w:rsidR="00D20871" w:rsidRPr="00D20871" w:rsidRDefault="00D20871" w:rsidP="00D20871">
      <w:pPr>
        <w:pStyle w:val="Default"/>
        <w:spacing w:line="360" w:lineRule="auto"/>
        <w:jc w:val="both"/>
        <w:rPr>
          <w:rFonts w:ascii="Times New Roman" w:hAnsi="Times New Roman" w:cs="Times New Roman"/>
        </w:rPr>
      </w:pPr>
      <w:r w:rsidRPr="00D20871">
        <w:rPr>
          <w:rFonts w:ascii="Times New Roman" w:hAnsi="Times New Roman" w:cs="Times New Roman"/>
        </w:rPr>
        <w:t xml:space="preserve">The following listings </w:t>
      </w:r>
      <w:r w:rsidR="00011FF8">
        <w:rPr>
          <w:rFonts w:ascii="Times New Roman" w:hAnsi="Times New Roman" w:cs="Times New Roman"/>
        </w:rPr>
        <w:t>will be produced</w:t>
      </w:r>
      <w:r w:rsidRPr="00D20871">
        <w:rPr>
          <w:rFonts w:ascii="Times New Roman" w:hAnsi="Times New Roman" w:cs="Times New Roman"/>
        </w:rPr>
        <w:t>:</w:t>
      </w:r>
    </w:p>
    <w:p w:rsidR="00D20871" w:rsidRPr="00D20871" w:rsidRDefault="00D20871" w:rsidP="00D20871">
      <w:pPr>
        <w:pStyle w:val="Default"/>
        <w:spacing w:line="360" w:lineRule="auto"/>
        <w:jc w:val="both"/>
        <w:rPr>
          <w:rFonts w:ascii="Times New Roman" w:hAnsi="Times New Roman" w:cs="Times New Roman"/>
        </w:rPr>
      </w:pPr>
    </w:p>
    <w:p w:rsidR="00D20871" w:rsidRPr="00DE79AD" w:rsidRDefault="00D20871" w:rsidP="00D20871">
      <w:pPr>
        <w:pStyle w:val="Default"/>
        <w:spacing w:line="360" w:lineRule="auto"/>
        <w:jc w:val="both"/>
        <w:rPr>
          <w:rFonts w:ascii="Times New Roman" w:hAnsi="Times New Roman" w:cs="Times New Roman"/>
        </w:rPr>
      </w:pPr>
      <w:r w:rsidRPr="00DE79AD">
        <w:rPr>
          <w:rFonts w:ascii="Times New Roman" w:hAnsi="Times New Roman" w:cs="Times New Roman"/>
        </w:rPr>
        <w:t xml:space="preserve">Listing of Adverse Events: </w:t>
      </w:r>
      <w:r w:rsidR="00E3511F" w:rsidRPr="00DE79AD">
        <w:t>(</w:t>
      </w:r>
      <w:r w:rsidR="00E3511F" w:rsidRPr="00DE79AD">
        <w:rPr>
          <w:rFonts w:ascii="Times New Roman" w:hAnsi="Times New Roman" w:cs="Times New Roman"/>
        </w:rPr>
        <w:t>Listing 16.2.7</w:t>
      </w:r>
      <w:r w:rsidR="00801FC9" w:rsidRPr="00DE79AD">
        <w:rPr>
          <w:rFonts w:ascii="Times New Roman" w:hAnsi="Times New Roman" w:cs="Times New Roman"/>
        </w:rPr>
        <w:t>.1</w:t>
      </w:r>
      <w:r w:rsidR="00E3511F" w:rsidRPr="00DE79AD">
        <w:rPr>
          <w:rFonts w:ascii="Times New Roman" w:hAnsi="Times New Roman" w:cs="Times New Roman"/>
        </w:rPr>
        <w:t>)</w:t>
      </w:r>
      <w:r w:rsidR="00011FF8" w:rsidRPr="00DE79AD">
        <w:rPr>
          <w:rFonts w:ascii="Times New Roman" w:hAnsi="Times New Roman" w:cs="Times New Roman"/>
        </w:rPr>
        <w:t xml:space="preserve"> </w:t>
      </w:r>
      <w:r w:rsidRPr="00DE79AD">
        <w:rPr>
          <w:rFonts w:ascii="Times New Roman" w:hAnsi="Times New Roman" w:cs="Times New Roman"/>
        </w:rPr>
        <w:t xml:space="preserve">All adverse events for each patient, including the same event on several occasions, giving both preferred term and the original term used by the investigator. The listing will be sorted by site and by treatment group and should include: Patient identifier / Age, sex, weight, height / The adverse event (preferred term, reported term) / Duration of the adverse event / Severity </w:t>
      </w:r>
      <w:r w:rsidR="00E3511F" w:rsidRPr="00DE79AD">
        <w:rPr>
          <w:rFonts w:ascii="Times New Roman" w:hAnsi="Times New Roman" w:cs="Times New Roman"/>
        </w:rPr>
        <w:t>according to NCI CTCAE</w:t>
      </w:r>
      <w:r w:rsidRPr="00DE79AD">
        <w:rPr>
          <w:rFonts w:ascii="Times New Roman" w:hAnsi="Times New Roman" w:cs="Times New Roman"/>
        </w:rPr>
        <w:t xml:space="preserve"> / Seriousness (serious, non-serious) / Action taken with study treatment (</w:t>
      </w:r>
      <w:r w:rsidR="00CB69C3" w:rsidRPr="00DE79AD">
        <w:rPr>
          <w:rFonts w:ascii="Times New Roman" w:hAnsi="Times New Roman" w:cs="Times New Roman"/>
        </w:rPr>
        <w:t>none, permanent discontinuation, temporary discontinuation)</w:t>
      </w:r>
      <w:r w:rsidRPr="00DE79AD">
        <w:rPr>
          <w:rFonts w:ascii="Times New Roman" w:hAnsi="Times New Roman" w:cs="Times New Roman"/>
        </w:rPr>
        <w:t>, / medication introduced / Outcome (</w:t>
      </w:r>
      <w:r w:rsidR="00CB69C3" w:rsidRPr="00DE79AD">
        <w:rPr>
          <w:rFonts w:ascii="Times New Roman" w:hAnsi="Times New Roman" w:cs="Times New Roman"/>
        </w:rPr>
        <w:t>resolved</w:t>
      </w:r>
      <w:r w:rsidRPr="00DE79AD">
        <w:rPr>
          <w:rFonts w:ascii="Times New Roman" w:hAnsi="Times New Roman" w:cs="Times New Roman"/>
        </w:rPr>
        <w:t>, resolved with sequelae, ongoing,</w:t>
      </w:r>
      <w:r w:rsidR="00CB69C3" w:rsidRPr="00DE79AD">
        <w:rPr>
          <w:rFonts w:ascii="Times New Roman" w:hAnsi="Times New Roman" w:cs="Times New Roman"/>
        </w:rPr>
        <w:t xml:space="preserve"> lost-to-follow-up, fatal</w:t>
      </w:r>
      <w:r w:rsidRPr="00DE79AD">
        <w:rPr>
          <w:rFonts w:ascii="Times New Roman" w:hAnsi="Times New Roman" w:cs="Times New Roman"/>
        </w:rPr>
        <w:t xml:space="preserve">) / Causality relation to investigational treatment drug (not related, </w:t>
      </w:r>
      <w:r w:rsidR="00CB69C3" w:rsidRPr="00DE79AD">
        <w:rPr>
          <w:rFonts w:ascii="Times New Roman" w:hAnsi="Times New Roman" w:cs="Times New Roman"/>
        </w:rPr>
        <w:t>possible</w:t>
      </w:r>
      <w:r w:rsidRPr="00DE79AD">
        <w:rPr>
          <w:rFonts w:ascii="Times New Roman" w:hAnsi="Times New Roman" w:cs="Times New Roman"/>
        </w:rPr>
        <w:t xml:space="preserve"> probable, </w:t>
      </w:r>
      <w:r w:rsidR="00CB69C3" w:rsidRPr="00DE79AD">
        <w:rPr>
          <w:rFonts w:ascii="Times New Roman" w:hAnsi="Times New Roman" w:cs="Times New Roman"/>
        </w:rPr>
        <w:t>definite</w:t>
      </w:r>
      <w:r w:rsidRPr="00DE79AD">
        <w:rPr>
          <w:rFonts w:ascii="Times New Roman" w:hAnsi="Times New Roman" w:cs="Times New Roman"/>
        </w:rPr>
        <w:t>) / Date of onset of the adverse event / Timing of onset of the adverse event</w:t>
      </w:r>
      <w:r w:rsidR="00E3511F" w:rsidRPr="00DE79AD">
        <w:rPr>
          <w:rFonts w:ascii="Times New Roman" w:hAnsi="Times New Roman" w:cs="Times New Roman"/>
        </w:rPr>
        <w:t>.</w:t>
      </w:r>
    </w:p>
    <w:p w:rsidR="00D20871" w:rsidRPr="00DE79AD" w:rsidRDefault="00D20871" w:rsidP="00D20871">
      <w:pPr>
        <w:pStyle w:val="Default"/>
        <w:spacing w:line="360" w:lineRule="auto"/>
        <w:jc w:val="both"/>
        <w:rPr>
          <w:rFonts w:ascii="Times New Roman" w:hAnsi="Times New Roman" w:cs="Times New Roman"/>
        </w:rPr>
      </w:pPr>
    </w:p>
    <w:p w:rsidR="00D20871" w:rsidRPr="00DE79AD" w:rsidRDefault="00D20871" w:rsidP="00D20871">
      <w:pPr>
        <w:pStyle w:val="Default"/>
        <w:spacing w:line="360" w:lineRule="auto"/>
        <w:jc w:val="both"/>
        <w:rPr>
          <w:rFonts w:ascii="Times New Roman" w:hAnsi="Times New Roman" w:cs="Times New Roman"/>
        </w:rPr>
      </w:pPr>
      <w:r w:rsidRPr="00DE79AD">
        <w:rPr>
          <w:rFonts w:ascii="Times New Roman" w:hAnsi="Times New Roman" w:cs="Times New Roman"/>
        </w:rPr>
        <w:t>Listing</w:t>
      </w:r>
      <w:r w:rsidR="00801FC9" w:rsidRPr="00DE79AD">
        <w:rPr>
          <w:rFonts w:ascii="Times New Roman" w:hAnsi="Times New Roman" w:cs="Times New Roman"/>
        </w:rPr>
        <w:t>s</w:t>
      </w:r>
      <w:r w:rsidRPr="00DE79AD">
        <w:rPr>
          <w:rFonts w:ascii="Times New Roman" w:hAnsi="Times New Roman" w:cs="Times New Roman"/>
        </w:rPr>
        <w:t xml:space="preserve"> of </w:t>
      </w:r>
      <w:r w:rsidR="00801FC9" w:rsidRPr="00DE79AD">
        <w:rPr>
          <w:rFonts w:ascii="Times New Roman" w:hAnsi="Times New Roman" w:cs="Times New Roman"/>
        </w:rPr>
        <w:t xml:space="preserve">Serious Adverse events, Adverse events leading to treatment discontinuation, </w:t>
      </w:r>
      <w:r w:rsidRPr="00DE79AD">
        <w:rPr>
          <w:rFonts w:ascii="Times New Roman" w:hAnsi="Times New Roman" w:cs="Times New Roman"/>
        </w:rPr>
        <w:t xml:space="preserve">Deaths, </w:t>
      </w:r>
      <w:r w:rsidR="00E3511F" w:rsidRPr="00DE79AD">
        <w:t>(</w:t>
      </w:r>
      <w:r w:rsidR="00E3511F" w:rsidRPr="00DE79AD">
        <w:rPr>
          <w:rFonts w:ascii="Times New Roman" w:hAnsi="Times New Roman" w:cs="Times New Roman"/>
        </w:rPr>
        <w:t>Listing 16.2.7</w:t>
      </w:r>
      <w:r w:rsidR="00801FC9" w:rsidRPr="00DE79AD">
        <w:rPr>
          <w:rFonts w:ascii="Times New Roman" w:hAnsi="Times New Roman" w:cs="Times New Roman"/>
        </w:rPr>
        <w:t>.2, Listing 16.2.7.3 and Listing 16.2.7.4 respectively</w:t>
      </w:r>
      <w:r w:rsidR="00E3511F" w:rsidRPr="00DE79AD">
        <w:t>)</w:t>
      </w:r>
      <w:r w:rsidRPr="00DE79AD">
        <w:rPr>
          <w:rFonts w:ascii="Times New Roman" w:hAnsi="Times New Roman" w:cs="Times New Roman"/>
        </w:rPr>
        <w:t>, containing the same information as above</w:t>
      </w:r>
    </w:p>
    <w:p w:rsidR="00E3511F" w:rsidRPr="00DE79AD" w:rsidRDefault="00E3511F" w:rsidP="00D20871">
      <w:pPr>
        <w:pStyle w:val="Default"/>
        <w:spacing w:line="360" w:lineRule="auto"/>
        <w:jc w:val="both"/>
        <w:rPr>
          <w:rFonts w:ascii="Times New Roman" w:hAnsi="Times New Roman" w:cs="Times New Roman"/>
        </w:rPr>
      </w:pPr>
    </w:p>
    <w:p w:rsidR="00E3511F" w:rsidRPr="00DE79AD" w:rsidRDefault="00E3511F" w:rsidP="00E3511F">
      <w:pPr>
        <w:pStyle w:val="Default"/>
        <w:spacing w:line="360" w:lineRule="auto"/>
        <w:jc w:val="both"/>
        <w:rPr>
          <w:rFonts w:ascii="Times New Roman" w:hAnsi="Times New Roman" w:cs="Times New Roman"/>
          <w:b/>
          <w:u w:val="single"/>
        </w:rPr>
      </w:pPr>
      <w:r w:rsidRPr="00DE79AD">
        <w:rPr>
          <w:rFonts w:ascii="Times New Roman" w:hAnsi="Times New Roman" w:cs="Times New Roman"/>
          <w:b/>
          <w:u w:val="single"/>
        </w:rPr>
        <w:t>Adverse events tabulations:</w:t>
      </w:r>
    </w:p>
    <w:p w:rsidR="00E3511F" w:rsidRPr="00DE79AD" w:rsidRDefault="00E3511F" w:rsidP="00767871">
      <w:pPr>
        <w:spacing w:line="360" w:lineRule="auto"/>
        <w:rPr>
          <w:sz w:val="24"/>
        </w:rPr>
      </w:pPr>
      <w:r w:rsidRPr="00DE79AD">
        <w:rPr>
          <w:sz w:val="24"/>
        </w:rPr>
        <w:lastRenderedPageBreak/>
        <w:t>Tabulation of adverse events will present for each cell the following information: number of patients with at least one occurrence of the event, corresponding percentage and number of events (if relevant). The following tables will be produced for all subjects included in the SAF population as well as by treatment group:</w:t>
      </w:r>
    </w:p>
    <w:p w:rsidR="00E3511F" w:rsidRPr="00DE79AD" w:rsidRDefault="00E3511F" w:rsidP="00767871">
      <w:pPr>
        <w:spacing w:line="360" w:lineRule="auto"/>
        <w:rPr>
          <w:sz w:val="24"/>
        </w:rPr>
      </w:pPr>
    </w:p>
    <w:p w:rsidR="00E3511F" w:rsidRPr="00DE79AD" w:rsidRDefault="00E3511F" w:rsidP="00767871">
      <w:pPr>
        <w:spacing w:line="360" w:lineRule="auto"/>
        <w:rPr>
          <w:sz w:val="24"/>
        </w:rPr>
      </w:pPr>
      <w:r w:rsidRPr="00DE79AD">
        <w:rPr>
          <w:sz w:val="24"/>
        </w:rPr>
        <w:t xml:space="preserve">Summary table of adverse events (Statistical Table </w:t>
      </w:r>
      <w:r w:rsidR="001A1F3D" w:rsidRPr="00DE79AD">
        <w:rPr>
          <w:sz w:val="24"/>
        </w:rPr>
        <w:t>32</w:t>
      </w:r>
      <w:r w:rsidRPr="00DE79AD">
        <w:rPr>
          <w:sz w:val="24"/>
        </w:rPr>
        <w:t>):</w:t>
      </w:r>
    </w:p>
    <w:p w:rsidR="00E3511F" w:rsidRPr="00DE79AD" w:rsidRDefault="00E3511F" w:rsidP="001559A5">
      <w:pPr>
        <w:pStyle w:val="ac"/>
        <w:numPr>
          <w:ilvl w:val="0"/>
          <w:numId w:val="34"/>
        </w:numPr>
        <w:spacing w:line="360" w:lineRule="auto"/>
        <w:rPr>
          <w:sz w:val="24"/>
        </w:rPr>
      </w:pPr>
      <w:r w:rsidRPr="00DE79AD">
        <w:rPr>
          <w:sz w:val="24"/>
        </w:rPr>
        <w:t>Any</w:t>
      </w:r>
      <w:r w:rsidR="00767871" w:rsidRPr="00DE79AD">
        <w:rPr>
          <w:sz w:val="24"/>
        </w:rPr>
        <w:t xml:space="preserve"> </w:t>
      </w:r>
      <w:r w:rsidRPr="00DE79AD">
        <w:rPr>
          <w:sz w:val="24"/>
        </w:rPr>
        <w:t>AE</w:t>
      </w:r>
    </w:p>
    <w:p w:rsidR="00767871" w:rsidRPr="00DE79AD" w:rsidRDefault="00767871" w:rsidP="001559A5">
      <w:pPr>
        <w:pStyle w:val="ac"/>
        <w:numPr>
          <w:ilvl w:val="0"/>
          <w:numId w:val="34"/>
        </w:numPr>
        <w:spacing w:line="360" w:lineRule="auto"/>
        <w:rPr>
          <w:sz w:val="24"/>
        </w:rPr>
      </w:pPr>
      <w:r w:rsidRPr="00DE79AD">
        <w:rPr>
          <w:sz w:val="24"/>
        </w:rPr>
        <w:t>Any TEAE</w:t>
      </w:r>
    </w:p>
    <w:p w:rsidR="00767871" w:rsidRPr="00DE79AD" w:rsidRDefault="00767871" w:rsidP="001559A5">
      <w:pPr>
        <w:pStyle w:val="ac"/>
        <w:numPr>
          <w:ilvl w:val="0"/>
          <w:numId w:val="34"/>
        </w:numPr>
        <w:spacing w:line="360" w:lineRule="auto"/>
        <w:rPr>
          <w:sz w:val="24"/>
        </w:rPr>
      </w:pPr>
      <w:r w:rsidRPr="00DE79AD">
        <w:rPr>
          <w:sz w:val="24"/>
        </w:rPr>
        <w:t>Any drug-related TEAE</w:t>
      </w:r>
    </w:p>
    <w:p w:rsidR="00E3511F" w:rsidRPr="00DE79AD" w:rsidRDefault="00E3511F" w:rsidP="001559A5">
      <w:pPr>
        <w:pStyle w:val="ac"/>
        <w:numPr>
          <w:ilvl w:val="0"/>
          <w:numId w:val="34"/>
        </w:numPr>
        <w:autoSpaceDE w:val="0"/>
        <w:autoSpaceDN w:val="0"/>
        <w:adjustRightInd w:val="0"/>
        <w:spacing w:after="147" w:line="360" w:lineRule="auto"/>
        <w:jc w:val="left"/>
        <w:rPr>
          <w:sz w:val="24"/>
        </w:rPr>
      </w:pPr>
      <w:r w:rsidRPr="00DE79AD">
        <w:rPr>
          <w:sz w:val="24"/>
        </w:rPr>
        <w:t xml:space="preserve">Any </w:t>
      </w:r>
      <w:r w:rsidR="00767871" w:rsidRPr="00DE79AD">
        <w:rPr>
          <w:sz w:val="24"/>
        </w:rPr>
        <w:t>TE</w:t>
      </w:r>
      <w:r w:rsidRPr="00DE79AD">
        <w:rPr>
          <w:sz w:val="24"/>
        </w:rPr>
        <w:t xml:space="preserve">AE leading to study drug discontinuation </w:t>
      </w:r>
    </w:p>
    <w:p w:rsidR="00E3511F" w:rsidRPr="00DE79AD" w:rsidRDefault="00E3511F" w:rsidP="001559A5">
      <w:pPr>
        <w:pStyle w:val="ac"/>
        <w:numPr>
          <w:ilvl w:val="0"/>
          <w:numId w:val="34"/>
        </w:numPr>
        <w:autoSpaceDE w:val="0"/>
        <w:autoSpaceDN w:val="0"/>
        <w:adjustRightInd w:val="0"/>
        <w:spacing w:after="147" w:line="360" w:lineRule="auto"/>
        <w:jc w:val="left"/>
        <w:rPr>
          <w:sz w:val="24"/>
        </w:rPr>
      </w:pPr>
      <w:r w:rsidRPr="00DE79AD">
        <w:rPr>
          <w:sz w:val="24"/>
        </w:rPr>
        <w:t>Any SAE</w:t>
      </w:r>
    </w:p>
    <w:p w:rsidR="00E3511F" w:rsidRPr="00DE79AD" w:rsidRDefault="00E3511F" w:rsidP="001559A5">
      <w:pPr>
        <w:pStyle w:val="ac"/>
        <w:numPr>
          <w:ilvl w:val="0"/>
          <w:numId w:val="34"/>
        </w:numPr>
        <w:autoSpaceDE w:val="0"/>
        <w:autoSpaceDN w:val="0"/>
        <w:adjustRightInd w:val="0"/>
        <w:spacing w:line="360" w:lineRule="auto"/>
        <w:jc w:val="left"/>
        <w:rPr>
          <w:sz w:val="24"/>
        </w:rPr>
      </w:pPr>
      <w:r w:rsidRPr="00DE79AD">
        <w:rPr>
          <w:sz w:val="24"/>
        </w:rPr>
        <w:t xml:space="preserve">Any treatment emergent SAE </w:t>
      </w:r>
    </w:p>
    <w:p w:rsidR="00767871" w:rsidRPr="00DE79AD" w:rsidRDefault="00767871" w:rsidP="00767871">
      <w:pPr>
        <w:autoSpaceDE w:val="0"/>
        <w:autoSpaceDN w:val="0"/>
        <w:adjustRightInd w:val="0"/>
        <w:spacing w:line="360" w:lineRule="auto"/>
        <w:jc w:val="left"/>
        <w:rPr>
          <w:sz w:val="24"/>
        </w:rPr>
      </w:pPr>
    </w:p>
    <w:p w:rsidR="00767871" w:rsidRPr="00DE79AD" w:rsidRDefault="00767871" w:rsidP="009A1E11">
      <w:pPr>
        <w:spacing w:line="360" w:lineRule="auto"/>
        <w:rPr>
          <w:rFonts w:cs="Arial"/>
          <w:sz w:val="24"/>
        </w:rPr>
      </w:pPr>
      <w:r w:rsidRPr="00DE79AD">
        <w:rPr>
          <w:rFonts w:cs="Arial"/>
          <w:sz w:val="24"/>
        </w:rPr>
        <w:t xml:space="preserve">For </w:t>
      </w:r>
      <w:r w:rsidR="000D3C72" w:rsidRPr="00DE79AD">
        <w:rPr>
          <w:rFonts w:cs="Arial"/>
          <w:sz w:val="24"/>
        </w:rPr>
        <w:t>each category of the summary table of AE</w:t>
      </w:r>
      <w:r w:rsidRPr="00DE79AD">
        <w:rPr>
          <w:rFonts w:cs="Arial"/>
          <w:sz w:val="24"/>
        </w:rPr>
        <w:t>, 95% confidence intervals will be calculated for the incidence rates in each treatment group, together with a confidence interval for the treatment group difference in incidence rates.</w:t>
      </w:r>
    </w:p>
    <w:p w:rsidR="00E3511F" w:rsidRPr="00DE79AD" w:rsidRDefault="00767871" w:rsidP="009A1E11">
      <w:pPr>
        <w:spacing w:line="360" w:lineRule="auto"/>
        <w:rPr>
          <w:sz w:val="24"/>
        </w:rPr>
      </w:pPr>
      <w:r w:rsidRPr="00DE79AD">
        <w:rPr>
          <w:sz w:val="24"/>
        </w:rPr>
        <w:t xml:space="preserve">A descriptive analysis will be performed for TEAEs. Global </w:t>
      </w:r>
      <w:r w:rsidR="009A103A" w:rsidRPr="00DE79AD">
        <w:rPr>
          <w:sz w:val="24"/>
        </w:rPr>
        <w:t xml:space="preserve">frequencies </w:t>
      </w:r>
      <w:r w:rsidRPr="00DE79AD">
        <w:rPr>
          <w:sz w:val="24"/>
        </w:rPr>
        <w:t>of SOC and PT will be calculated for:</w:t>
      </w:r>
    </w:p>
    <w:p w:rsidR="00E3511F" w:rsidRPr="00DE79AD" w:rsidRDefault="00E3511F" w:rsidP="001559A5">
      <w:pPr>
        <w:pStyle w:val="ac"/>
        <w:numPr>
          <w:ilvl w:val="0"/>
          <w:numId w:val="35"/>
        </w:numPr>
        <w:spacing w:line="360" w:lineRule="auto"/>
        <w:rPr>
          <w:sz w:val="24"/>
        </w:rPr>
      </w:pPr>
      <w:r w:rsidRPr="00DE79AD">
        <w:rPr>
          <w:sz w:val="24"/>
        </w:rPr>
        <w:t xml:space="preserve">All TEAE by SOC an PT (Statistical Table </w:t>
      </w:r>
      <w:r w:rsidR="001A1F3D" w:rsidRPr="00DE79AD">
        <w:rPr>
          <w:sz w:val="24"/>
        </w:rPr>
        <w:t>33</w:t>
      </w:r>
      <w:r w:rsidRPr="00DE79AD">
        <w:rPr>
          <w:sz w:val="24"/>
        </w:rPr>
        <w:t>)</w:t>
      </w:r>
    </w:p>
    <w:p w:rsidR="009A1E11" w:rsidRPr="00DE79AD" w:rsidRDefault="009A1E11" w:rsidP="001559A5">
      <w:pPr>
        <w:pStyle w:val="ac"/>
        <w:numPr>
          <w:ilvl w:val="0"/>
          <w:numId w:val="35"/>
        </w:numPr>
        <w:spacing w:line="360" w:lineRule="auto"/>
        <w:rPr>
          <w:sz w:val="24"/>
        </w:rPr>
      </w:pPr>
      <w:r w:rsidRPr="00DE79AD">
        <w:rPr>
          <w:sz w:val="24"/>
        </w:rPr>
        <w:t>All not related TEAEs (</w:t>
      </w:r>
      <w:r w:rsidRPr="00DE79AD">
        <w:rPr>
          <w:i/>
          <w:sz w:val="24"/>
        </w:rPr>
        <w:t>i.e.,</w:t>
      </w:r>
      <w:r w:rsidRPr="00DE79AD">
        <w:rPr>
          <w:sz w:val="24"/>
        </w:rPr>
        <w:t xml:space="preserve"> causality relationship to study drug is Not related) by SOC and PT (Statistical Table </w:t>
      </w:r>
      <w:r w:rsidR="001A1F3D" w:rsidRPr="00DE79AD">
        <w:rPr>
          <w:sz w:val="24"/>
        </w:rPr>
        <w:t>34</w:t>
      </w:r>
      <w:r w:rsidRPr="00DE79AD">
        <w:rPr>
          <w:sz w:val="24"/>
        </w:rPr>
        <w:t>)</w:t>
      </w:r>
    </w:p>
    <w:p w:rsidR="009A1E11" w:rsidRPr="00DE79AD" w:rsidRDefault="009A1E11" w:rsidP="001559A5">
      <w:pPr>
        <w:pStyle w:val="ac"/>
        <w:numPr>
          <w:ilvl w:val="0"/>
          <w:numId w:val="35"/>
        </w:numPr>
        <w:spacing w:line="360" w:lineRule="auto"/>
        <w:rPr>
          <w:sz w:val="24"/>
        </w:rPr>
      </w:pPr>
      <w:r w:rsidRPr="00DE79AD">
        <w:rPr>
          <w:sz w:val="24"/>
        </w:rPr>
        <w:t>All related TEAEs (</w:t>
      </w:r>
      <w:r w:rsidRPr="00DE79AD">
        <w:rPr>
          <w:i/>
          <w:sz w:val="24"/>
        </w:rPr>
        <w:t>i.e.,</w:t>
      </w:r>
      <w:r w:rsidRPr="00DE79AD">
        <w:rPr>
          <w:sz w:val="24"/>
        </w:rPr>
        <w:t xml:space="preserve"> causality relationship to study drug is Possible, Probable or Definite) by SOC and PT (Statistical Table </w:t>
      </w:r>
      <w:r w:rsidR="001A1F3D" w:rsidRPr="00DE79AD">
        <w:rPr>
          <w:sz w:val="24"/>
        </w:rPr>
        <w:t>35</w:t>
      </w:r>
      <w:r w:rsidRPr="00DE79AD">
        <w:rPr>
          <w:sz w:val="24"/>
        </w:rPr>
        <w:t>)</w:t>
      </w:r>
    </w:p>
    <w:p w:rsidR="00E3511F" w:rsidRPr="00DE79AD" w:rsidRDefault="00E3511F" w:rsidP="001559A5">
      <w:pPr>
        <w:pStyle w:val="ac"/>
        <w:numPr>
          <w:ilvl w:val="0"/>
          <w:numId w:val="35"/>
        </w:numPr>
        <w:spacing w:line="360" w:lineRule="auto"/>
        <w:rPr>
          <w:sz w:val="24"/>
        </w:rPr>
      </w:pPr>
      <w:r w:rsidRPr="00DE79AD">
        <w:rPr>
          <w:sz w:val="24"/>
        </w:rPr>
        <w:t xml:space="preserve">All TEAEs by SOC and PT and by </w:t>
      </w:r>
      <w:r w:rsidR="009A1E11" w:rsidRPr="00DE79AD">
        <w:rPr>
          <w:sz w:val="24"/>
        </w:rPr>
        <w:t>severity grade</w:t>
      </w:r>
      <w:r w:rsidRPr="00DE79AD">
        <w:rPr>
          <w:sz w:val="24"/>
        </w:rPr>
        <w:t xml:space="preserve"> (Statistical Table </w:t>
      </w:r>
      <w:r w:rsidR="001A1F3D" w:rsidRPr="00DE79AD">
        <w:rPr>
          <w:sz w:val="24"/>
        </w:rPr>
        <w:t>36</w:t>
      </w:r>
      <w:r w:rsidRPr="00DE79AD">
        <w:rPr>
          <w:sz w:val="24"/>
        </w:rPr>
        <w:t>)</w:t>
      </w:r>
    </w:p>
    <w:p w:rsidR="009A1E11" w:rsidRPr="00DE79AD" w:rsidRDefault="009A1E11" w:rsidP="009A1E11">
      <w:pPr>
        <w:spacing w:line="360" w:lineRule="auto"/>
        <w:rPr>
          <w:rFonts w:cs="Arial"/>
          <w:sz w:val="24"/>
        </w:rPr>
      </w:pPr>
      <w:r w:rsidRPr="00DE79AD">
        <w:rPr>
          <w:rFonts w:cs="Arial"/>
          <w:sz w:val="24"/>
        </w:rPr>
        <w:t xml:space="preserve">Multiple counts within a PT or SOC (repeated or different included terms or changes in descriptors) will be considered only once per subject for the calculation of </w:t>
      </w:r>
      <w:r w:rsidR="009A103A" w:rsidRPr="00DE79AD">
        <w:rPr>
          <w:rFonts w:cs="Arial"/>
          <w:sz w:val="24"/>
        </w:rPr>
        <w:t>frequencies</w:t>
      </w:r>
      <w:r w:rsidRPr="00DE79AD">
        <w:rPr>
          <w:rFonts w:cs="Arial"/>
          <w:sz w:val="24"/>
        </w:rPr>
        <w:t>.</w:t>
      </w:r>
    </w:p>
    <w:p w:rsidR="00E3511F" w:rsidRPr="00DE79AD" w:rsidRDefault="00E3511F" w:rsidP="009A1E11">
      <w:pPr>
        <w:spacing w:line="360" w:lineRule="auto"/>
        <w:rPr>
          <w:sz w:val="24"/>
        </w:rPr>
      </w:pPr>
    </w:p>
    <w:p w:rsidR="001B2F96" w:rsidRPr="00DE79AD" w:rsidRDefault="00E3511F" w:rsidP="009A1E11">
      <w:pPr>
        <w:pStyle w:val="Default"/>
        <w:spacing w:line="360" w:lineRule="auto"/>
        <w:jc w:val="both"/>
        <w:rPr>
          <w:rFonts w:ascii="Times New Roman" w:hAnsi="Times New Roman" w:cs="Times New Roman"/>
          <w:color w:val="auto"/>
          <w:lang w:val="en-GB" w:eastAsia="en-US"/>
        </w:rPr>
      </w:pPr>
      <w:r w:rsidRPr="00DE79AD">
        <w:rPr>
          <w:rFonts w:ascii="Times New Roman" w:hAnsi="Times New Roman" w:cs="Times New Roman"/>
          <w:color w:val="auto"/>
          <w:lang w:val="en-GB" w:eastAsia="en-US"/>
        </w:rPr>
        <w:t>Depending on the number of TESAEs, similar tables as described above for TEAEs may be produced for TESAEs</w:t>
      </w:r>
      <w:r w:rsidR="001A1F3D" w:rsidRPr="00DE79AD">
        <w:rPr>
          <w:rFonts w:ascii="Times New Roman" w:hAnsi="Times New Roman" w:cs="Times New Roman"/>
          <w:color w:val="auto"/>
          <w:lang w:val="en-GB" w:eastAsia="en-US"/>
        </w:rPr>
        <w:t xml:space="preserve"> (Statistical Table 37, Statistical Table 38, Statistical Table 39 and </w:t>
      </w:r>
      <w:r w:rsidR="001A1F3D" w:rsidRPr="00DE79AD">
        <w:rPr>
          <w:rFonts w:ascii="Times New Roman" w:hAnsi="Times New Roman" w:cs="Times New Roman"/>
          <w:color w:val="auto"/>
          <w:lang w:val="en-GB" w:eastAsia="en-US"/>
        </w:rPr>
        <w:lastRenderedPageBreak/>
        <w:t>Statistical Table 40)</w:t>
      </w:r>
      <w:r w:rsidRPr="00DE79AD">
        <w:rPr>
          <w:rFonts w:ascii="Times New Roman" w:hAnsi="Times New Roman" w:cs="Times New Roman"/>
          <w:color w:val="auto"/>
          <w:lang w:val="en-GB" w:eastAsia="en-US"/>
        </w:rPr>
        <w:t xml:space="preserve">. If the number of TESAEs is small, no specific tabulation of TESAEs will be produced. </w:t>
      </w:r>
    </w:p>
    <w:p w:rsidR="00AF3917" w:rsidRPr="00DE79AD" w:rsidRDefault="00AF3917" w:rsidP="00B70E77">
      <w:pPr>
        <w:pStyle w:val="4"/>
      </w:pPr>
      <w:bookmarkStart w:id="81" w:name="_Toc461617859"/>
      <w:r w:rsidRPr="00DE79AD">
        <w:t>Laboratory safety variables</w:t>
      </w:r>
      <w:bookmarkEnd w:id="81"/>
    </w:p>
    <w:p w:rsidR="003A3E42" w:rsidRPr="00DE79AD" w:rsidRDefault="00064D22" w:rsidP="00064D22">
      <w:pPr>
        <w:pStyle w:val="Default"/>
        <w:spacing w:line="360" w:lineRule="auto"/>
        <w:jc w:val="both"/>
        <w:rPr>
          <w:rFonts w:ascii="Times New Roman" w:hAnsi="Times New Roman" w:cs="Times New Roman"/>
          <w:color w:val="auto"/>
          <w:lang w:val="en-GB" w:eastAsia="en-US"/>
        </w:rPr>
      </w:pPr>
      <w:r w:rsidRPr="00DE79AD">
        <w:rPr>
          <w:rFonts w:ascii="Times New Roman" w:hAnsi="Times New Roman" w:cs="Times New Roman"/>
          <w:color w:val="auto"/>
          <w:lang w:val="en-GB" w:eastAsia="en-US"/>
        </w:rPr>
        <w:t>Hematology and clinical chemistry data will be summarized at each scheduled assessment and presented by NCI CTCAE toxicity grade (version 4)</w:t>
      </w:r>
      <w:r w:rsidR="00E45FD2">
        <w:rPr>
          <w:rFonts w:ascii="Times New Roman" w:hAnsi="Times New Roman" w:cs="Times New Roman"/>
          <w:color w:val="auto"/>
          <w:lang w:val="en-GB" w:eastAsia="en-US"/>
        </w:rPr>
        <w:t xml:space="preserve"> (see Appendix 7:</w:t>
      </w:r>
      <w:r w:rsidR="005270A6">
        <w:rPr>
          <w:rFonts w:ascii="Times New Roman" w:hAnsi="Times New Roman" w:cs="Times New Roman"/>
          <w:color w:val="auto"/>
          <w:lang w:val="en-GB" w:eastAsia="en-US"/>
        </w:rPr>
        <w:t xml:space="preserve"> section</w:t>
      </w:r>
      <w:r w:rsidR="00E45FD2">
        <w:rPr>
          <w:rFonts w:ascii="Times New Roman" w:hAnsi="Times New Roman" w:cs="Times New Roman"/>
          <w:color w:val="auto"/>
          <w:lang w:val="en-GB" w:eastAsia="en-US"/>
        </w:rPr>
        <w:t xml:space="preserve"> </w:t>
      </w:r>
      <w:r w:rsidR="00FF5BA3">
        <w:rPr>
          <w:rFonts w:ascii="Times New Roman" w:hAnsi="Times New Roman" w:cs="Times New Roman"/>
          <w:color w:val="auto"/>
          <w:lang w:val="en-GB" w:eastAsia="en-US"/>
        </w:rPr>
        <w:fldChar w:fldCharType="begin"/>
      </w:r>
      <w:r w:rsidR="00E45FD2">
        <w:rPr>
          <w:rFonts w:ascii="Times New Roman" w:hAnsi="Times New Roman" w:cs="Times New Roman"/>
          <w:color w:val="auto"/>
          <w:lang w:val="en-GB" w:eastAsia="en-US"/>
        </w:rPr>
        <w:instrText xml:space="preserve"> REF _Ref443402389 \r \h </w:instrText>
      </w:r>
      <w:r w:rsidR="00FF5BA3">
        <w:rPr>
          <w:rFonts w:ascii="Times New Roman" w:hAnsi="Times New Roman" w:cs="Times New Roman"/>
          <w:color w:val="auto"/>
          <w:lang w:val="en-GB" w:eastAsia="en-US"/>
        </w:rPr>
      </w:r>
      <w:r w:rsidR="00FF5BA3">
        <w:rPr>
          <w:rFonts w:ascii="Times New Roman" w:hAnsi="Times New Roman" w:cs="Times New Roman"/>
          <w:color w:val="auto"/>
          <w:lang w:val="en-GB" w:eastAsia="en-US"/>
        </w:rPr>
        <w:fldChar w:fldCharType="separate"/>
      </w:r>
      <w:r w:rsidR="007C78F1">
        <w:rPr>
          <w:rFonts w:ascii="Times New Roman" w:hAnsi="Times New Roman" w:cs="Times New Roman"/>
          <w:color w:val="auto"/>
          <w:lang w:val="en-GB" w:eastAsia="en-US"/>
        </w:rPr>
        <w:t>10.7</w:t>
      </w:r>
      <w:r w:rsidR="00FF5BA3">
        <w:rPr>
          <w:rFonts w:ascii="Times New Roman" w:hAnsi="Times New Roman" w:cs="Times New Roman"/>
          <w:color w:val="auto"/>
          <w:lang w:val="en-GB" w:eastAsia="en-US"/>
        </w:rPr>
        <w:fldChar w:fldCharType="end"/>
      </w:r>
      <w:r w:rsidR="00E45FD2">
        <w:rPr>
          <w:rFonts w:ascii="Times New Roman" w:hAnsi="Times New Roman" w:cs="Times New Roman"/>
          <w:color w:val="auto"/>
          <w:lang w:val="en-GB" w:eastAsia="en-US"/>
        </w:rPr>
        <w:t>)</w:t>
      </w:r>
      <w:r w:rsidRPr="00DE79AD">
        <w:rPr>
          <w:rFonts w:ascii="Times New Roman" w:hAnsi="Times New Roman" w:cs="Times New Roman"/>
          <w:color w:val="auto"/>
          <w:lang w:val="en-GB" w:eastAsia="en-US"/>
        </w:rPr>
        <w:t>.</w:t>
      </w:r>
    </w:p>
    <w:p w:rsidR="003A3E42" w:rsidRPr="00DE79AD" w:rsidRDefault="00F94956" w:rsidP="00064D22">
      <w:pPr>
        <w:pStyle w:val="Default"/>
        <w:spacing w:line="360" w:lineRule="auto"/>
        <w:jc w:val="both"/>
        <w:rPr>
          <w:rFonts w:ascii="Times New Roman" w:hAnsi="Times New Roman" w:cs="Times New Roman"/>
          <w:color w:val="auto"/>
          <w:lang w:val="en-GB" w:eastAsia="en-US"/>
        </w:rPr>
      </w:pPr>
      <w:r w:rsidRPr="00DE79AD">
        <w:rPr>
          <w:rFonts w:ascii="Times New Roman" w:hAnsi="Times New Roman" w:cs="Times New Roman"/>
          <w:color w:val="auto"/>
          <w:lang w:val="en-GB" w:eastAsia="en-US"/>
        </w:rPr>
        <w:t xml:space="preserve">In case of relevant abnormalities on the laboratory variables detected from statistics tabulations, the data will be presented graphically </w:t>
      </w:r>
      <w:r w:rsidR="00C14529" w:rsidRPr="00DE79AD">
        <w:rPr>
          <w:rFonts w:ascii="Times New Roman" w:hAnsi="Times New Roman" w:cs="Times New Roman"/>
          <w:color w:val="auto"/>
          <w:lang w:val="en-GB" w:eastAsia="en-US"/>
        </w:rPr>
        <w:t xml:space="preserve">using a plot of mean level versus time by treatment group and/or </w:t>
      </w:r>
      <w:r w:rsidRPr="00DE79AD">
        <w:rPr>
          <w:rFonts w:ascii="Times New Roman" w:hAnsi="Times New Roman" w:cs="Times New Roman"/>
          <w:color w:val="auto"/>
          <w:lang w:val="en-GB" w:eastAsia="en-US"/>
        </w:rPr>
        <w:t xml:space="preserve">a Pre/post treatment scattergram for each relevant </w:t>
      </w:r>
      <w:r w:rsidR="00C14529" w:rsidRPr="00DE79AD">
        <w:rPr>
          <w:rFonts w:ascii="Times New Roman" w:hAnsi="Times New Roman" w:cs="Times New Roman"/>
          <w:color w:val="auto"/>
          <w:lang w:val="en-GB" w:eastAsia="en-US"/>
        </w:rPr>
        <w:t xml:space="preserve">laboratory </w:t>
      </w:r>
      <w:r w:rsidR="006E6340" w:rsidRPr="00DE79AD">
        <w:rPr>
          <w:rFonts w:ascii="Times New Roman" w:hAnsi="Times New Roman" w:cs="Times New Roman"/>
          <w:color w:val="auto"/>
          <w:lang w:val="en-GB" w:eastAsia="en-US"/>
        </w:rPr>
        <w:t>variable</w:t>
      </w:r>
      <w:r w:rsidR="00483912" w:rsidRPr="00DE79AD">
        <w:rPr>
          <w:rFonts w:ascii="Times New Roman" w:hAnsi="Times New Roman" w:cs="Times New Roman"/>
          <w:color w:val="auto"/>
          <w:lang w:val="en-GB" w:eastAsia="en-US"/>
        </w:rPr>
        <w:t xml:space="preserve"> (Figure 9 and 10 respectively)</w:t>
      </w:r>
      <w:r w:rsidR="006E6340" w:rsidRPr="00DE79AD">
        <w:rPr>
          <w:rFonts w:ascii="Times New Roman" w:hAnsi="Times New Roman" w:cs="Times New Roman"/>
          <w:color w:val="auto"/>
          <w:lang w:val="en-GB" w:eastAsia="en-US"/>
        </w:rPr>
        <w:t>.</w:t>
      </w:r>
    </w:p>
    <w:p w:rsidR="003A3E42" w:rsidRPr="00DE79AD" w:rsidRDefault="003A3E42" w:rsidP="00064D22">
      <w:pPr>
        <w:pStyle w:val="Default"/>
        <w:spacing w:line="360" w:lineRule="auto"/>
        <w:jc w:val="both"/>
        <w:rPr>
          <w:rFonts w:ascii="Times New Roman" w:hAnsi="Times New Roman" w:cs="Times New Roman"/>
          <w:b/>
          <w:color w:val="auto"/>
          <w:u w:val="single"/>
          <w:lang w:val="en-GB" w:eastAsia="en-US"/>
        </w:rPr>
      </w:pPr>
      <w:r w:rsidRPr="00DE79AD">
        <w:rPr>
          <w:rFonts w:ascii="Times New Roman" w:hAnsi="Times New Roman" w:cs="Times New Roman"/>
          <w:b/>
          <w:color w:val="auto"/>
          <w:u w:val="single"/>
          <w:lang w:val="en-GB" w:eastAsia="en-US"/>
        </w:rPr>
        <w:t>Tables on Laboratory safety variables:</w:t>
      </w:r>
    </w:p>
    <w:p w:rsidR="003A3E42" w:rsidRPr="00DE79AD" w:rsidRDefault="003A3E42" w:rsidP="00064D22">
      <w:pPr>
        <w:pStyle w:val="Default"/>
        <w:spacing w:line="360" w:lineRule="auto"/>
        <w:jc w:val="both"/>
        <w:rPr>
          <w:rFonts w:ascii="Times New Roman" w:hAnsi="Times New Roman" w:cs="Times New Roman"/>
          <w:color w:val="auto"/>
          <w:lang w:val="en-GB" w:eastAsia="en-US"/>
        </w:rPr>
      </w:pPr>
      <w:r w:rsidRPr="00DE79AD">
        <w:rPr>
          <w:rFonts w:ascii="Times New Roman" w:hAnsi="Times New Roman" w:cs="Times New Roman"/>
          <w:color w:val="auto"/>
          <w:lang w:val="en-GB" w:eastAsia="en-US"/>
        </w:rPr>
        <w:t>Quantitative descriptive statistics</w:t>
      </w:r>
      <w:r w:rsidR="005A198C" w:rsidRPr="00DE79AD">
        <w:rPr>
          <w:rFonts w:ascii="Times New Roman" w:hAnsi="Times New Roman" w:cs="Times New Roman"/>
          <w:color w:val="auto"/>
          <w:lang w:val="en-GB" w:eastAsia="en-US"/>
        </w:rPr>
        <w:t xml:space="preserve"> will be tabulated for </w:t>
      </w:r>
      <w:r w:rsidRPr="00DE79AD">
        <w:rPr>
          <w:rFonts w:ascii="Times New Roman" w:hAnsi="Times New Roman" w:cs="Times New Roman"/>
          <w:color w:val="auto"/>
          <w:lang w:val="en-GB" w:eastAsia="en-US"/>
        </w:rPr>
        <w:t>each laboratory variable at each time over the course of the study (e.g., at each visit) on raw values and change from baseline</w:t>
      </w:r>
      <w:r w:rsidR="00483912" w:rsidRPr="00DE79AD">
        <w:rPr>
          <w:rFonts w:ascii="Times New Roman" w:hAnsi="Times New Roman" w:cs="Times New Roman"/>
          <w:color w:val="auto"/>
          <w:lang w:val="en-GB" w:eastAsia="en-US"/>
        </w:rPr>
        <w:t xml:space="preserve"> (Statistical Table 41 and 44)</w:t>
      </w:r>
      <w:r w:rsidR="00064D22" w:rsidRPr="00DE79AD">
        <w:rPr>
          <w:rFonts w:ascii="Times New Roman" w:hAnsi="Times New Roman" w:cs="Times New Roman"/>
          <w:color w:val="auto"/>
          <w:lang w:val="en-GB" w:eastAsia="en-US"/>
        </w:rPr>
        <w:t>.</w:t>
      </w:r>
    </w:p>
    <w:p w:rsidR="003A3E42" w:rsidRPr="00DE79AD" w:rsidRDefault="003A3E42" w:rsidP="003A3E42"/>
    <w:p w:rsidR="003A3E42" w:rsidRPr="00DE79AD" w:rsidRDefault="003A3E42" w:rsidP="00064D22">
      <w:pPr>
        <w:pStyle w:val="Default"/>
        <w:spacing w:line="360" w:lineRule="auto"/>
        <w:jc w:val="both"/>
        <w:rPr>
          <w:rFonts w:ascii="Times New Roman" w:hAnsi="Times New Roman" w:cs="Times New Roman"/>
          <w:b/>
          <w:color w:val="auto"/>
          <w:u w:val="single"/>
          <w:lang w:val="en-GB" w:eastAsia="en-US"/>
        </w:rPr>
      </w:pPr>
      <w:r w:rsidRPr="00DE79AD">
        <w:rPr>
          <w:rFonts w:ascii="Times New Roman" w:hAnsi="Times New Roman" w:cs="Times New Roman"/>
          <w:b/>
          <w:color w:val="auto"/>
          <w:u w:val="single"/>
          <w:lang w:val="en-GB" w:eastAsia="en-US"/>
        </w:rPr>
        <w:t>Qualitative descriptive statistics</w:t>
      </w:r>
      <w:r w:rsidR="00064D22" w:rsidRPr="00DE79AD">
        <w:rPr>
          <w:rFonts w:ascii="Times New Roman" w:hAnsi="Times New Roman" w:cs="Times New Roman"/>
          <w:b/>
          <w:color w:val="auto"/>
          <w:u w:val="single"/>
          <w:lang w:val="en-GB" w:eastAsia="en-US"/>
        </w:rPr>
        <w:t>:</w:t>
      </w:r>
    </w:p>
    <w:p w:rsidR="00064D22" w:rsidRPr="00DE79AD" w:rsidRDefault="00064D22" w:rsidP="00064D22">
      <w:pPr>
        <w:numPr>
          <w:ilvl w:val="0"/>
          <w:numId w:val="4"/>
        </w:numPr>
        <w:spacing w:line="360" w:lineRule="auto"/>
        <w:ind w:left="714" w:hanging="357"/>
        <w:rPr>
          <w:sz w:val="24"/>
        </w:rPr>
      </w:pPr>
      <w:r w:rsidRPr="00DE79AD">
        <w:rPr>
          <w:sz w:val="24"/>
        </w:rPr>
        <w:t>Qualitative descriptions statistics will be tabulated for</w:t>
      </w:r>
      <w:r w:rsidR="003A3E42" w:rsidRPr="00DE79AD">
        <w:rPr>
          <w:sz w:val="24"/>
        </w:rPr>
        <w:t xml:space="preserve"> each laboratory variable at each ti</w:t>
      </w:r>
      <w:r w:rsidRPr="00DE79AD">
        <w:rPr>
          <w:sz w:val="24"/>
        </w:rPr>
        <w:t>me over the course of the study overall and by treatment group</w:t>
      </w:r>
      <w:r w:rsidR="00483912" w:rsidRPr="00DE79AD">
        <w:rPr>
          <w:sz w:val="24"/>
        </w:rPr>
        <w:t xml:space="preserve"> </w:t>
      </w:r>
      <w:r w:rsidR="00483912" w:rsidRPr="00DE79AD">
        <w:t>(Statistical Table 42 and 45)</w:t>
      </w:r>
      <w:r w:rsidRPr="00DE79AD">
        <w:rPr>
          <w:sz w:val="24"/>
        </w:rPr>
        <w:t>:</w:t>
      </w:r>
    </w:p>
    <w:p w:rsidR="003A3E42" w:rsidRPr="00DE79AD" w:rsidRDefault="00064D22" w:rsidP="00064D22">
      <w:pPr>
        <w:numPr>
          <w:ilvl w:val="1"/>
          <w:numId w:val="4"/>
        </w:numPr>
        <w:spacing w:line="360" w:lineRule="auto"/>
        <w:rPr>
          <w:sz w:val="24"/>
        </w:rPr>
      </w:pPr>
      <w:r w:rsidRPr="00DE79AD">
        <w:rPr>
          <w:sz w:val="24"/>
        </w:rPr>
        <w:t xml:space="preserve"> </w:t>
      </w:r>
      <w:r w:rsidR="0060550F" w:rsidRPr="00DE79AD">
        <w:rPr>
          <w:sz w:val="24"/>
        </w:rPr>
        <w:t>By clinical significance</w:t>
      </w:r>
      <w:r w:rsidR="003A3E42" w:rsidRPr="00DE79AD">
        <w:rPr>
          <w:sz w:val="24"/>
        </w:rPr>
        <w:t xml:space="preserve"> </w:t>
      </w:r>
      <w:r w:rsidR="0060550F" w:rsidRPr="00DE79AD">
        <w:rPr>
          <w:sz w:val="24"/>
        </w:rPr>
        <w:t>(normal, abnormal NCS, abnormal CS)</w:t>
      </w:r>
    </w:p>
    <w:p w:rsidR="00064D22" w:rsidRPr="00DE79AD" w:rsidRDefault="0060550F" w:rsidP="00064D22">
      <w:pPr>
        <w:numPr>
          <w:ilvl w:val="1"/>
          <w:numId w:val="4"/>
        </w:numPr>
        <w:spacing w:line="360" w:lineRule="auto"/>
        <w:rPr>
          <w:sz w:val="24"/>
        </w:rPr>
      </w:pPr>
      <w:r w:rsidRPr="00DE79AD">
        <w:rPr>
          <w:sz w:val="24"/>
        </w:rPr>
        <w:t>By CTCAE grade</w:t>
      </w:r>
    </w:p>
    <w:p w:rsidR="003B67CB" w:rsidRPr="00DE79AD" w:rsidRDefault="002E6DE1" w:rsidP="00517BE2">
      <w:pPr>
        <w:numPr>
          <w:ilvl w:val="0"/>
          <w:numId w:val="4"/>
        </w:numPr>
        <w:spacing w:line="360" w:lineRule="auto"/>
        <w:ind w:left="714" w:hanging="357"/>
        <w:rPr>
          <w:sz w:val="24"/>
        </w:rPr>
      </w:pPr>
      <w:r w:rsidRPr="00DE79AD">
        <w:rPr>
          <w:sz w:val="24"/>
        </w:rPr>
        <w:t>Shift Tables</w:t>
      </w:r>
      <w:r w:rsidR="0060550F" w:rsidRPr="00DE79AD">
        <w:rPr>
          <w:sz w:val="24"/>
        </w:rPr>
        <w:t xml:space="preserve"> between CTCAE grade or clinical significance for each laboratory results comparing baseline to each visit</w:t>
      </w:r>
      <w:r w:rsidR="00483912" w:rsidRPr="00DE79AD">
        <w:rPr>
          <w:sz w:val="24"/>
        </w:rPr>
        <w:t xml:space="preserve"> </w:t>
      </w:r>
      <w:r w:rsidR="00483912" w:rsidRPr="00DE79AD">
        <w:t>(Statistical Table 43 and 46).</w:t>
      </w:r>
    </w:p>
    <w:p w:rsidR="00517BE2" w:rsidRPr="00DE79AD" w:rsidRDefault="00517BE2" w:rsidP="00517BE2">
      <w:pPr>
        <w:spacing w:line="360" w:lineRule="auto"/>
        <w:ind w:left="714"/>
        <w:rPr>
          <w:sz w:val="24"/>
        </w:rPr>
      </w:pPr>
    </w:p>
    <w:p w:rsidR="005A198C" w:rsidRPr="00DE79AD" w:rsidRDefault="009F3E0A" w:rsidP="0060550F">
      <w:pPr>
        <w:spacing w:line="360" w:lineRule="auto"/>
        <w:rPr>
          <w:sz w:val="24"/>
        </w:rPr>
      </w:pPr>
      <w:r w:rsidRPr="00DE79AD">
        <w:rPr>
          <w:sz w:val="24"/>
        </w:rPr>
        <w:t xml:space="preserve">A listing of all safety-related </w:t>
      </w:r>
      <w:r w:rsidR="0060550F" w:rsidRPr="00DE79AD">
        <w:rPr>
          <w:sz w:val="24"/>
        </w:rPr>
        <w:t>laboratory test</w:t>
      </w:r>
      <w:r w:rsidR="000D1149" w:rsidRPr="00DE79AD">
        <w:rPr>
          <w:sz w:val="24"/>
        </w:rPr>
        <w:t>s</w:t>
      </w:r>
      <w:r w:rsidR="0060550F" w:rsidRPr="00DE79AD">
        <w:rPr>
          <w:sz w:val="24"/>
        </w:rPr>
        <w:t xml:space="preserve"> (Listing 16.2.8</w:t>
      </w:r>
      <w:r w:rsidR="00D82054" w:rsidRPr="00DE79AD">
        <w:rPr>
          <w:sz w:val="24"/>
        </w:rPr>
        <w:t>.1 and 16.2.8.3</w:t>
      </w:r>
      <w:r w:rsidRPr="00DE79AD">
        <w:rPr>
          <w:sz w:val="24"/>
        </w:rPr>
        <w:t>) will be prepared, presenting patient id, identification of time point, Age, Sex,  weight and IMP dose, identification of</w:t>
      </w:r>
      <w:r w:rsidRPr="0060550F">
        <w:rPr>
          <w:sz w:val="24"/>
        </w:rPr>
        <w:t xml:space="preserve"> </w:t>
      </w:r>
      <w:r w:rsidRPr="00DE79AD">
        <w:rPr>
          <w:sz w:val="24"/>
        </w:rPr>
        <w:t>laboratory test, result, flagged as abnormal when abnormal and normal ran</w:t>
      </w:r>
      <w:r w:rsidR="005A198C" w:rsidRPr="00DE79AD">
        <w:rPr>
          <w:sz w:val="24"/>
        </w:rPr>
        <w:t>ge when available and relevant</w:t>
      </w:r>
      <w:r w:rsidR="0060550F" w:rsidRPr="00DE79AD">
        <w:rPr>
          <w:sz w:val="24"/>
        </w:rPr>
        <w:t>, toxicity grading when available</w:t>
      </w:r>
      <w:r w:rsidRPr="00DE79AD">
        <w:rPr>
          <w:sz w:val="24"/>
        </w:rPr>
        <w:t xml:space="preserve">. </w:t>
      </w:r>
      <w:r w:rsidR="005A198C" w:rsidRPr="00DE79AD">
        <w:rPr>
          <w:sz w:val="24"/>
        </w:rPr>
        <w:t xml:space="preserve">This listing will be presented by study site and by study treatment. </w:t>
      </w:r>
    </w:p>
    <w:p w:rsidR="00D82054" w:rsidRPr="00DE79AD" w:rsidRDefault="00D82054" w:rsidP="0060550F">
      <w:pPr>
        <w:spacing w:line="360" w:lineRule="auto"/>
        <w:rPr>
          <w:sz w:val="24"/>
        </w:rPr>
      </w:pPr>
      <w:r w:rsidRPr="00DE79AD">
        <w:rPr>
          <w:sz w:val="24"/>
        </w:rPr>
        <w:t xml:space="preserve">A patient listing </w:t>
      </w:r>
      <w:r w:rsidR="00F3181A" w:rsidRPr="00DE79AD">
        <w:rPr>
          <w:sz w:val="24"/>
        </w:rPr>
        <w:t>of</w:t>
      </w:r>
      <w:r w:rsidRPr="00DE79AD">
        <w:rPr>
          <w:sz w:val="24"/>
        </w:rPr>
        <w:t xml:space="preserve"> abnormal laboratory </w:t>
      </w:r>
      <w:r w:rsidR="00F3181A" w:rsidRPr="00DE79AD">
        <w:rPr>
          <w:sz w:val="24"/>
        </w:rPr>
        <w:t>values</w:t>
      </w:r>
      <w:r w:rsidRPr="00DE79AD">
        <w:rPr>
          <w:sz w:val="24"/>
        </w:rPr>
        <w:t xml:space="preserve"> will also presented (Listing 16.2.8.2 and 16.2.8.4)</w:t>
      </w:r>
    </w:p>
    <w:p w:rsidR="009F3E0A" w:rsidRPr="00DE79AD" w:rsidRDefault="009F3E0A" w:rsidP="003A3E42"/>
    <w:p w:rsidR="001559A5" w:rsidRPr="00DE79AD" w:rsidRDefault="001559A5" w:rsidP="00517BE2">
      <w:pPr>
        <w:pStyle w:val="4"/>
        <w:numPr>
          <w:ilvl w:val="3"/>
          <w:numId w:val="36"/>
        </w:numPr>
        <w:tabs>
          <w:tab w:val="clear" w:pos="864"/>
          <w:tab w:val="num" w:pos="1134"/>
        </w:tabs>
        <w:spacing w:line="360" w:lineRule="auto"/>
      </w:pPr>
      <w:bookmarkStart w:id="82" w:name="_Toc427329716"/>
      <w:bookmarkStart w:id="83" w:name="_Toc461617860"/>
      <w:r w:rsidRPr="00DE79AD">
        <w:lastRenderedPageBreak/>
        <w:t>Vital signs</w:t>
      </w:r>
      <w:bookmarkEnd w:id="82"/>
      <w:bookmarkEnd w:id="83"/>
    </w:p>
    <w:p w:rsidR="001559A5" w:rsidRPr="00DE79AD" w:rsidRDefault="001559A5" w:rsidP="00517BE2">
      <w:pPr>
        <w:spacing w:line="360" w:lineRule="auto"/>
        <w:rPr>
          <w:sz w:val="24"/>
        </w:rPr>
      </w:pPr>
      <w:r w:rsidRPr="00DE79AD">
        <w:rPr>
          <w:sz w:val="24"/>
        </w:rPr>
        <w:t>For all vital signs recorded, quantitative descriptive statistics will be computed by visit (and treatment group on both raw values and change from baseline to each visit (</w:t>
      </w:r>
      <w:r w:rsidRPr="00DE79AD">
        <w:rPr>
          <w:color w:val="000000"/>
          <w:sz w:val="24"/>
          <w:lang w:val="en-US" w:eastAsia="fr-FR"/>
        </w:rPr>
        <w:t xml:space="preserve">Statistical table </w:t>
      </w:r>
      <w:r w:rsidR="00483912" w:rsidRPr="00DE79AD">
        <w:rPr>
          <w:color w:val="000000"/>
          <w:sz w:val="24"/>
          <w:lang w:val="en-US" w:eastAsia="fr-FR"/>
        </w:rPr>
        <w:t>47</w:t>
      </w:r>
      <w:r w:rsidRPr="00DE79AD">
        <w:rPr>
          <w:color w:val="000000"/>
          <w:sz w:val="24"/>
          <w:lang w:val="en-US" w:eastAsia="fr-FR"/>
        </w:rPr>
        <w:t>). All individual measurements will be provided in Listing 16.2.9</w:t>
      </w:r>
      <w:r w:rsidR="00801FC9" w:rsidRPr="00DE79AD">
        <w:rPr>
          <w:color w:val="000000"/>
          <w:sz w:val="24"/>
          <w:lang w:val="en-US" w:eastAsia="fr-FR"/>
        </w:rPr>
        <w:t>.1</w:t>
      </w:r>
      <w:r w:rsidRPr="00DE79AD">
        <w:rPr>
          <w:color w:val="000000"/>
          <w:sz w:val="24"/>
          <w:lang w:val="en-US" w:eastAsia="fr-FR"/>
        </w:rPr>
        <w:t>.</w:t>
      </w:r>
    </w:p>
    <w:p w:rsidR="001559A5" w:rsidRPr="00DE79AD" w:rsidRDefault="001559A5" w:rsidP="00517BE2">
      <w:pPr>
        <w:pStyle w:val="4"/>
        <w:tabs>
          <w:tab w:val="clear" w:pos="864"/>
          <w:tab w:val="num" w:pos="1134"/>
        </w:tabs>
        <w:spacing w:line="360" w:lineRule="auto"/>
        <w:ind w:left="1134"/>
        <w:rPr>
          <w:rStyle w:val="Instruction"/>
          <w:rFonts w:ascii="Arial" w:hAnsi="Arial"/>
          <w:b/>
          <w:i w:val="0"/>
          <w:color w:val="auto"/>
          <w:sz w:val="22"/>
        </w:rPr>
      </w:pPr>
      <w:bookmarkStart w:id="84" w:name="_Toc427329717"/>
      <w:bookmarkStart w:id="85" w:name="_Toc461617861"/>
      <w:r w:rsidRPr="00DE79AD">
        <w:rPr>
          <w:rStyle w:val="Instruction"/>
          <w:rFonts w:ascii="Arial" w:hAnsi="Arial"/>
          <w:b/>
          <w:i w:val="0"/>
          <w:color w:val="auto"/>
          <w:sz w:val="22"/>
        </w:rPr>
        <w:t>Physical examinations</w:t>
      </w:r>
      <w:bookmarkEnd w:id="84"/>
      <w:bookmarkEnd w:id="85"/>
    </w:p>
    <w:p w:rsidR="001559A5" w:rsidRPr="00DE79AD" w:rsidRDefault="001559A5" w:rsidP="00517BE2">
      <w:pPr>
        <w:autoSpaceDE w:val="0"/>
        <w:autoSpaceDN w:val="0"/>
        <w:adjustRightInd w:val="0"/>
        <w:spacing w:line="360" w:lineRule="auto"/>
        <w:rPr>
          <w:color w:val="000000"/>
          <w:sz w:val="24"/>
          <w:lang w:val="en-US" w:eastAsia="fr-FR"/>
        </w:rPr>
      </w:pPr>
      <w:r w:rsidRPr="00DE79AD">
        <w:rPr>
          <w:sz w:val="24"/>
        </w:rPr>
        <w:t>For all the variables collected during physical examinations, the frequencies of normal, abnormal NCS and abnormal CS values will be reported by visit and treatment group (</w:t>
      </w:r>
      <w:r w:rsidRPr="00DE79AD">
        <w:rPr>
          <w:color w:val="000000"/>
          <w:sz w:val="24"/>
          <w:lang w:val="en-US" w:eastAsia="fr-FR"/>
        </w:rPr>
        <w:t xml:space="preserve">Statistical table </w:t>
      </w:r>
      <w:r w:rsidR="00483912" w:rsidRPr="00DE79AD">
        <w:rPr>
          <w:color w:val="000000"/>
          <w:sz w:val="24"/>
          <w:lang w:val="en-US" w:eastAsia="fr-FR"/>
        </w:rPr>
        <w:t>48</w:t>
      </w:r>
      <w:r w:rsidRPr="00DE79AD">
        <w:rPr>
          <w:color w:val="000000"/>
          <w:sz w:val="24"/>
          <w:lang w:val="en-US" w:eastAsia="fr-FR"/>
        </w:rPr>
        <w:t>). All individual measurements will be provided in Listing 16.2.9</w:t>
      </w:r>
      <w:r w:rsidR="00801FC9" w:rsidRPr="00DE79AD">
        <w:rPr>
          <w:color w:val="000000"/>
          <w:sz w:val="24"/>
          <w:lang w:val="en-US" w:eastAsia="fr-FR"/>
        </w:rPr>
        <w:t>.2</w:t>
      </w:r>
      <w:r w:rsidRPr="00DE79AD">
        <w:rPr>
          <w:color w:val="000000"/>
          <w:sz w:val="24"/>
          <w:lang w:val="en-US" w:eastAsia="fr-FR"/>
        </w:rPr>
        <w:t>.</w:t>
      </w:r>
    </w:p>
    <w:p w:rsidR="001559A5" w:rsidRPr="00DE79AD" w:rsidRDefault="001559A5" w:rsidP="00517BE2">
      <w:pPr>
        <w:pStyle w:val="4"/>
        <w:numPr>
          <w:ilvl w:val="3"/>
          <w:numId w:val="37"/>
        </w:numPr>
        <w:tabs>
          <w:tab w:val="clear" w:pos="864"/>
          <w:tab w:val="num" w:pos="1134"/>
        </w:tabs>
        <w:spacing w:line="360" w:lineRule="auto"/>
        <w:rPr>
          <w:rStyle w:val="Instruction"/>
          <w:rFonts w:ascii="Arial" w:hAnsi="Arial"/>
          <w:b/>
          <w:i w:val="0"/>
          <w:color w:val="auto"/>
          <w:sz w:val="22"/>
        </w:rPr>
      </w:pPr>
      <w:bookmarkStart w:id="86" w:name="_Toc461617862"/>
      <w:r w:rsidRPr="00DE79AD">
        <w:rPr>
          <w:rStyle w:val="Instruction"/>
          <w:rFonts w:ascii="Arial" w:hAnsi="Arial"/>
          <w:b/>
          <w:i w:val="0"/>
          <w:color w:val="auto"/>
          <w:sz w:val="22"/>
        </w:rPr>
        <w:t>Injection site inspection</w:t>
      </w:r>
      <w:bookmarkEnd w:id="86"/>
    </w:p>
    <w:p w:rsidR="001559A5" w:rsidRPr="00DE79AD" w:rsidRDefault="001559A5" w:rsidP="00517BE2">
      <w:pPr>
        <w:spacing w:line="360" w:lineRule="auto"/>
        <w:rPr>
          <w:rStyle w:val="Instruction"/>
          <w:b w:val="0"/>
          <w:i w:val="0"/>
          <w:color w:val="auto"/>
        </w:rPr>
      </w:pPr>
      <w:r w:rsidRPr="00DE79AD">
        <w:rPr>
          <w:rStyle w:val="Instruction"/>
          <w:b w:val="0"/>
          <w:i w:val="0"/>
          <w:color w:val="auto"/>
        </w:rPr>
        <w:t xml:space="preserve">Descriptive statistics for the global assessment of injection site completed by the investigator will be computed for each visit (at each treatment administration) by treatment group (Statistical table </w:t>
      </w:r>
      <w:r w:rsidR="00483912" w:rsidRPr="00DE79AD">
        <w:rPr>
          <w:rStyle w:val="Instruction"/>
          <w:b w:val="0"/>
          <w:i w:val="0"/>
          <w:color w:val="auto"/>
        </w:rPr>
        <w:t>49</w:t>
      </w:r>
      <w:r w:rsidRPr="00DE79AD">
        <w:rPr>
          <w:rStyle w:val="Instruction"/>
          <w:b w:val="0"/>
          <w:i w:val="0"/>
          <w:color w:val="auto"/>
        </w:rPr>
        <w:t>).</w:t>
      </w:r>
    </w:p>
    <w:p w:rsidR="001B2F96" w:rsidRPr="00DE79AD" w:rsidRDefault="001B2F96" w:rsidP="00517BE2">
      <w:pPr>
        <w:pStyle w:val="4"/>
        <w:numPr>
          <w:ilvl w:val="3"/>
          <w:numId w:val="39"/>
        </w:numPr>
        <w:tabs>
          <w:tab w:val="clear" w:pos="864"/>
          <w:tab w:val="num" w:pos="1134"/>
        </w:tabs>
        <w:spacing w:line="360" w:lineRule="auto"/>
        <w:rPr>
          <w:rStyle w:val="Instruction"/>
          <w:rFonts w:ascii="Arial" w:hAnsi="Arial"/>
          <w:b/>
          <w:i w:val="0"/>
          <w:color w:val="auto"/>
          <w:sz w:val="22"/>
        </w:rPr>
      </w:pPr>
      <w:bookmarkStart w:id="87" w:name="_Toc461617863"/>
      <w:r w:rsidRPr="00DE79AD">
        <w:rPr>
          <w:rStyle w:val="Instruction"/>
          <w:rFonts w:ascii="Arial" w:hAnsi="Arial"/>
          <w:b/>
          <w:i w:val="0"/>
          <w:color w:val="auto"/>
          <w:sz w:val="22"/>
        </w:rPr>
        <w:t>ECG</w:t>
      </w:r>
      <w:bookmarkEnd w:id="87"/>
    </w:p>
    <w:p w:rsidR="001B2F96" w:rsidRPr="00DE79AD" w:rsidRDefault="001B2F96" w:rsidP="00517BE2">
      <w:pPr>
        <w:autoSpaceDE w:val="0"/>
        <w:autoSpaceDN w:val="0"/>
        <w:adjustRightInd w:val="0"/>
        <w:spacing w:line="360" w:lineRule="auto"/>
        <w:rPr>
          <w:color w:val="000000"/>
          <w:sz w:val="24"/>
          <w:lang w:val="en-US" w:eastAsia="fr-FR"/>
        </w:rPr>
      </w:pPr>
      <w:r w:rsidRPr="00DE79AD">
        <w:rPr>
          <w:sz w:val="24"/>
        </w:rPr>
        <w:t>For 12-lead ECG assessments variables collected, the frequencies of normal, abnormal NCS and abnormal CS values will be reported by visit and treatment group (</w:t>
      </w:r>
      <w:r w:rsidRPr="00DE79AD">
        <w:rPr>
          <w:color w:val="000000"/>
          <w:sz w:val="24"/>
          <w:lang w:val="en-US" w:eastAsia="fr-FR"/>
        </w:rPr>
        <w:t xml:space="preserve">Statistical table </w:t>
      </w:r>
      <w:r w:rsidR="00483912" w:rsidRPr="00DE79AD">
        <w:rPr>
          <w:color w:val="000000"/>
          <w:sz w:val="24"/>
          <w:lang w:val="en-US" w:eastAsia="fr-FR"/>
        </w:rPr>
        <w:t>50</w:t>
      </w:r>
      <w:r w:rsidRPr="00DE79AD">
        <w:rPr>
          <w:color w:val="000000"/>
          <w:sz w:val="24"/>
          <w:lang w:val="en-US" w:eastAsia="fr-FR"/>
        </w:rPr>
        <w:t>). All individual measurements will be provided in Listing 16.2.9</w:t>
      </w:r>
      <w:r w:rsidR="00801FC9" w:rsidRPr="00DE79AD">
        <w:rPr>
          <w:color w:val="000000"/>
          <w:sz w:val="24"/>
          <w:lang w:val="en-US" w:eastAsia="fr-FR"/>
        </w:rPr>
        <w:t>.3</w:t>
      </w:r>
      <w:r w:rsidRPr="00DE79AD">
        <w:rPr>
          <w:color w:val="000000"/>
          <w:sz w:val="24"/>
          <w:lang w:val="en-US" w:eastAsia="fr-FR"/>
        </w:rPr>
        <w:t>.</w:t>
      </w:r>
    </w:p>
    <w:p w:rsidR="001B2F96" w:rsidRPr="00DE79AD" w:rsidRDefault="001B2F96" w:rsidP="00517BE2">
      <w:pPr>
        <w:pStyle w:val="4"/>
        <w:numPr>
          <w:ilvl w:val="3"/>
          <w:numId w:val="38"/>
        </w:numPr>
        <w:tabs>
          <w:tab w:val="clear" w:pos="864"/>
          <w:tab w:val="num" w:pos="1134"/>
        </w:tabs>
        <w:spacing w:line="360" w:lineRule="auto"/>
        <w:rPr>
          <w:rStyle w:val="Instruction"/>
          <w:rFonts w:ascii="Arial" w:hAnsi="Arial"/>
          <w:b/>
          <w:i w:val="0"/>
          <w:color w:val="auto"/>
          <w:sz w:val="22"/>
        </w:rPr>
      </w:pPr>
      <w:bookmarkStart w:id="88" w:name="_Toc461617864"/>
      <w:r w:rsidRPr="00DE79AD">
        <w:rPr>
          <w:rStyle w:val="Instruction"/>
          <w:rFonts w:ascii="Arial" w:hAnsi="Arial"/>
          <w:b/>
          <w:i w:val="0"/>
          <w:color w:val="auto"/>
          <w:sz w:val="22"/>
        </w:rPr>
        <w:t>ECOG performance status</w:t>
      </w:r>
      <w:bookmarkEnd w:id="88"/>
    </w:p>
    <w:p w:rsidR="001B2F96" w:rsidRDefault="001B2F96" w:rsidP="00517BE2">
      <w:pPr>
        <w:autoSpaceDE w:val="0"/>
        <w:autoSpaceDN w:val="0"/>
        <w:adjustRightInd w:val="0"/>
        <w:spacing w:line="360" w:lineRule="auto"/>
        <w:rPr>
          <w:color w:val="000000"/>
          <w:sz w:val="24"/>
          <w:lang w:val="en-US" w:eastAsia="fr-FR"/>
        </w:rPr>
      </w:pPr>
      <w:r w:rsidRPr="00DE79AD">
        <w:rPr>
          <w:sz w:val="24"/>
        </w:rPr>
        <w:t>For ECOG performance status, the frequencies of each grade will be reported by visit and treatment group (</w:t>
      </w:r>
      <w:r w:rsidRPr="00DE79AD">
        <w:rPr>
          <w:color w:val="000000"/>
          <w:sz w:val="24"/>
          <w:lang w:val="en-US" w:eastAsia="fr-FR"/>
        </w:rPr>
        <w:t xml:space="preserve">Statistical table </w:t>
      </w:r>
      <w:r w:rsidR="00483912" w:rsidRPr="00DE79AD">
        <w:rPr>
          <w:color w:val="000000"/>
          <w:sz w:val="24"/>
          <w:lang w:val="en-US" w:eastAsia="fr-FR"/>
        </w:rPr>
        <w:t>51</w:t>
      </w:r>
      <w:r w:rsidRPr="00DE79AD">
        <w:rPr>
          <w:color w:val="000000"/>
          <w:sz w:val="24"/>
          <w:lang w:val="en-US" w:eastAsia="fr-FR"/>
        </w:rPr>
        <w:t>). All individual assessments will be provided in Listing 16.2.9</w:t>
      </w:r>
      <w:r w:rsidR="00801FC9" w:rsidRPr="00DE79AD">
        <w:rPr>
          <w:color w:val="000000"/>
          <w:sz w:val="24"/>
          <w:lang w:val="en-US" w:eastAsia="fr-FR"/>
        </w:rPr>
        <w:t>.4</w:t>
      </w:r>
      <w:r w:rsidRPr="00DE79AD">
        <w:rPr>
          <w:color w:val="000000"/>
          <w:sz w:val="24"/>
          <w:lang w:val="en-US" w:eastAsia="fr-FR"/>
        </w:rPr>
        <w:t>.</w:t>
      </w:r>
    </w:p>
    <w:p w:rsidR="00F94861" w:rsidRPr="00F94861" w:rsidRDefault="00F94861" w:rsidP="00F94861">
      <w:pPr>
        <w:pStyle w:val="4"/>
        <w:numPr>
          <w:ilvl w:val="3"/>
          <w:numId w:val="38"/>
        </w:numPr>
        <w:tabs>
          <w:tab w:val="clear" w:pos="864"/>
          <w:tab w:val="num" w:pos="1134"/>
        </w:tabs>
        <w:spacing w:line="360" w:lineRule="auto"/>
        <w:rPr>
          <w:rStyle w:val="Instruction"/>
          <w:rFonts w:ascii="Arial" w:hAnsi="Arial"/>
          <w:b/>
          <w:i w:val="0"/>
          <w:color w:val="auto"/>
          <w:sz w:val="22"/>
        </w:rPr>
      </w:pPr>
      <w:bookmarkStart w:id="89" w:name="_Toc340655117"/>
      <w:bookmarkStart w:id="90" w:name="_Toc461617865"/>
      <w:r w:rsidRPr="00F94861">
        <w:rPr>
          <w:rStyle w:val="Instruction"/>
          <w:rFonts w:ascii="Arial" w:hAnsi="Arial"/>
          <w:b/>
          <w:i w:val="0"/>
          <w:color w:val="auto"/>
          <w:sz w:val="22"/>
        </w:rPr>
        <w:t>Prior and Concomitant medication</w:t>
      </w:r>
      <w:bookmarkEnd w:id="89"/>
      <w:bookmarkEnd w:id="90"/>
    </w:p>
    <w:p w:rsidR="00F94861" w:rsidRPr="00F94861" w:rsidRDefault="00F94861" w:rsidP="00F94861">
      <w:pPr>
        <w:autoSpaceDE w:val="0"/>
        <w:autoSpaceDN w:val="0"/>
        <w:adjustRightInd w:val="0"/>
        <w:spacing w:line="360" w:lineRule="auto"/>
        <w:rPr>
          <w:sz w:val="24"/>
        </w:rPr>
      </w:pPr>
      <w:r w:rsidRPr="00F94861">
        <w:rPr>
          <w:sz w:val="24"/>
        </w:rPr>
        <w:t>Concomitant medication will be coded using the WHO DD thesaurus. Coding will be agreed upon with th</w:t>
      </w:r>
      <w:r>
        <w:rPr>
          <w:sz w:val="24"/>
        </w:rPr>
        <w:t>e sponsor before data base lock.</w:t>
      </w:r>
    </w:p>
    <w:p w:rsidR="00F94861" w:rsidRPr="00F94861" w:rsidRDefault="00F94861" w:rsidP="00F94861">
      <w:pPr>
        <w:autoSpaceDE w:val="0"/>
        <w:autoSpaceDN w:val="0"/>
        <w:adjustRightInd w:val="0"/>
        <w:spacing w:line="360" w:lineRule="auto"/>
        <w:rPr>
          <w:sz w:val="24"/>
        </w:rPr>
      </w:pPr>
      <w:r w:rsidRPr="00F94861">
        <w:rPr>
          <w:sz w:val="24"/>
        </w:rPr>
        <w:t>"Concomitant" is defined as a medication which was taken during treatment, e.g. stop date later than randomization date or start date before 4 weeks after end-of-treatment visit.</w:t>
      </w:r>
    </w:p>
    <w:p w:rsidR="00F94861" w:rsidRPr="00F94861" w:rsidRDefault="00F94861" w:rsidP="00F94861">
      <w:pPr>
        <w:autoSpaceDE w:val="0"/>
        <w:autoSpaceDN w:val="0"/>
        <w:adjustRightInd w:val="0"/>
        <w:spacing w:line="360" w:lineRule="auto"/>
        <w:rPr>
          <w:sz w:val="24"/>
        </w:rPr>
      </w:pPr>
      <w:r w:rsidRPr="00F94861">
        <w:rPr>
          <w:sz w:val="24"/>
        </w:rPr>
        <w:t xml:space="preserve">The medications </w:t>
      </w:r>
      <w:r w:rsidR="000D1149">
        <w:rPr>
          <w:sz w:val="24"/>
        </w:rPr>
        <w:t>reported</w:t>
      </w:r>
      <w:r w:rsidR="000D1149" w:rsidRPr="00F94861">
        <w:rPr>
          <w:sz w:val="24"/>
        </w:rPr>
        <w:t xml:space="preserve"> </w:t>
      </w:r>
      <w:r w:rsidRPr="00F94861">
        <w:rPr>
          <w:sz w:val="24"/>
        </w:rPr>
        <w:t xml:space="preserve">prior </w:t>
      </w:r>
      <w:r w:rsidR="000D1149">
        <w:rPr>
          <w:sz w:val="24"/>
        </w:rPr>
        <w:t xml:space="preserve">to </w:t>
      </w:r>
      <w:r w:rsidRPr="00F94861">
        <w:rPr>
          <w:sz w:val="24"/>
        </w:rPr>
        <w:t>the baseline visit are:</w:t>
      </w:r>
    </w:p>
    <w:p w:rsidR="00F94861" w:rsidRPr="00F94861" w:rsidRDefault="00F94861" w:rsidP="00EC0CBA">
      <w:pPr>
        <w:pStyle w:val="ac"/>
        <w:numPr>
          <w:ilvl w:val="0"/>
          <w:numId w:val="42"/>
        </w:numPr>
        <w:autoSpaceDE w:val="0"/>
        <w:autoSpaceDN w:val="0"/>
        <w:adjustRightInd w:val="0"/>
        <w:spacing w:line="360" w:lineRule="auto"/>
        <w:rPr>
          <w:sz w:val="24"/>
        </w:rPr>
      </w:pPr>
      <w:r w:rsidRPr="00F94861">
        <w:rPr>
          <w:sz w:val="24"/>
        </w:rPr>
        <w:lastRenderedPageBreak/>
        <w:t xml:space="preserve">medications taken prior </w:t>
      </w:r>
      <w:r w:rsidR="000D1149">
        <w:rPr>
          <w:sz w:val="24"/>
        </w:rPr>
        <w:t xml:space="preserve">to </w:t>
      </w:r>
      <w:r w:rsidRPr="00F94861">
        <w:rPr>
          <w:sz w:val="24"/>
        </w:rPr>
        <w:t>randomization and related to NSCLC treatment (including response to treatment)</w:t>
      </w:r>
    </w:p>
    <w:p w:rsidR="00F94861" w:rsidRPr="00F94861" w:rsidRDefault="00F94861" w:rsidP="00EC0CBA">
      <w:pPr>
        <w:pStyle w:val="ac"/>
        <w:numPr>
          <w:ilvl w:val="0"/>
          <w:numId w:val="42"/>
        </w:numPr>
        <w:autoSpaceDE w:val="0"/>
        <w:autoSpaceDN w:val="0"/>
        <w:adjustRightInd w:val="0"/>
        <w:spacing w:line="360" w:lineRule="auto"/>
        <w:rPr>
          <w:sz w:val="24"/>
        </w:rPr>
      </w:pPr>
      <w:r w:rsidRPr="00F94861">
        <w:rPr>
          <w:sz w:val="24"/>
        </w:rPr>
        <w:t xml:space="preserve">medications taken in the 2 weeks prior </w:t>
      </w:r>
      <w:r w:rsidR="000D1149">
        <w:rPr>
          <w:sz w:val="24"/>
        </w:rPr>
        <w:t xml:space="preserve">to </w:t>
      </w:r>
      <w:r w:rsidRPr="00F94861">
        <w:rPr>
          <w:sz w:val="24"/>
        </w:rPr>
        <w:t>randomization and not related to NSCLC treatment,</w:t>
      </w:r>
    </w:p>
    <w:p w:rsidR="00F94861" w:rsidRPr="00F94861" w:rsidRDefault="00F94861" w:rsidP="00F94861">
      <w:pPr>
        <w:autoSpaceDE w:val="0"/>
        <w:autoSpaceDN w:val="0"/>
        <w:adjustRightInd w:val="0"/>
        <w:spacing w:line="360" w:lineRule="auto"/>
        <w:rPr>
          <w:sz w:val="24"/>
        </w:rPr>
      </w:pPr>
      <w:r w:rsidRPr="00F94861">
        <w:rPr>
          <w:sz w:val="24"/>
        </w:rPr>
        <w:t>Note: vitamins and/or dietary supplements are not considered concomitant medications.</w:t>
      </w:r>
    </w:p>
    <w:p w:rsidR="00F94861" w:rsidRPr="00DE79AD" w:rsidRDefault="00F94861" w:rsidP="00F94861">
      <w:pPr>
        <w:autoSpaceDE w:val="0"/>
        <w:autoSpaceDN w:val="0"/>
        <w:adjustRightInd w:val="0"/>
        <w:spacing w:line="360" w:lineRule="auto"/>
        <w:rPr>
          <w:sz w:val="24"/>
        </w:rPr>
      </w:pPr>
      <w:r>
        <w:rPr>
          <w:sz w:val="24"/>
        </w:rPr>
        <w:t xml:space="preserve">Prior </w:t>
      </w:r>
      <w:r w:rsidRPr="00DE79AD">
        <w:rPr>
          <w:sz w:val="24"/>
        </w:rPr>
        <w:t>and concomitant medication will be tabulated by treatment group with the number and percentage of patients with prior medication classified by therapeutic class (level 2) and preferred name (</w:t>
      </w:r>
      <w:r w:rsidRPr="00DE79AD">
        <w:rPr>
          <w:color w:val="000000"/>
          <w:sz w:val="24"/>
          <w:lang w:val="en-US" w:eastAsia="fr-FR"/>
        </w:rPr>
        <w:t xml:space="preserve">Statistical table </w:t>
      </w:r>
      <w:r w:rsidR="00483912" w:rsidRPr="00DE79AD">
        <w:rPr>
          <w:color w:val="000000"/>
          <w:sz w:val="24"/>
          <w:lang w:val="en-US" w:eastAsia="fr-FR"/>
        </w:rPr>
        <w:t>17</w:t>
      </w:r>
      <w:r w:rsidRPr="00DE79AD">
        <w:rPr>
          <w:color w:val="000000"/>
          <w:sz w:val="24"/>
          <w:lang w:val="en-US" w:eastAsia="fr-FR"/>
        </w:rPr>
        <w:t xml:space="preserve">, Statistical table </w:t>
      </w:r>
      <w:r w:rsidR="00483912" w:rsidRPr="00DE79AD">
        <w:rPr>
          <w:color w:val="000000"/>
          <w:sz w:val="24"/>
          <w:lang w:val="en-US" w:eastAsia="fr-FR"/>
        </w:rPr>
        <w:t xml:space="preserve">52 </w:t>
      </w:r>
      <w:r w:rsidRPr="00DE79AD">
        <w:rPr>
          <w:color w:val="000000"/>
          <w:sz w:val="24"/>
          <w:lang w:val="en-US" w:eastAsia="fr-FR"/>
        </w:rPr>
        <w:t>respectively).</w:t>
      </w:r>
    </w:p>
    <w:p w:rsidR="00F94861" w:rsidRPr="00F94861" w:rsidRDefault="00F94861" w:rsidP="00517BE2">
      <w:pPr>
        <w:autoSpaceDE w:val="0"/>
        <w:autoSpaceDN w:val="0"/>
        <w:adjustRightInd w:val="0"/>
        <w:spacing w:line="360" w:lineRule="auto"/>
        <w:rPr>
          <w:color w:val="000000"/>
          <w:sz w:val="24"/>
          <w:lang w:eastAsia="fr-FR"/>
        </w:rPr>
      </w:pPr>
      <w:r w:rsidRPr="00DE79AD">
        <w:rPr>
          <w:color w:val="000000"/>
          <w:sz w:val="24"/>
          <w:lang w:eastAsia="fr-FR"/>
        </w:rPr>
        <w:t>A by patient listing of concomitant medication will also</w:t>
      </w:r>
      <w:r w:rsidR="0056357D" w:rsidRPr="00DE79AD">
        <w:rPr>
          <w:color w:val="000000"/>
          <w:sz w:val="24"/>
          <w:lang w:eastAsia="fr-FR"/>
        </w:rPr>
        <w:t xml:space="preserve"> be</w:t>
      </w:r>
      <w:r w:rsidRPr="00DE79AD">
        <w:rPr>
          <w:color w:val="000000"/>
          <w:sz w:val="24"/>
          <w:lang w:eastAsia="fr-FR"/>
        </w:rPr>
        <w:t xml:space="preserve"> provided </w:t>
      </w:r>
      <w:r w:rsidRPr="00DE79AD">
        <w:rPr>
          <w:color w:val="000000"/>
          <w:sz w:val="24"/>
          <w:lang w:val="en-US" w:eastAsia="fr-FR"/>
        </w:rPr>
        <w:t>in Listing 16.2.</w:t>
      </w:r>
      <w:r w:rsidR="00801FC9" w:rsidRPr="00DE79AD">
        <w:rPr>
          <w:color w:val="000000"/>
          <w:sz w:val="24"/>
          <w:lang w:val="en-US" w:eastAsia="fr-FR"/>
        </w:rPr>
        <w:t>10.4</w:t>
      </w:r>
      <w:r w:rsidRPr="00DE79AD">
        <w:rPr>
          <w:color w:val="000000"/>
          <w:sz w:val="24"/>
          <w:lang w:eastAsia="fr-FR"/>
        </w:rPr>
        <w:t>.</w:t>
      </w:r>
    </w:p>
    <w:p w:rsidR="00761BA4" w:rsidRDefault="00761BA4" w:rsidP="00761BA4">
      <w:pPr>
        <w:pStyle w:val="2"/>
      </w:pPr>
      <w:bookmarkStart w:id="91" w:name="_Toc461617866"/>
      <w:bookmarkStart w:id="92" w:name="_Toc36974624"/>
      <w:r>
        <w:t>Statistical/Analytical issues</w:t>
      </w:r>
      <w:bookmarkEnd w:id="91"/>
    </w:p>
    <w:p w:rsidR="0023378D" w:rsidRDefault="0023378D" w:rsidP="00064B84">
      <w:pPr>
        <w:pStyle w:val="3"/>
        <w:spacing w:line="360" w:lineRule="auto"/>
      </w:pPr>
      <w:bookmarkStart w:id="93" w:name="_Toc461617867"/>
      <w:r>
        <w:t>Adjustments for Covariates</w:t>
      </w:r>
      <w:bookmarkEnd w:id="93"/>
    </w:p>
    <w:p w:rsidR="0058057C" w:rsidRPr="0058057C" w:rsidRDefault="0058057C" w:rsidP="00064B84">
      <w:pPr>
        <w:pStyle w:val="af2"/>
        <w:spacing w:line="360" w:lineRule="auto"/>
        <w:rPr>
          <w:sz w:val="24"/>
          <w:lang w:val="en-US"/>
        </w:rPr>
      </w:pPr>
      <w:bookmarkStart w:id="94" w:name="_Ref419298046"/>
      <w:r w:rsidRPr="0058057C">
        <w:rPr>
          <w:sz w:val="24"/>
        </w:rPr>
        <w:t>All Cox model</w:t>
      </w:r>
      <w:r w:rsidR="000D1149">
        <w:rPr>
          <w:sz w:val="24"/>
        </w:rPr>
        <w:t>s</w:t>
      </w:r>
      <w:r w:rsidRPr="0058057C">
        <w:rPr>
          <w:sz w:val="24"/>
        </w:rPr>
        <w:t xml:space="preserve"> for all time-to-event endpoints, including for sensitivity analysis of the primary endpoint will be </w:t>
      </w:r>
      <w:r w:rsidRPr="0058057C">
        <w:rPr>
          <w:sz w:val="24"/>
          <w:lang w:val="en-US"/>
        </w:rPr>
        <w:t>adjusted for the following stratification factors and prognostic factors:</w:t>
      </w:r>
    </w:p>
    <w:p w:rsidR="0058057C" w:rsidRPr="0058057C" w:rsidRDefault="0058057C" w:rsidP="00EC0CBA">
      <w:pPr>
        <w:pStyle w:val="af2"/>
        <w:numPr>
          <w:ilvl w:val="0"/>
          <w:numId w:val="41"/>
        </w:numPr>
        <w:spacing w:line="360" w:lineRule="auto"/>
        <w:rPr>
          <w:sz w:val="24"/>
          <w:lang w:val="en-US"/>
        </w:rPr>
      </w:pPr>
      <w:r w:rsidRPr="0058057C">
        <w:rPr>
          <w:sz w:val="24"/>
          <w:lang w:val="en-US"/>
        </w:rPr>
        <w:t>stratification factors:</w:t>
      </w:r>
    </w:p>
    <w:p w:rsidR="0058057C" w:rsidRPr="0058057C" w:rsidRDefault="0058057C" w:rsidP="0058057C">
      <w:pPr>
        <w:pStyle w:val="af2"/>
        <w:numPr>
          <w:ilvl w:val="1"/>
          <w:numId w:val="40"/>
        </w:numPr>
        <w:spacing w:line="360" w:lineRule="auto"/>
        <w:rPr>
          <w:sz w:val="24"/>
          <w:lang w:val="en-US"/>
        </w:rPr>
      </w:pPr>
      <w:r w:rsidRPr="0058057C">
        <w:rPr>
          <w:sz w:val="24"/>
          <w:lang w:val="en-US"/>
        </w:rPr>
        <w:t>Response to first line chemotherapy: objective response vs. stable disease,</w:t>
      </w:r>
    </w:p>
    <w:p w:rsidR="0058057C" w:rsidRPr="0058057C" w:rsidRDefault="0058057C" w:rsidP="0058057C">
      <w:pPr>
        <w:pStyle w:val="af2"/>
        <w:numPr>
          <w:ilvl w:val="1"/>
          <w:numId w:val="40"/>
        </w:numPr>
        <w:spacing w:line="360" w:lineRule="auto"/>
        <w:rPr>
          <w:sz w:val="24"/>
          <w:lang w:val="en-US"/>
        </w:rPr>
      </w:pPr>
      <w:r w:rsidRPr="0058057C">
        <w:rPr>
          <w:sz w:val="24"/>
          <w:lang w:val="en-US"/>
        </w:rPr>
        <w:t>Squamous vs. non-squamous,</w:t>
      </w:r>
    </w:p>
    <w:p w:rsidR="0058057C" w:rsidRPr="0058057C" w:rsidRDefault="0058057C" w:rsidP="0058057C">
      <w:pPr>
        <w:pStyle w:val="af2"/>
        <w:numPr>
          <w:ilvl w:val="1"/>
          <w:numId w:val="40"/>
        </w:numPr>
        <w:spacing w:line="360" w:lineRule="auto"/>
        <w:rPr>
          <w:sz w:val="24"/>
          <w:lang w:val="en-US"/>
        </w:rPr>
      </w:pPr>
      <w:r w:rsidRPr="0058057C">
        <w:rPr>
          <w:sz w:val="24"/>
          <w:lang w:val="en-US"/>
        </w:rPr>
        <w:t>Stage IV vs. recurrent stage I-III,</w:t>
      </w:r>
    </w:p>
    <w:p w:rsidR="0058057C" w:rsidRPr="0058057C" w:rsidRDefault="0058057C" w:rsidP="00EC0CBA">
      <w:pPr>
        <w:pStyle w:val="af2"/>
        <w:numPr>
          <w:ilvl w:val="0"/>
          <w:numId w:val="41"/>
        </w:numPr>
        <w:spacing w:line="360" w:lineRule="auto"/>
        <w:rPr>
          <w:sz w:val="24"/>
          <w:lang w:val="en-US"/>
        </w:rPr>
      </w:pPr>
      <w:r w:rsidRPr="0058057C">
        <w:rPr>
          <w:sz w:val="24"/>
          <w:lang w:val="en-US"/>
        </w:rPr>
        <w:t>prognostic factors:</w:t>
      </w:r>
    </w:p>
    <w:p w:rsidR="0058057C" w:rsidRPr="0058057C" w:rsidRDefault="0058057C" w:rsidP="0058057C">
      <w:pPr>
        <w:pStyle w:val="af2"/>
        <w:numPr>
          <w:ilvl w:val="1"/>
          <w:numId w:val="40"/>
        </w:numPr>
        <w:spacing w:line="360" w:lineRule="auto"/>
        <w:rPr>
          <w:sz w:val="24"/>
          <w:lang w:val="en-US"/>
        </w:rPr>
      </w:pPr>
      <w:r w:rsidRPr="0058057C">
        <w:rPr>
          <w:sz w:val="24"/>
          <w:lang w:val="en-US"/>
        </w:rPr>
        <w:t>Level of tumor TERT expression: low vs. high,</w:t>
      </w:r>
    </w:p>
    <w:p w:rsidR="0058057C" w:rsidRPr="0058057C" w:rsidRDefault="0058057C" w:rsidP="0058057C">
      <w:pPr>
        <w:pStyle w:val="af2"/>
        <w:numPr>
          <w:ilvl w:val="1"/>
          <w:numId w:val="40"/>
        </w:numPr>
        <w:spacing w:line="360" w:lineRule="auto"/>
        <w:rPr>
          <w:sz w:val="24"/>
          <w:lang w:val="en-US"/>
        </w:rPr>
      </w:pPr>
      <w:r w:rsidRPr="0058057C">
        <w:rPr>
          <w:sz w:val="24"/>
          <w:lang w:val="en-US"/>
        </w:rPr>
        <w:t>Vaccine specific immune response status: naturally occurring response vs. absence of naturally occurring response.</w:t>
      </w:r>
    </w:p>
    <w:p w:rsidR="0023378D" w:rsidRPr="00064B84" w:rsidRDefault="0023378D" w:rsidP="00983264">
      <w:pPr>
        <w:pStyle w:val="3"/>
        <w:spacing w:line="360" w:lineRule="auto"/>
      </w:pPr>
      <w:bookmarkStart w:id="95" w:name="_Toc461617868"/>
      <w:r w:rsidRPr="00064B84">
        <w:t>Handling of Dropouts or Missing Data</w:t>
      </w:r>
      <w:bookmarkEnd w:id="94"/>
      <w:bookmarkEnd w:id="95"/>
    </w:p>
    <w:p w:rsidR="00C14529" w:rsidRDefault="00983264" w:rsidP="00983264">
      <w:pPr>
        <w:spacing w:line="360" w:lineRule="auto"/>
        <w:rPr>
          <w:sz w:val="24"/>
        </w:rPr>
      </w:pPr>
      <w:r w:rsidRPr="00F3181A">
        <w:rPr>
          <w:sz w:val="24"/>
        </w:rPr>
        <w:t xml:space="preserve">For the primary endpoint, if no information is available on patient survival, the patient will be censored at the time of the last information </w:t>
      </w:r>
      <w:r w:rsidR="00E92442" w:rsidRPr="00F3181A">
        <w:rPr>
          <w:sz w:val="24"/>
        </w:rPr>
        <w:t>available. Also</w:t>
      </w:r>
      <w:r w:rsidRPr="00F3181A">
        <w:rPr>
          <w:sz w:val="24"/>
        </w:rPr>
        <w:t>, for all time-</w:t>
      </w:r>
      <w:r w:rsidR="000D1149" w:rsidRPr="00F3181A">
        <w:rPr>
          <w:sz w:val="24"/>
        </w:rPr>
        <w:t>to</w:t>
      </w:r>
      <w:r w:rsidRPr="00F3181A">
        <w:rPr>
          <w:sz w:val="24"/>
        </w:rPr>
        <w:t xml:space="preserve">-event analyses </w:t>
      </w:r>
      <w:r w:rsidR="000D1149" w:rsidRPr="00F3181A">
        <w:rPr>
          <w:sz w:val="24"/>
        </w:rPr>
        <w:t xml:space="preserve">the same </w:t>
      </w:r>
      <w:r w:rsidRPr="00F3181A">
        <w:rPr>
          <w:sz w:val="24"/>
        </w:rPr>
        <w:t xml:space="preserve">censoring approach will be </w:t>
      </w:r>
      <w:r w:rsidR="000D1149" w:rsidRPr="00F3181A">
        <w:rPr>
          <w:sz w:val="24"/>
        </w:rPr>
        <w:t>used</w:t>
      </w:r>
      <w:r w:rsidRPr="00F3181A">
        <w:rPr>
          <w:sz w:val="24"/>
        </w:rPr>
        <w:t xml:space="preserve">. </w:t>
      </w:r>
      <w:r w:rsidR="00E92442" w:rsidRPr="00F3181A">
        <w:rPr>
          <w:sz w:val="24"/>
        </w:rPr>
        <w:t>For the 12 months survival analysis (second</w:t>
      </w:r>
      <w:r w:rsidR="00C14529">
        <w:rPr>
          <w:sz w:val="24"/>
        </w:rPr>
        <w:t>ary</w:t>
      </w:r>
      <w:r w:rsidR="00E92442" w:rsidRPr="00F3181A">
        <w:rPr>
          <w:sz w:val="24"/>
        </w:rPr>
        <w:t xml:space="preserve"> efficacy endpoint), the missing efficacy data will be </w:t>
      </w:r>
      <w:r w:rsidR="00F3181A" w:rsidRPr="00F3181A">
        <w:rPr>
          <w:sz w:val="24"/>
        </w:rPr>
        <w:t>imputed</w:t>
      </w:r>
      <w:r w:rsidR="00E92442" w:rsidRPr="00F3181A">
        <w:rPr>
          <w:sz w:val="24"/>
        </w:rPr>
        <w:t xml:space="preserve"> using the worst case approach </w:t>
      </w:r>
      <w:r w:rsidR="00E92442" w:rsidRPr="00A26C8E">
        <w:rPr>
          <w:i/>
          <w:sz w:val="24"/>
        </w:rPr>
        <w:t>(i.e.</w:t>
      </w:r>
      <w:r w:rsidR="00E92442" w:rsidRPr="00F3181A">
        <w:rPr>
          <w:sz w:val="24"/>
        </w:rPr>
        <w:t xml:space="preserve"> “death” </w:t>
      </w:r>
      <w:r w:rsidR="00E92442" w:rsidRPr="00F3181A">
        <w:rPr>
          <w:sz w:val="24"/>
        </w:rPr>
        <w:lastRenderedPageBreak/>
        <w:t>for the patients randomised in the Vx-001 arm and “alive” for the patients randomised in the placebo arm</w:t>
      </w:r>
      <w:r w:rsidR="00C14529">
        <w:rPr>
          <w:sz w:val="24"/>
        </w:rPr>
        <w:t>)</w:t>
      </w:r>
      <w:r w:rsidR="00E92442" w:rsidRPr="00F3181A">
        <w:rPr>
          <w:sz w:val="24"/>
        </w:rPr>
        <w:t xml:space="preserve">. </w:t>
      </w:r>
    </w:p>
    <w:p w:rsidR="00983264" w:rsidRPr="00F3181A" w:rsidRDefault="00983264" w:rsidP="00983264">
      <w:pPr>
        <w:spacing w:line="360" w:lineRule="auto"/>
        <w:rPr>
          <w:sz w:val="24"/>
        </w:rPr>
      </w:pPr>
      <w:r w:rsidRPr="00F3181A">
        <w:rPr>
          <w:sz w:val="24"/>
        </w:rPr>
        <w:t>For all other variables</w:t>
      </w:r>
      <w:r w:rsidR="00C14529">
        <w:rPr>
          <w:sz w:val="24"/>
        </w:rPr>
        <w:t xml:space="preserve"> except missing/incomplete dates (see below),</w:t>
      </w:r>
      <w:r w:rsidRPr="00F3181A">
        <w:rPr>
          <w:sz w:val="24"/>
        </w:rPr>
        <w:t xml:space="preserve"> missing data will be treated as missing and no imputation will be </w:t>
      </w:r>
      <w:r w:rsidR="000D1149" w:rsidRPr="00F3181A">
        <w:rPr>
          <w:sz w:val="24"/>
        </w:rPr>
        <w:t>done</w:t>
      </w:r>
      <w:r w:rsidRPr="00F3181A">
        <w:rPr>
          <w:sz w:val="24"/>
        </w:rPr>
        <w:t xml:space="preserve">. </w:t>
      </w:r>
    </w:p>
    <w:p w:rsidR="003255AF" w:rsidRDefault="003255AF" w:rsidP="003255AF"/>
    <w:p w:rsidR="00EA60DC" w:rsidRPr="00F3181A" w:rsidRDefault="00EA60DC" w:rsidP="00EA60DC">
      <w:pPr>
        <w:spacing w:line="360" w:lineRule="auto"/>
        <w:rPr>
          <w:sz w:val="24"/>
        </w:rPr>
      </w:pPr>
      <w:r w:rsidRPr="00F3181A">
        <w:rPr>
          <w:b/>
          <w:sz w:val="24"/>
          <w:u w:val="single"/>
        </w:rPr>
        <w:t>Missing or incomplete dates</w:t>
      </w:r>
      <w:r w:rsidRPr="00F3181A">
        <w:rPr>
          <w:sz w:val="24"/>
        </w:rPr>
        <w:t>:</w:t>
      </w:r>
    </w:p>
    <w:p w:rsidR="00EA60DC" w:rsidRPr="00F3181A" w:rsidRDefault="00EA60DC" w:rsidP="00EA60DC">
      <w:pPr>
        <w:autoSpaceDE w:val="0"/>
        <w:autoSpaceDN w:val="0"/>
        <w:adjustRightInd w:val="0"/>
        <w:spacing w:line="360" w:lineRule="auto"/>
        <w:jc w:val="left"/>
        <w:rPr>
          <w:rFonts w:ascii="TimesNewRomanPSMT" w:hAnsi="TimesNewRomanPSMT" w:cs="TimesNewRomanPSMT"/>
          <w:sz w:val="24"/>
          <w:lang w:val="en-US" w:eastAsia="fr-FR"/>
        </w:rPr>
      </w:pPr>
      <w:r w:rsidRPr="00F3181A">
        <w:rPr>
          <w:sz w:val="24"/>
        </w:rPr>
        <w:t xml:space="preserve">For </w:t>
      </w:r>
      <w:r w:rsidRPr="00F3181A">
        <w:rPr>
          <w:rFonts w:ascii="TimesNewRomanPSMT" w:hAnsi="TimesNewRomanPSMT" w:cs="TimesNewRomanPSMT"/>
          <w:sz w:val="24"/>
          <w:lang w:val="en-US" w:eastAsia="fr-FR"/>
        </w:rPr>
        <w:t>all listings, missing or incomplete dates will be left as they were recorded.</w:t>
      </w:r>
    </w:p>
    <w:p w:rsidR="00EA60DC" w:rsidRPr="00F3181A" w:rsidRDefault="00EA60DC" w:rsidP="00EA60DC">
      <w:pPr>
        <w:autoSpaceDE w:val="0"/>
        <w:autoSpaceDN w:val="0"/>
        <w:adjustRightInd w:val="0"/>
        <w:spacing w:line="360" w:lineRule="auto"/>
        <w:jc w:val="left"/>
        <w:rPr>
          <w:sz w:val="24"/>
          <w:lang w:val="en-US"/>
        </w:rPr>
      </w:pPr>
    </w:p>
    <w:p w:rsidR="00EA60DC" w:rsidRPr="00F3181A" w:rsidRDefault="00EA60DC" w:rsidP="00EA60DC">
      <w:pPr>
        <w:autoSpaceDE w:val="0"/>
        <w:autoSpaceDN w:val="0"/>
        <w:adjustRightInd w:val="0"/>
        <w:spacing w:line="360" w:lineRule="auto"/>
        <w:jc w:val="left"/>
        <w:rPr>
          <w:rFonts w:ascii="TimesNewRomanPSMT" w:hAnsi="TimesNewRomanPSMT" w:cs="TimesNewRomanPSMT"/>
          <w:sz w:val="24"/>
          <w:lang w:val="en-US" w:eastAsia="fr-FR"/>
        </w:rPr>
      </w:pPr>
      <w:r w:rsidRPr="00F3181A">
        <w:rPr>
          <w:sz w:val="24"/>
          <w:lang w:val="en-US"/>
        </w:rPr>
        <w:t xml:space="preserve">For </w:t>
      </w:r>
      <w:r w:rsidRPr="00F3181A">
        <w:rPr>
          <w:rFonts w:ascii="TimesNewRomanPSMT" w:hAnsi="TimesNewRomanPSMT" w:cs="TimesNewRomanPSMT"/>
          <w:sz w:val="24"/>
          <w:lang w:val="en-US" w:eastAsia="fr-FR"/>
        </w:rPr>
        <w:t>calculation / sorting / assignation based on dates (e.g. treatment emergent AEs, concomitant medications…), the following rules will apply:</w:t>
      </w:r>
    </w:p>
    <w:p w:rsidR="00EA60DC" w:rsidRPr="00F3181A" w:rsidRDefault="00EA60DC" w:rsidP="001559A5">
      <w:pPr>
        <w:pStyle w:val="ac"/>
        <w:numPr>
          <w:ilvl w:val="0"/>
          <w:numId w:val="6"/>
        </w:numPr>
        <w:autoSpaceDE w:val="0"/>
        <w:autoSpaceDN w:val="0"/>
        <w:adjustRightInd w:val="0"/>
        <w:spacing w:line="360" w:lineRule="auto"/>
        <w:jc w:val="left"/>
        <w:rPr>
          <w:rFonts w:ascii="TimesNewRomanPSMT" w:hAnsi="TimesNewRomanPSMT" w:cs="TimesNewRomanPSMT"/>
          <w:sz w:val="24"/>
          <w:lang w:val="en-US" w:eastAsia="fr-FR"/>
        </w:rPr>
      </w:pPr>
      <w:r w:rsidRPr="00F3181A">
        <w:rPr>
          <w:rFonts w:ascii="TimesNewRomanPSMT" w:hAnsi="TimesNewRomanPSMT" w:cs="TimesNewRomanPSMT"/>
          <w:sz w:val="24"/>
          <w:lang w:val="en-US" w:eastAsia="fr-FR"/>
        </w:rPr>
        <w:t>The most conservative approach will be considered (i.e. if the onset date of an AE/concomitant medication is missing / incomplete, it will be assumed to have occurred during the study treatment phase (</w:t>
      </w:r>
      <w:r w:rsidRPr="00A26C8E">
        <w:rPr>
          <w:rFonts w:ascii="TimesNewRomanPSMT" w:hAnsi="TimesNewRomanPSMT" w:cs="TimesNewRomanPSMT"/>
          <w:i/>
          <w:sz w:val="24"/>
          <w:lang w:val="en-US" w:eastAsia="fr-FR"/>
        </w:rPr>
        <w:t>i.e.</w:t>
      </w:r>
      <w:r w:rsidRPr="00F3181A">
        <w:rPr>
          <w:rFonts w:ascii="TimesNewRomanPSMT" w:hAnsi="TimesNewRomanPSMT" w:cs="TimesNewRomanPSMT"/>
          <w:sz w:val="24"/>
          <w:lang w:val="en-US" w:eastAsia="fr-FR"/>
        </w:rPr>
        <w:t xml:space="preserve"> a TEAE for AEs) except when the partial onset date or other available data indicate differently (</w:t>
      </w:r>
      <w:r w:rsidRPr="00A26C8E">
        <w:rPr>
          <w:rFonts w:ascii="TimesNewRomanPSMT" w:hAnsi="TimesNewRomanPSMT" w:cs="TimesNewRomanPSMT"/>
          <w:i/>
          <w:sz w:val="24"/>
          <w:lang w:val="en-US" w:eastAsia="fr-FR"/>
        </w:rPr>
        <w:t>e.g.</w:t>
      </w:r>
      <w:r w:rsidRPr="00F3181A">
        <w:rPr>
          <w:rFonts w:ascii="TimesNewRomanPSMT" w:hAnsi="TimesNewRomanPSMT" w:cs="TimesNewRomanPSMT"/>
          <w:sz w:val="24"/>
          <w:lang w:val="en-US" w:eastAsia="fr-FR"/>
        </w:rPr>
        <w:t xml:space="preserve"> start date day missing, but month before the month of baseline date, or stop date before baseline date).</w:t>
      </w:r>
    </w:p>
    <w:p w:rsidR="00EA60DC" w:rsidRPr="00F3181A" w:rsidRDefault="00EA60DC" w:rsidP="001559A5">
      <w:pPr>
        <w:pStyle w:val="ac"/>
        <w:numPr>
          <w:ilvl w:val="0"/>
          <w:numId w:val="6"/>
        </w:numPr>
        <w:autoSpaceDE w:val="0"/>
        <w:autoSpaceDN w:val="0"/>
        <w:adjustRightInd w:val="0"/>
        <w:spacing w:line="360" w:lineRule="auto"/>
        <w:jc w:val="left"/>
        <w:rPr>
          <w:rFonts w:ascii="TimesNewRomanPSMT" w:hAnsi="TimesNewRomanPSMT" w:cs="TimesNewRomanPSMT"/>
          <w:sz w:val="24"/>
          <w:lang w:val="en-US" w:eastAsia="fr-FR"/>
        </w:rPr>
      </w:pPr>
      <w:r w:rsidRPr="00F3181A">
        <w:rPr>
          <w:rFonts w:ascii="TimesNewRomanPSMT" w:hAnsi="TimesNewRomanPSMT" w:cs="TimesNewRomanPSMT"/>
          <w:sz w:val="24"/>
          <w:lang w:val="en-US" w:eastAsia="fr-FR"/>
        </w:rPr>
        <w:t>Medical history or disease diagnosis with missing/incomplete date will be assumed to have occurred before any study treatment except when the partial onset date or other available data indicates differently.</w:t>
      </w:r>
    </w:p>
    <w:p w:rsidR="00EA60DC" w:rsidRPr="00F3181A" w:rsidRDefault="00EA60DC" w:rsidP="001559A5">
      <w:pPr>
        <w:pStyle w:val="ac"/>
        <w:numPr>
          <w:ilvl w:val="0"/>
          <w:numId w:val="6"/>
        </w:numPr>
        <w:autoSpaceDE w:val="0"/>
        <w:autoSpaceDN w:val="0"/>
        <w:adjustRightInd w:val="0"/>
        <w:spacing w:line="360" w:lineRule="auto"/>
        <w:jc w:val="left"/>
        <w:rPr>
          <w:rFonts w:ascii="TimesNewRomanPSMT" w:hAnsi="TimesNewRomanPSMT" w:cs="TimesNewRomanPSMT"/>
          <w:sz w:val="24"/>
          <w:lang w:val="en-US" w:eastAsia="fr-FR"/>
        </w:rPr>
      </w:pPr>
      <w:r w:rsidRPr="00F3181A">
        <w:rPr>
          <w:rFonts w:ascii="TimesNewRomanPSMT" w:hAnsi="TimesNewRomanPSMT" w:cs="TimesNewRomanPSMT"/>
          <w:sz w:val="24"/>
          <w:lang w:val="en-US" w:eastAsia="fr-FR"/>
        </w:rPr>
        <w:t>Assignations based on dates will be reviewed and confirmed or infirmed during the data review meeting</w:t>
      </w:r>
    </w:p>
    <w:p w:rsidR="00EA60DC" w:rsidRPr="003255AF" w:rsidRDefault="00EA60DC" w:rsidP="003255AF"/>
    <w:p w:rsidR="0023378D" w:rsidRPr="00F94956" w:rsidRDefault="0023378D" w:rsidP="00064B84">
      <w:pPr>
        <w:pStyle w:val="3"/>
        <w:spacing w:line="360" w:lineRule="auto"/>
      </w:pPr>
      <w:bookmarkStart w:id="96" w:name="_Toc461617869"/>
      <w:r w:rsidRPr="00F94956">
        <w:t>Interim Analyses and Data Monitoring</w:t>
      </w:r>
      <w:bookmarkEnd w:id="96"/>
    </w:p>
    <w:p w:rsidR="00064B84" w:rsidRDefault="00064B84" w:rsidP="00064B84">
      <w:pPr>
        <w:rPr>
          <w:sz w:val="24"/>
          <w:lang w:val="en-US" w:eastAsia="fr-FR"/>
        </w:rPr>
      </w:pPr>
      <w:r w:rsidRPr="007702FD">
        <w:rPr>
          <w:sz w:val="24"/>
          <w:lang w:val="en-US" w:eastAsia="fr-FR"/>
        </w:rPr>
        <w:t xml:space="preserve">No Data and Safety Monitoring Board </w:t>
      </w:r>
      <w:r w:rsidR="000D1149">
        <w:rPr>
          <w:sz w:val="24"/>
          <w:lang w:val="en-US" w:eastAsia="fr-FR"/>
        </w:rPr>
        <w:t>has been</w:t>
      </w:r>
      <w:r w:rsidRPr="007702FD">
        <w:rPr>
          <w:sz w:val="24"/>
          <w:lang w:val="en-US" w:eastAsia="fr-FR"/>
        </w:rPr>
        <w:t xml:space="preserve"> set-up for this study.</w:t>
      </w:r>
    </w:p>
    <w:p w:rsidR="00064B84" w:rsidRPr="00064B84" w:rsidRDefault="00064B84" w:rsidP="00064B84">
      <w:pPr>
        <w:spacing w:line="360" w:lineRule="auto"/>
        <w:rPr>
          <w:sz w:val="24"/>
          <w:lang w:val="en-US"/>
        </w:rPr>
      </w:pPr>
    </w:p>
    <w:p w:rsidR="00064B84" w:rsidRDefault="000D1149" w:rsidP="00064B84">
      <w:pPr>
        <w:spacing w:line="360" w:lineRule="auto"/>
      </w:pPr>
      <w:r>
        <w:rPr>
          <w:sz w:val="24"/>
        </w:rPr>
        <w:t>The primary</w:t>
      </w:r>
      <w:r w:rsidR="00064B84" w:rsidRPr="00064B84">
        <w:rPr>
          <w:sz w:val="24"/>
        </w:rPr>
        <w:t xml:space="preserve"> </w:t>
      </w:r>
      <w:r>
        <w:rPr>
          <w:sz w:val="24"/>
        </w:rPr>
        <w:t>study</w:t>
      </w:r>
      <w:r w:rsidRPr="00064B84">
        <w:rPr>
          <w:sz w:val="24"/>
        </w:rPr>
        <w:t xml:space="preserve"> </w:t>
      </w:r>
      <w:r w:rsidR="00064B84" w:rsidRPr="00064B84">
        <w:rPr>
          <w:sz w:val="24"/>
        </w:rPr>
        <w:t xml:space="preserve">analysis will be performed </w:t>
      </w:r>
      <w:r>
        <w:rPr>
          <w:sz w:val="24"/>
        </w:rPr>
        <w:t>when</w:t>
      </w:r>
      <w:r w:rsidRPr="00064B84">
        <w:rPr>
          <w:sz w:val="24"/>
        </w:rPr>
        <w:t xml:space="preserve"> </w:t>
      </w:r>
      <w:r w:rsidR="00064B84" w:rsidRPr="00064B84">
        <w:rPr>
          <w:sz w:val="24"/>
        </w:rPr>
        <w:t xml:space="preserve">all patients </w:t>
      </w:r>
      <w:r w:rsidR="00064B84">
        <w:rPr>
          <w:sz w:val="24"/>
        </w:rPr>
        <w:t>r</w:t>
      </w:r>
      <w:r w:rsidR="00064B84" w:rsidRPr="00064B84">
        <w:rPr>
          <w:sz w:val="24"/>
        </w:rPr>
        <w:t xml:space="preserve">andomised </w:t>
      </w:r>
      <w:r>
        <w:rPr>
          <w:sz w:val="24"/>
        </w:rPr>
        <w:t xml:space="preserve">will have </w:t>
      </w:r>
      <w:r w:rsidR="00064B84" w:rsidRPr="00064B84">
        <w:rPr>
          <w:sz w:val="24"/>
        </w:rPr>
        <w:t>reached</w:t>
      </w:r>
      <w:r w:rsidR="00064B84">
        <w:rPr>
          <w:sz w:val="24"/>
        </w:rPr>
        <w:t xml:space="preserve"> 6 months follow-up. </w:t>
      </w:r>
      <w:r>
        <w:t xml:space="preserve"> A long term follow-up analysis will be performed later when the follow-up of the study will be completed.</w:t>
      </w:r>
    </w:p>
    <w:p w:rsidR="00EE10D5" w:rsidRDefault="00C87957" w:rsidP="00064B84">
      <w:pPr>
        <w:spacing w:line="360" w:lineRule="auto"/>
      </w:pPr>
      <w:r>
        <w:t>Two database locks will be performed. The first lock will occur for the primary study analysis.</w:t>
      </w:r>
      <w:r w:rsidR="0035504F">
        <w:t xml:space="preserve"> </w:t>
      </w:r>
      <w:r w:rsidR="00EE10D5">
        <w:t xml:space="preserve">Before </w:t>
      </w:r>
      <w:r>
        <w:t xml:space="preserve">this first </w:t>
      </w:r>
      <w:r w:rsidR="00EE10D5">
        <w:t xml:space="preserve">database lock, </w:t>
      </w:r>
      <w:r w:rsidR="005B3EA2">
        <w:t>the data will be reviewed and the classification of protocol deviation</w:t>
      </w:r>
      <w:r>
        <w:t>s</w:t>
      </w:r>
      <w:r w:rsidR="005B3EA2">
        <w:t xml:space="preserve"> will be done </w:t>
      </w:r>
      <w:r w:rsidR="00EE10D5">
        <w:t>durin</w:t>
      </w:r>
      <w:r w:rsidR="005B3EA2">
        <w:t xml:space="preserve">g the Blind data review meeting. After the </w:t>
      </w:r>
      <w:r>
        <w:t>first</w:t>
      </w:r>
      <w:r w:rsidR="005B3EA2">
        <w:t xml:space="preserve"> database lock, all study personnel will have access to unblinded data.</w:t>
      </w:r>
    </w:p>
    <w:p w:rsidR="00064B84" w:rsidRPr="00064B84" w:rsidRDefault="00064B84" w:rsidP="00064B84">
      <w:pPr>
        <w:rPr>
          <w:lang w:val="en-US"/>
        </w:rPr>
      </w:pPr>
    </w:p>
    <w:p w:rsidR="00AF3917" w:rsidRPr="004079DC" w:rsidRDefault="00761BA4" w:rsidP="009900D9">
      <w:pPr>
        <w:pStyle w:val="3"/>
        <w:spacing w:line="360" w:lineRule="auto"/>
      </w:pPr>
      <w:bookmarkStart w:id="97" w:name="_Toc461617870"/>
      <w:r w:rsidRPr="004079DC">
        <w:t>Multicentre studies</w:t>
      </w:r>
      <w:bookmarkEnd w:id="92"/>
      <w:bookmarkEnd w:id="97"/>
    </w:p>
    <w:p w:rsidR="00962EEB" w:rsidRDefault="009900D9" w:rsidP="009900D9">
      <w:pPr>
        <w:spacing w:line="360" w:lineRule="auto"/>
        <w:rPr>
          <w:sz w:val="24"/>
          <w:lang w:val="en-US" w:eastAsia="fr-FR"/>
        </w:rPr>
      </w:pPr>
      <w:r>
        <w:rPr>
          <w:sz w:val="24"/>
          <w:lang w:val="en-US" w:eastAsia="fr-FR"/>
        </w:rPr>
        <w:t xml:space="preserve">This study is </w:t>
      </w:r>
      <w:r w:rsidR="00224B8A">
        <w:rPr>
          <w:sz w:val="24"/>
          <w:lang w:val="en-US" w:eastAsia="fr-FR"/>
        </w:rPr>
        <w:t>conducted in</w:t>
      </w:r>
      <w:r>
        <w:rPr>
          <w:sz w:val="24"/>
          <w:lang w:val="en-US" w:eastAsia="fr-FR"/>
        </w:rPr>
        <w:t xml:space="preserve"> 76</w:t>
      </w:r>
      <w:r w:rsidRPr="005A7BAF">
        <w:rPr>
          <w:sz w:val="24"/>
          <w:lang w:val="en-US" w:eastAsia="fr-FR"/>
        </w:rPr>
        <w:t xml:space="preserve"> sites in </w:t>
      </w:r>
      <w:r w:rsidR="00962EEB">
        <w:rPr>
          <w:sz w:val="24"/>
          <w:lang w:val="en-US" w:eastAsia="fr-FR"/>
        </w:rPr>
        <w:t xml:space="preserve">8 </w:t>
      </w:r>
      <w:r>
        <w:rPr>
          <w:sz w:val="24"/>
          <w:lang w:val="en-US" w:eastAsia="fr-FR"/>
        </w:rPr>
        <w:t>European Union countries</w:t>
      </w:r>
      <w:r w:rsidRPr="005A7BAF">
        <w:rPr>
          <w:sz w:val="24"/>
          <w:lang w:val="en-US" w:eastAsia="fr-FR"/>
        </w:rPr>
        <w:t>.</w:t>
      </w:r>
      <w:r>
        <w:rPr>
          <w:sz w:val="24"/>
          <w:lang w:val="en-US" w:eastAsia="fr-FR"/>
        </w:rPr>
        <w:t xml:space="preserve"> </w:t>
      </w:r>
      <w:r w:rsidR="00C87957">
        <w:rPr>
          <w:sz w:val="24"/>
          <w:lang w:val="en-US" w:eastAsia="fr-FR"/>
        </w:rPr>
        <w:t xml:space="preserve">With regards to the large </w:t>
      </w:r>
      <w:r w:rsidR="003465CB">
        <w:rPr>
          <w:sz w:val="24"/>
          <w:lang w:val="en-US" w:eastAsia="fr-FR"/>
        </w:rPr>
        <w:t>number</w:t>
      </w:r>
      <w:r w:rsidR="00C87957">
        <w:rPr>
          <w:sz w:val="24"/>
          <w:lang w:val="en-US" w:eastAsia="fr-FR"/>
        </w:rPr>
        <w:t xml:space="preserve"> of site</w:t>
      </w:r>
      <w:r w:rsidR="00C14529">
        <w:rPr>
          <w:sz w:val="24"/>
          <w:lang w:val="en-US" w:eastAsia="fr-FR"/>
        </w:rPr>
        <w:t>s</w:t>
      </w:r>
      <w:r w:rsidR="00C87957">
        <w:rPr>
          <w:sz w:val="24"/>
          <w:lang w:val="en-US" w:eastAsia="fr-FR"/>
        </w:rPr>
        <w:t xml:space="preserve"> compared to the planned number of patients, no adjustment for ce</w:t>
      </w:r>
      <w:r w:rsidR="003465CB">
        <w:rPr>
          <w:sz w:val="24"/>
          <w:lang w:val="en-US" w:eastAsia="fr-FR"/>
        </w:rPr>
        <w:t>n</w:t>
      </w:r>
      <w:r w:rsidR="00C87957">
        <w:rPr>
          <w:sz w:val="24"/>
          <w:lang w:val="en-US" w:eastAsia="fr-FR"/>
        </w:rPr>
        <w:t>tre effect will be done.</w:t>
      </w:r>
    </w:p>
    <w:p w:rsidR="008C1261" w:rsidRDefault="00962EEB" w:rsidP="009900D9">
      <w:pPr>
        <w:spacing w:line="360" w:lineRule="auto"/>
        <w:rPr>
          <w:sz w:val="24"/>
          <w:lang w:val="en-US" w:eastAsia="fr-FR"/>
        </w:rPr>
      </w:pPr>
      <w:r>
        <w:rPr>
          <w:sz w:val="24"/>
          <w:lang w:val="en-US" w:eastAsia="fr-FR"/>
        </w:rPr>
        <w:t>Nevertheless, a descriptive</w:t>
      </w:r>
      <w:r w:rsidR="004079DC">
        <w:rPr>
          <w:sz w:val="24"/>
          <w:lang w:val="en-US" w:eastAsia="fr-FR"/>
        </w:rPr>
        <w:t xml:space="preserve"> </w:t>
      </w:r>
      <w:r w:rsidR="00C14529">
        <w:rPr>
          <w:sz w:val="24"/>
          <w:lang w:val="en-US" w:eastAsia="fr-FR"/>
        </w:rPr>
        <w:t xml:space="preserve">analysis of efficacy by </w:t>
      </w:r>
      <w:r>
        <w:rPr>
          <w:sz w:val="24"/>
          <w:lang w:val="en-US" w:eastAsia="fr-FR"/>
        </w:rPr>
        <w:t>country will be done</w:t>
      </w:r>
      <w:r w:rsidR="00C14529">
        <w:rPr>
          <w:sz w:val="24"/>
          <w:lang w:val="en-US" w:eastAsia="fr-FR"/>
        </w:rPr>
        <w:t xml:space="preserve"> for</w:t>
      </w:r>
      <w:r>
        <w:rPr>
          <w:sz w:val="24"/>
          <w:lang w:val="en-US" w:eastAsia="fr-FR"/>
        </w:rPr>
        <w:t xml:space="preserve"> the primary efficacy analysis and the survival analysis at 12 months. </w:t>
      </w:r>
      <w:r w:rsidR="004079DC">
        <w:rPr>
          <w:sz w:val="24"/>
          <w:lang w:val="en-US" w:eastAsia="fr-FR"/>
        </w:rPr>
        <w:t>The</w:t>
      </w:r>
      <w:r>
        <w:rPr>
          <w:sz w:val="24"/>
          <w:lang w:val="en-US" w:eastAsia="fr-FR"/>
        </w:rPr>
        <w:t xml:space="preserve"> </w:t>
      </w:r>
      <w:r w:rsidR="004079DC">
        <w:rPr>
          <w:sz w:val="24"/>
          <w:lang w:val="en-US" w:eastAsia="fr-FR"/>
        </w:rPr>
        <w:t xml:space="preserve">countries where the number of randomised patients is less than 10 will be pooled in order to </w:t>
      </w:r>
      <w:r w:rsidR="00C14529">
        <w:rPr>
          <w:sz w:val="24"/>
          <w:lang w:val="en-US" w:eastAsia="fr-FR"/>
        </w:rPr>
        <w:t>describe</w:t>
      </w:r>
      <w:r w:rsidR="004079DC">
        <w:rPr>
          <w:sz w:val="24"/>
          <w:lang w:val="en-US" w:eastAsia="fr-FR"/>
        </w:rPr>
        <w:t xml:space="preserve"> overall survival and survival at 12 months </w:t>
      </w:r>
      <w:r w:rsidR="00C14529">
        <w:rPr>
          <w:sz w:val="24"/>
          <w:lang w:val="en-US" w:eastAsia="fr-FR"/>
        </w:rPr>
        <w:t>by country</w:t>
      </w:r>
      <w:r w:rsidR="004079DC">
        <w:rPr>
          <w:sz w:val="24"/>
          <w:lang w:val="en-US" w:eastAsia="fr-FR"/>
        </w:rPr>
        <w:t xml:space="preserve">. </w:t>
      </w:r>
    </w:p>
    <w:p w:rsidR="00233D15" w:rsidRPr="0035504F" w:rsidRDefault="00233D15" w:rsidP="00233D15">
      <w:pPr>
        <w:pStyle w:val="3"/>
      </w:pPr>
      <w:bookmarkStart w:id="98" w:name="_Toc461617871"/>
      <w:r w:rsidRPr="0035504F">
        <w:t>Multiple Comparison/Multiplicity</w:t>
      </w:r>
      <w:bookmarkEnd w:id="98"/>
    </w:p>
    <w:p w:rsidR="00C14529" w:rsidRDefault="00865616" w:rsidP="00865616">
      <w:pPr>
        <w:spacing w:line="360" w:lineRule="auto"/>
        <w:rPr>
          <w:sz w:val="24"/>
        </w:rPr>
      </w:pPr>
      <w:r>
        <w:rPr>
          <w:sz w:val="24"/>
        </w:rPr>
        <w:t xml:space="preserve">The primary efficacy analysis will be the only analysis used to draw definitive conclusions on efficacy for the study. </w:t>
      </w:r>
      <w:r w:rsidR="00C14529">
        <w:rPr>
          <w:sz w:val="24"/>
        </w:rPr>
        <w:t xml:space="preserve">As a single primary efficacy analysis has been clearly pre-specified, there is no need to adjust for multiplicity of analyses. </w:t>
      </w:r>
    </w:p>
    <w:p w:rsidR="00865616" w:rsidRDefault="00865616" w:rsidP="00865616">
      <w:pPr>
        <w:spacing w:line="360" w:lineRule="auto"/>
        <w:rPr>
          <w:sz w:val="24"/>
        </w:rPr>
      </w:pPr>
      <w:r>
        <w:rPr>
          <w:sz w:val="24"/>
        </w:rPr>
        <w:t>All other inferential tests will only be provided with an illustrative purpose and will not be used to “rescue” the study in case the primary analysis is non-significant.</w:t>
      </w:r>
    </w:p>
    <w:p w:rsidR="00865616" w:rsidRDefault="00865616" w:rsidP="00865616">
      <w:pPr>
        <w:spacing w:line="360" w:lineRule="auto"/>
        <w:rPr>
          <w:sz w:val="24"/>
        </w:rPr>
      </w:pPr>
      <w:r>
        <w:rPr>
          <w:sz w:val="24"/>
        </w:rPr>
        <w:t xml:space="preserve">Consequently all other inferential </w:t>
      </w:r>
      <w:r w:rsidR="00224B8A">
        <w:rPr>
          <w:sz w:val="24"/>
        </w:rPr>
        <w:t xml:space="preserve">tests, except the sensitivity analyses described in Section </w:t>
      </w:r>
      <w:r w:rsidR="00FF5BA3">
        <w:rPr>
          <w:sz w:val="24"/>
        </w:rPr>
        <w:fldChar w:fldCharType="begin"/>
      </w:r>
      <w:r w:rsidR="00224B8A">
        <w:rPr>
          <w:sz w:val="24"/>
        </w:rPr>
        <w:instrText xml:space="preserve"> REF _Ref443919079 \r \p \h </w:instrText>
      </w:r>
      <w:r w:rsidR="00FF5BA3">
        <w:rPr>
          <w:sz w:val="24"/>
        </w:rPr>
      </w:r>
      <w:r w:rsidR="00FF5BA3">
        <w:rPr>
          <w:sz w:val="24"/>
        </w:rPr>
        <w:fldChar w:fldCharType="separate"/>
      </w:r>
      <w:r w:rsidR="007C78F1">
        <w:rPr>
          <w:sz w:val="24"/>
        </w:rPr>
        <w:t>5.2.4.2 above</w:t>
      </w:r>
      <w:r w:rsidR="00FF5BA3">
        <w:rPr>
          <w:sz w:val="24"/>
        </w:rPr>
        <w:fldChar w:fldCharType="end"/>
      </w:r>
      <w:r>
        <w:rPr>
          <w:sz w:val="24"/>
        </w:rPr>
        <w:t xml:space="preserve"> will be presented with</w:t>
      </w:r>
      <w:r w:rsidR="0035504F">
        <w:rPr>
          <w:sz w:val="24"/>
        </w:rPr>
        <w:t xml:space="preserve"> a </w:t>
      </w:r>
      <w:r w:rsidR="00C14529">
        <w:rPr>
          <w:sz w:val="24"/>
        </w:rPr>
        <w:t xml:space="preserve">two sided </w:t>
      </w:r>
      <w:r w:rsidR="0035504F">
        <w:rPr>
          <w:sz w:val="24"/>
        </w:rPr>
        <w:t>significance level of</w:t>
      </w:r>
      <w:r>
        <w:rPr>
          <w:sz w:val="24"/>
        </w:rPr>
        <w:t xml:space="preserve"> 0.05</w:t>
      </w:r>
      <w:r w:rsidR="0035504F">
        <w:rPr>
          <w:sz w:val="24"/>
        </w:rPr>
        <w:t xml:space="preserve"> </w:t>
      </w:r>
      <w:r>
        <w:rPr>
          <w:sz w:val="24"/>
        </w:rPr>
        <w:t>and</w:t>
      </w:r>
      <w:r w:rsidR="0035504F">
        <w:rPr>
          <w:sz w:val="24"/>
        </w:rPr>
        <w:t xml:space="preserve"> with </w:t>
      </w:r>
      <w:r w:rsidR="00C14529">
        <w:rPr>
          <w:sz w:val="24"/>
        </w:rPr>
        <w:t>two-side</w:t>
      </w:r>
      <w:r w:rsidR="00F3181A">
        <w:rPr>
          <w:sz w:val="24"/>
        </w:rPr>
        <w:t>d</w:t>
      </w:r>
      <w:r w:rsidR="00C14529">
        <w:rPr>
          <w:sz w:val="24"/>
        </w:rPr>
        <w:t xml:space="preserve"> </w:t>
      </w:r>
      <w:r w:rsidR="0035504F">
        <w:rPr>
          <w:sz w:val="24"/>
        </w:rPr>
        <w:t>95% Confidence Interval</w:t>
      </w:r>
      <w:r w:rsidR="00C14529">
        <w:rPr>
          <w:sz w:val="24"/>
        </w:rPr>
        <w:t>s</w:t>
      </w:r>
      <w:r w:rsidR="008A57EE">
        <w:rPr>
          <w:sz w:val="24"/>
        </w:rPr>
        <w:t xml:space="preserve">. </w:t>
      </w:r>
      <w:r w:rsidR="00224B8A">
        <w:rPr>
          <w:sz w:val="24"/>
        </w:rPr>
        <w:t>The sensitivity analyses will use a one sided significance level of 0.05 and two-sided 90% Confidence Intervals, for consistency with the primary efficacy analysis.</w:t>
      </w:r>
    </w:p>
    <w:p w:rsidR="00233D15" w:rsidRPr="008C1261" w:rsidRDefault="00233D15" w:rsidP="00233D15">
      <w:pPr>
        <w:pStyle w:val="3"/>
      </w:pPr>
      <w:bookmarkStart w:id="99" w:name="_Toc461617872"/>
      <w:bookmarkStart w:id="100" w:name="_Toc125952946"/>
      <w:r w:rsidRPr="008C1261">
        <w:t>Use of an "Efficacy Subset" of Patients</w:t>
      </w:r>
      <w:bookmarkEnd w:id="99"/>
    </w:p>
    <w:p w:rsidR="000D5D9C" w:rsidRDefault="00C068DF" w:rsidP="000D5D9C">
      <w:pPr>
        <w:spacing w:line="360" w:lineRule="auto"/>
        <w:rPr>
          <w:sz w:val="24"/>
        </w:rPr>
      </w:pPr>
      <w:bookmarkStart w:id="101" w:name="_Toc125952947"/>
      <w:bookmarkEnd w:id="100"/>
      <w:r w:rsidRPr="007016B7">
        <w:rPr>
          <w:sz w:val="24"/>
          <w:lang w:val="en-US" w:eastAsia="fr-FR"/>
        </w:rPr>
        <w:t xml:space="preserve">Two efficacy analyses populations were defined, the FAS and the PP. The definition of these populations is given in </w:t>
      </w:r>
      <w:r>
        <w:rPr>
          <w:sz w:val="24"/>
          <w:lang w:val="en-US" w:eastAsia="fr-FR"/>
        </w:rPr>
        <w:t xml:space="preserve">Section </w:t>
      </w:r>
      <w:r w:rsidR="00FF5BA3">
        <w:rPr>
          <w:sz w:val="24"/>
          <w:lang w:val="en-US" w:eastAsia="fr-FR"/>
        </w:rPr>
        <w:fldChar w:fldCharType="begin"/>
      </w:r>
      <w:r>
        <w:rPr>
          <w:sz w:val="24"/>
          <w:lang w:val="en-US" w:eastAsia="fr-FR"/>
        </w:rPr>
        <w:instrText xml:space="preserve"> REF _Ref197786834 \r \h </w:instrText>
      </w:r>
      <w:r w:rsidR="00FF5BA3">
        <w:rPr>
          <w:sz w:val="24"/>
          <w:lang w:val="en-US" w:eastAsia="fr-FR"/>
        </w:rPr>
      </w:r>
      <w:r w:rsidR="00FF5BA3">
        <w:rPr>
          <w:sz w:val="24"/>
          <w:lang w:val="en-US" w:eastAsia="fr-FR"/>
        </w:rPr>
        <w:fldChar w:fldCharType="separate"/>
      </w:r>
      <w:r w:rsidR="007C78F1">
        <w:rPr>
          <w:sz w:val="24"/>
          <w:lang w:val="en-US" w:eastAsia="fr-FR"/>
        </w:rPr>
        <w:t>3</w:t>
      </w:r>
      <w:r w:rsidR="00FF5BA3">
        <w:rPr>
          <w:sz w:val="24"/>
          <w:lang w:val="en-US" w:eastAsia="fr-FR"/>
        </w:rPr>
        <w:fldChar w:fldCharType="end"/>
      </w:r>
      <w:r>
        <w:rPr>
          <w:sz w:val="24"/>
          <w:lang w:val="en-US" w:eastAsia="fr-FR"/>
        </w:rPr>
        <w:t xml:space="preserve">. The primary </w:t>
      </w:r>
      <w:r>
        <w:rPr>
          <w:sz w:val="24"/>
        </w:rPr>
        <w:t>efficacy analysis will be conducted on the FAS.</w:t>
      </w:r>
      <w:r w:rsidR="00C87957">
        <w:rPr>
          <w:sz w:val="24"/>
        </w:rPr>
        <w:t xml:space="preserve"> </w:t>
      </w:r>
      <w:r>
        <w:rPr>
          <w:sz w:val="24"/>
        </w:rPr>
        <w:t>The PP population will be used to conduct a sensitivity analysis and assess the robustness of the primary efficacy analysis conclusions. Any substantial difference between the two analyses will be explored and discussed.</w:t>
      </w:r>
      <w:r w:rsidR="00C87957">
        <w:rPr>
          <w:sz w:val="24"/>
        </w:rPr>
        <w:t xml:space="preserve"> </w:t>
      </w:r>
    </w:p>
    <w:p w:rsidR="000D5D9C" w:rsidRDefault="000D5D9C" w:rsidP="000D5D9C">
      <w:pPr>
        <w:spacing w:line="360" w:lineRule="auto"/>
        <w:rPr>
          <w:sz w:val="24"/>
        </w:rPr>
      </w:pPr>
      <w:r>
        <w:rPr>
          <w:sz w:val="24"/>
        </w:rPr>
        <w:t>Patients who did</w:t>
      </w:r>
      <w:r w:rsidRPr="00E4662C">
        <w:rPr>
          <w:sz w:val="24"/>
        </w:rPr>
        <w:t xml:space="preserve"> not receive at least one dose of investigational product</w:t>
      </w:r>
      <w:r>
        <w:rPr>
          <w:sz w:val="24"/>
        </w:rPr>
        <w:t xml:space="preserve"> and </w:t>
      </w:r>
      <w:r w:rsidRPr="00E4662C">
        <w:rPr>
          <w:sz w:val="24"/>
        </w:rPr>
        <w:t>patients who violate a major entry criterion</w:t>
      </w:r>
      <w:r>
        <w:rPr>
          <w:sz w:val="24"/>
        </w:rPr>
        <w:t xml:space="preserve"> (as defined in section </w:t>
      </w:r>
      <w:r w:rsidR="00FF5BA3">
        <w:rPr>
          <w:sz w:val="24"/>
        </w:rPr>
        <w:fldChar w:fldCharType="begin"/>
      </w:r>
      <w:r>
        <w:rPr>
          <w:sz w:val="24"/>
        </w:rPr>
        <w:instrText xml:space="preserve"> REF _Ref461443453 \r \h </w:instrText>
      </w:r>
      <w:r w:rsidR="00FF5BA3">
        <w:rPr>
          <w:sz w:val="24"/>
        </w:rPr>
      </w:r>
      <w:r w:rsidR="00FF5BA3">
        <w:rPr>
          <w:sz w:val="24"/>
        </w:rPr>
        <w:fldChar w:fldCharType="separate"/>
      </w:r>
      <w:r w:rsidR="007C78F1">
        <w:rPr>
          <w:sz w:val="24"/>
        </w:rPr>
        <w:t>3.2</w:t>
      </w:r>
      <w:r w:rsidR="00FF5BA3">
        <w:rPr>
          <w:sz w:val="24"/>
        </w:rPr>
        <w:fldChar w:fldCharType="end"/>
      </w:r>
      <w:r>
        <w:rPr>
          <w:sz w:val="24"/>
        </w:rPr>
        <w:t xml:space="preserve">) will be exclude from the primary efficacy analysis </w:t>
      </w:r>
    </w:p>
    <w:p w:rsidR="000D5D9C" w:rsidRPr="00E4662C" w:rsidRDefault="000D5D9C" w:rsidP="000D5D9C">
      <w:pPr>
        <w:spacing w:line="360" w:lineRule="auto"/>
        <w:rPr>
          <w:sz w:val="24"/>
        </w:rPr>
      </w:pPr>
      <w:r>
        <w:rPr>
          <w:sz w:val="24"/>
        </w:rPr>
        <w:t>(</w:t>
      </w:r>
      <w:r w:rsidRPr="00E4662C">
        <w:rPr>
          <w:sz w:val="24"/>
        </w:rPr>
        <w:t>Full analysis set</w:t>
      </w:r>
      <w:r>
        <w:rPr>
          <w:sz w:val="24"/>
        </w:rPr>
        <w:t xml:space="preserve">, </w:t>
      </w:r>
      <w:r w:rsidRPr="00E4662C">
        <w:rPr>
          <w:sz w:val="24"/>
        </w:rPr>
        <w:t xml:space="preserve">FAS) </w:t>
      </w:r>
      <w:r>
        <w:rPr>
          <w:sz w:val="24"/>
        </w:rPr>
        <w:t>provided</w:t>
      </w:r>
      <w:r w:rsidRPr="00E4662C">
        <w:rPr>
          <w:sz w:val="24"/>
        </w:rPr>
        <w:t xml:space="preserve"> it can be clearly justified that their exclusion does not</w:t>
      </w:r>
      <w:r>
        <w:rPr>
          <w:sz w:val="24"/>
        </w:rPr>
        <w:t xml:space="preserve"> introduce bias.</w:t>
      </w:r>
    </w:p>
    <w:p w:rsidR="000D5D9C" w:rsidRDefault="000D5D9C" w:rsidP="00C068DF">
      <w:pPr>
        <w:spacing w:line="360" w:lineRule="auto"/>
        <w:rPr>
          <w:sz w:val="24"/>
        </w:rPr>
      </w:pPr>
    </w:p>
    <w:p w:rsidR="00233D15" w:rsidRPr="008C1261" w:rsidRDefault="00233D15" w:rsidP="00233D15">
      <w:pPr>
        <w:pStyle w:val="3"/>
      </w:pPr>
      <w:bookmarkStart w:id="102" w:name="_Toc461617873"/>
      <w:r w:rsidRPr="008C1261">
        <w:t>Active-Control Studies Intended to Show Equivalence</w:t>
      </w:r>
      <w:bookmarkEnd w:id="102"/>
    </w:p>
    <w:bookmarkEnd w:id="101"/>
    <w:p w:rsidR="00F71EB3" w:rsidRPr="00BD38F7" w:rsidRDefault="00C068DF" w:rsidP="00F71EB3">
      <w:pPr>
        <w:rPr>
          <w:sz w:val="24"/>
        </w:rPr>
      </w:pPr>
      <w:r w:rsidRPr="00BD38F7">
        <w:rPr>
          <w:sz w:val="24"/>
        </w:rPr>
        <w:t>Not applicable.</w:t>
      </w:r>
    </w:p>
    <w:p w:rsidR="00233D15" w:rsidRDefault="00233D15" w:rsidP="00C068DF">
      <w:pPr>
        <w:pStyle w:val="3"/>
        <w:spacing w:line="360" w:lineRule="auto"/>
      </w:pPr>
      <w:bookmarkStart w:id="103" w:name="_Toc125952948"/>
      <w:bookmarkStart w:id="104" w:name="_Toc461617874"/>
      <w:r>
        <w:t>Examination of Subgroups</w:t>
      </w:r>
      <w:bookmarkEnd w:id="103"/>
      <w:bookmarkEnd w:id="104"/>
    </w:p>
    <w:p w:rsidR="000658EC" w:rsidRDefault="00D82054" w:rsidP="00D82054">
      <w:pPr>
        <w:spacing w:line="360" w:lineRule="auto"/>
        <w:rPr>
          <w:rFonts w:cs="Arial"/>
          <w:sz w:val="24"/>
        </w:rPr>
      </w:pPr>
      <w:r>
        <w:rPr>
          <w:rFonts w:cs="Arial"/>
          <w:sz w:val="24"/>
        </w:rPr>
        <w:t xml:space="preserve">No specific </w:t>
      </w:r>
      <w:r w:rsidR="00224B8A">
        <w:rPr>
          <w:rFonts w:cs="Arial"/>
          <w:sz w:val="24"/>
        </w:rPr>
        <w:t xml:space="preserve">subgroup </w:t>
      </w:r>
      <w:r>
        <w:rPr>
          <w:rFonts w:cs="Arial"/>
          <w:sz w:val="24"/>
        </w:rPr>
        <w:t xml:space="preserve">analysis will be done but descriptive statistics will be presented on each stratification factors subgroups for the primary endpoint </w:t>
      </w:r>
      <w:r w:rsidR="000658EC" w:rsidRPr="00A26C8E">
        <w:rPr>
          <w:rFonts w:cs="Arial"/>
          <w:i/>
          <w:sz w:val="24"/>
        </w:rPr>
        <w:t>i.e</w:t>
      </w:r>
      <w:r w:rsidR="000658EC">
        <w:rPr>
          <w:rFonts w:cs="Arial"/>
          <w:sz w:val="24"/>
        </w:rPr>
        <w:t>.:</w:t>
      </w:r>
    </w:p>
    <w:p w:rsidR="000658EC" w:rsidRDefault="000658EC" w:rsidP="000658EC">
      <w:pPr>
        <w:pStyle w:val="af2"/>
        <w:numPr>
          <w:ilvl w:val="1"/>
          <w:numId w:val="40"/>
        </w:numPr>
        <w:spacing w:line="360" w:lineRule="auto"/>
        <w:rPr>
          <w:sz w:val="24"/>
          <w:lang w:val="en-US"/>
        </w:rPr>
      </w:pPr>
      <w:r w:rsidRPr="0058057C">
        <w:rPr>
          <w:sz w:val="24"/>
          <w:lang w:val="en-US"/>
        </w:rPr>
        <w:t xml:space="preserve">Response to first line chemotherapy: objective response </w:t>
      </w:r>
    </w:p>
    <w:p w:rsidR="000658EC" w:rsidRPr="0058057C" w:rsidRDefault="000658EC" w:rsidP="000658EC">
      <w:pPr>
        <w:pStyle w:val="af2"/>
        <w:numPr>
          <w:ilvl w:val="1"/>
          <w:numId w:val="40"/>
        </w:numPr>
        <w:spacing w:line="360" w:lineRule="auto"/>
        <w:rPr>
          <w:sz w:val="24"/>
          <w:lang w:val="en-US"/>
        </w:rPr>
      </w:pPr>
      <w:r w:rsidRPr="0058057C">
        <w:rPr>
          <w:sz w:val="24"/>
          <w:lang w:val="en-US"/>
        </w:rPr>
        <w:t>Response to first line chemotherapy: stable disease,</w:t>
      </w:r>
    </w:p>
    <w:p w:rsidR="000658EC" w:rsidRDefault="000658EC" w:rsidP="000658EC">
      <w:pPr>
        <w:pStyle w:val="af2"/>
        <w:numPr>
          <w:ilvl w:val="1"/>
          <w:numId w:val="40"/>
        </w:numPr>
        <w:spacing w:line="360" w:lineRule="auto"/>
        <w:rPr>
          <w:sz w:val="24"/>
          <w:lang w:val="en-US"/>
        </w:rPr>
      </w:pPr>
      <w:r w:rsidRPr="0058057C">
        <w:rPr>
          <w:sz w:val="24"/>
          <w:lang w:val="en-US"/>
        </w:rPr>
        <w:t xml:space="preserve">Squamous </w:t>
      </w:r>
    </w:p>
    <w:p w:rsidR="000658EC" w:rsidRPr="0058057C" w:rsidRDefault="000658EC" w:rsidP="000658EC">
      <w:pPr>
        <w:pStyle w:val="af2"/>
        <w:numPr>
          <w:ilvl w:val="1"/>
          <w:numId w:val="40"/>
        </w:numPr>
        <w:spacing w:line="360" w:lineRule="auto"/>
        <w:rPr>
          <w:sz w:val="24"/>
          <w:lang w:val="en-US"/>
        </w:rPr>
      </w:pPr>
      <w:r w:rsidRPr="0058057C">
        <w:rPr>
          <w:sz w:val="24"/>
          <w:lang w:val="en-US"/>
        </w:rPr>
        <w:t xml:space="preserve"> non-squamous,</w:t>
      </w:r>
    </w:p>
    <w:p w:rsidR="000658EC" w:rsidRDefault="000658EC" w:rsidP="000658EC">
      <w:pPr>
        <w:pStyle w:val="af2"/>
        <w:numPr>
          <w:ilvl w:val="1"/>
          <w:numId w:val="40"/>
        </w:numPr>
        <w:spacing w:line="360" w:lineRule="auto"/>
        <w:rPr>
          <w:sz w:val="24"/>
          <w:lang w:val="en-US"/>
        </w:rPr>
      </w:pPr>
      <w:r w:rsidRPr="0058057C">
        <w:rPr>
          <w:sz w:val="24"/>
          <w:lang w:val="en-US"/>
        </w:rPr>
        <w:t xml:space="preserve">Stage IV </w:t>
      </w:r>
    </w:p>
    <w:p w:rsidR="000658EC" w:rsidRPr="000658EC" w:rsidRDefault="000658EC" w:rsidP="000658EC">
      <w:pPr>
        <w:pStyle w:val="af2"/>
        <w:numPr>
          <w:ilvl w:val="1"/>
          <w:numId w:val="40"/>
        </w:numPr>
        <w:spacing w:line="360" w:lineRule="auto"/>
        <w:rPr>
          <w:sz w:val="24"/>
          <w:lang w:val="en-US"/>
        </w:rPr>
      </w:pPr>
      <w:r w:rsidRPr="0058057C">
        <w:rPr>
          <w:sz w:val="24"/>
          <w:lang w:val="en-US"/>
        </w:rPr>
        <w:t>recurrent stage I-III,</w:t>
      </w:r>
    </w:p>
    <w:p w:rsidR="00BD38F7" w:rsidRDefault="00C14529" w:rsidP="00BD38F7">
      <w:pPr>
        <w:rPr>
          <w:rFonts w:cs="Arial"/>
          <w:sz w:val="24"/>
        </w:rPr>
      </w:pPr>
      <w:r>
        <w:rPr>
          <w:rFonts w:cs="Arial"/>
          <w:sz w:val="24"/>
        </w:rPr>
        <w:t>The</w:t>
      </w:r>
      <w:r w:rsidR="000658EC">
        <w:rPr>
          <w:rFonts w:cs="Arial"/>
          <w:sz w:val="24"/>
        </w:rPr>
        <w:t xml:space="preserve"> same </w:t>
      </w:r>
      <w:r>
        <w:rPr>
          <w:rFonts w:cs="Arial"/>
          <w:sz w:val="24"/>
        </w:rPr>
        <w:t xml:space="preserve">descriptive </w:t>
      </w:r>
      <w:r w:rsidR="000658EC">
        <w:rPr>
          <w:rFonts w:cs="Arial"/>
          <w:sz w:val="24"/>
        </w:rPr>
        <w:t xml:space="preserve">analyses will be performed for each </w:t>
      </w:r>
      <w:r w:rsidR="004079DC">
        <w:rPr>
          <w:rFonts w:cs="Arial"/>
          <w:sz w:val="24"/>
        </w:rPr>
        <w:t>prognostic factors subgroups i.e.:</w:t>
      </w:r>
    </w:p>
    <w:p w:rsidR="000658EC" w:rsidRDefault="000658EC" w:rsidP="000658EC">
      <w:pPr>
        <w:pStyle w:val="af2"/>
        <w:numPr>
          <w:ilvl w:val="1"/>
          <w:numId w:val="40"/>
        </w:numPr>
        <w:spacing w:line="360" w:lineRule="auto"/>
        <w:rPr>
          <w:sz w:val="24"/>
          <w:lang w:val="en-US"/>
        </w:rPr>
      </w:pPr>
      <w:r w:rsidRPr="0058057C">
        <w:rPr>
          <w:sz w:val="24"/>
          <w:lang w:val="en-US"/>
        </w:rPr>
        <w:t>Level of tumor TERT expression: low</w:t>
      </w:r>
    </w:p>
    <w:p w:rsidR="000658EC" w:rsidRPr="0058057C" w:rsidRDefault="000658EC" w:rsidP="000658EC">
      <w:pPr>
        <w:pStyle w:val="af2"/>
        <w:numPr>
          <w:ilvl w:val="1"/>
          <w:numId w:val="40"/>
        </w:numPr>
        <w:spacing w:line="360" w:lineRule="auto"/>
        <w:rPr>
          <w:sz w:val="24"/>
          <w:lang w:val="en-US"/>
        </w:rPr>
      </w:pPr>
      <w:r w:rsidRPr="0058057C">
        <w:rPr>
          <w:sz w:val="24"/>
          <w:lang w:val="en-US"/>
        </w:rPr>
        <w:t>Level of tumor TERT expression high,</w:t>
      </w:r>
    </w:p>
    <w:p w:rsidR="000658EC" w:rsidRDefault="000658EC" w:rsidP="000658EC">
      <w:pPr>
        <w:pStyle w:val="af2"/>
        <w:numPr>
          <w:ilvl w:val="1"/>
          <w:numId w:val="40"/>
        </w:numPr>
        <w:spacing w:line="360" w:lineRule="auto"/>
        <w:rPr>
          <w:sz w:val="24"/>
          <w:lang w:val="en-US"/>
        </w:rPr>
      </w:pPr>
      <w:r w:rsidRPr="0058057C">
        <w:rPr>
          <w:sz w:val="24"/>
          <w:lang w:val="en-US"/>
        </w:rPr>
        <w:t xml:space="preserve">Vaccine specific immune response status: naturally occurring response </w:t>
      </w:r>
    </w:p>
    <w:p w:rsidR="000658EC" w:rsidRPr="0058057C" w:rsidRDefault="000658EC" w:rsidP="000658EC">
      <w:pPr>
        <w:pStyle w:val="af2"/>
        <w:numPr>
          <w:ilvl w:val="1"/>
          <w:numId w:val="40"/>
        </w:numPr>
        <w:spacing w:line="360" w:lineRule="auto"/>
        <w:rPr>
          <w:sz w:val="24"/>
          <w:lang w:val="en-US"/>
        </w:rPr>
      </w:pPr>
      <w:r w:rsidRPr="0058057C">
        <w:rPr>
          <w:sz w:val="24"/>
          <w:lang w:val="en-US"/>
        </w:rPr>
        <w:t>Vaccine specific immune response status: absence of naturally occurring response.</w:t>
      </w:r>
    </w:p>
    <w:p w:rsidR="0023378D" w:rsidRPr="008D610C" w:rsidRDefault="0023378D" w:rsidP="0023378D">
      <w:pPr>
        <w:pStyle w:val="2"/>
        <w:ind w:left="677" w:hanging="677"/>
      </w:pPr>
      <w:bookmarkStart w:id="105" w:name="_Toc461617875"/>
      <w:r w:rsidRPr="008D610C">
        <w:t>Data handling conventions</w:t>
      </w:r>
      <w:bookmarkEnd w:id="105"/>
    </w:p>
    <w:p w:rsidR="0023378D" w:rsidRPr="008C1261" w:rsidRDefault="0023378D" w:rsidP="002B20F2">
      <w:pPr>
        <w:pStyle w:val="3"/>
        <w:spacing w:line="360" w:lineRule="auto"/>
        <w:ind w:left="677" w:hanging="677"/>
      </w:pPr>
      <w:bookmarkStart w:id="106" w:name="_Toc36974620"/>
      <w:bookmarkStart w:id="107" w:name="_Toc461617876"/>
      <w:r w:rsidRPr="008C1261">
        <w:t>Baseline definitions</w:t>
      </w:r>
      <w:bookmarkEnd w:id="106"/>
      <w:bookmarkEnd w:id="107"/>
    </w:p>
    <w:p w:rsidR="002B20F2" w:rsidRPr="00F3181A" w:rsidRDefault="002B20F2" w:rsidP="002B20F2">
      <w:pPr>
        <w:spacing w:line="360" w:lineRule="auto"/>
        <w:rPr>
          <w:rFonts w:cs="Arial"/>
          <w:sz w:val="24"/>
        </w:rPr>
      </w:pPr>
      <w:r w:rsidRPr="00F3181A">
        <w:rPr>
          <w:rFonts w:cs="Arial"/>
          <w:sz w:val="24"/>
        </w:rPr>
        <w:t>The measurements taken on baseline visit are assumed to be baseline values for the respective parameters.</w:t>
      </w:r>
    </w:p>
    <w:p w:rsidR="002B20F2" w:rsidRPr="00F3181A" w:rsidRDefault="002B20F2" w:rsidP="002B20F2">
      <w:pPr>
        <w:spacing w:line="360" w:lineRule="auto"/>
        <w:rPr>
          <w:rFonts w:cs="Arial"/>
          <w:sz w:val="24"/>
        </w:rPr>
      </w:pPr>
      <w:r w:rsidRPr="00F3181A">
        <w:rPr>
          <w:rFonts w:cs="Arial"/>
          <w:sz w:val="24"/>
        </w:rPr>
        <w:t xml:space="preserve">Baseline visit, which takes place on day 1 of week 0, should be performed within 4 weeks after administration of the last cycle of first-line platinum-based chemotherapy. </w:t>
      </w:r>
    </w:p>
    <w:p w:rsidR="002B20F2" w:rsidRPr="00F3181A" w:rsidRDefault="002B20F2" w:rsidP="002B20F2">
      <w:pPr>
        <w:spacing w:line="360" w:lineRule="auto"/>
        <w:rPr>
          <w:rFonts w:cs="Arial"/>
          <w:sz w:val="24"/>
        </w:rPr>
      </w:pPr>
      <w:r w:rsidRPr="00F3181A">
        <w:rPr>
          <w:rFonts w:cs="Arial"/>
          <w:sz w:val="24"/>
        </w:rPr>
        <w:t>The following characteristics will be measured at baseline visit:</w:t>
      </w:r>
    </w:p>
    <w:p w:rsidR="002B20F2" w:rsidRPr="00F3181A" w:rsidRDefault="002B20F2" w:rsidP="001559A5">
      <w:pPr>
        <w:numPr>
          <w:ilvl w:val="0"/>
          <w:numId w:val="28"/>
        </w:numPr>
        <w:spacing w:after="120" w:line="360" w:lineRule="auto"/>
        <w:rPr>
          <w:rFonts w:cs="Arial"/>
          <w:sz w:val="24"/>
        </w:rPr>
      </w:pPr>
      <w:r w:rsidRPr="00F3181A">
        <w:rPr>
          <w:rFonts w:cs="Arial"/>
          <w:sz w:val="24"/>
        </w:rPr>
        <w:t>Physical examination and vital signs (blood pressure and pulse rate after 5 minutes sitting, body temperature and body weight, height)</w:t>
      </w:r>
    </w:p>
    <w:p w:rsidR="002B20F2" w:rsidRPr="00F3181A" w:rsidRDefault="002B20F2" w:rsidP="001559A5">
      <w:pPr>
        <w:numPr>
          <w:ilvl w:val="0"/>
          <w:numId w:val="28"/>
        </w:numPr>
        <w:spacing w:after="120" w:line="360" w:lineRule="auto"/>
        <w:rPr>
          <w:rFonts w:cs="Arial"/>
          <w:sz w:val="24"/>
        </w:rPr>
      </w:pPr>
      <w:r w:rsidRPr="00F3181A">
        <w:rPr>
          <w:rFonts w:cs="Arial"/>
          <w:sz w:val="24"/>
        </w:rPr>
        <w:lastRenderedPageBreak/>
        <w:t>ECOG Performance Status.</w:t>
      </w:r>
    </w:p>
    <w:p w:rsidR="002B20F2" w:rsidRPr="00F3181A" w:rsidRDefault="002B20F2" w:rsidP="001559A5">
      <w:pPr>
        <w:numPr>
          <w:ilvl w:val="0"/>
          <w:numId w:val="28"/>
        </w:numPr>
        <w:spacing w:after="120" w:line="360" w:lineRule="auto"/>
        <w:rPr>
          <w:rFonts w:cs="Arial"/>
          <w:sz w:val="24"/>
        </w:rPr>
      </w:pPr>
      <w:r w:rsidRPr="00F3181A">
        <w:rPr>
          <w:rFonts w:cs="Arial"/>
          <w:sz w:val="24"/>
        </w:rPr>
        <w:t>Electrocardiogram (12-lead ECG).</w:t>
      </w:r>
    </w:p>
    <w:p w:rsidR="002B20F2" w:rsidRPr="00F3181A" w:rsidRDefault="002B20F2" w:rsidP="001559A5">
      <w:pPr>
        <w:numPr>
          <w:ilvl w:val="0"/>
          <w:numId w:val="28"/>
        </w:numPr>
        <w:spacing w:after="120" w:line="360" w:lineRule="auto"/>
        <w:rPr>
          <w:rFonts w:cs="Arial"/>
          <w:sz w:val="24"/>
        </w:rPr>
      </w:pPr>
      <w:r w:rsidRPr="00F3181A">
        <w:rPr>
          <w:rFonts w:cs="Arial"/>
          <w:sz w:val="24"/>
        </w:rPr>
        <w:t>Hematology.</w:t>
      </w:r>
    </w:p>
    <w:p w:rsidR="002B20F2" w:rsidRPr="00F3181A" w:rsidRDefault="002B20F2" w:rsidP="001559A5">
      <w:pPr>
        <w:numPr>
          <w:ilvl w:val="0"/>
          <w:numId w:val="28"/>
        </w:numPr>
        <w:spacing w:after="120" w:line="360" w:lineRule="auto"/>
        <w:rPr>
          <w:rFonts w:cs="Arial"/>
          <w:sz w:val="24"/>
        </w:rPr>
      </w:pPr>
      <w:r w:rsidRPr="00F3181A">
        <w:rPr>
          <w:rFonts w:cs="Arial"/>
          <w:sz w:val="24"/>
        </w:rPr>
        <w:t>Clinical chemistry.</w:t>
      </w:r>
    </w:p>
    <w:p w:rsidR="002B20F2" w:rsidRPr="00F3181A" w:rsidRDefault="002B20F2" w:rsidP="001559A5">
      <w:pPr>
        <w:numPr>
          <w:ilvl w:val="0"/>
          <w:numId w:val="28"/>
        </w:numPr>
        <w:spacing w:after="120" w:line="360" w:lineRule="auto"/>
        <w:rPr>
          <w:rFonts w:cs="Arial"/>
          <w:sz w:val="24"/>
        </w:rPr>
      </w:pPr>
      <w:r w:rsidRPr="00F3181A">
        <w:rPr>
          <w:rFonts w:cs="Arial"/>
          <w:sz w:val="24"/>
        </w:rPr>
        <w:t>Collection of blood sample for immunomonitoring. Samples will be collected before drug administration.</w:t>
      </w:r>
    </w:p>
    <w:p w:rsidR="002B20F2" w:rsidRPr="002B20F2" w:rsidRDefault="002B20F2" w:rsidP="002B20F2"/>
    <w:p w:rsidR="0023378D" w:rsidRDefault="00442D47" w:rsidP="0023378D">
      <w:pPr>
        <w:pStyle w:val="3"/>
        <w:ind w:left="677" w:hanging="677"/>
      </w:pPr>
      <w:bookmarkStart w:id="108" w:name="_Toc36974621"/>
      <w:bookmarkStart w:id="109" w:name="_Toc461617877"/>
      <w:r>
        <w:t xml:space="preserve">Retest, </w:t>
      </w:r>
      <w:bookmarkEnd w:id="108"/>
      <w:r>
        <w:t>Outliers</w:t>
      </w:r>
      <w:bookmarkEnd w:id="109"/>
    </w:p>
    <w:p w:rsidR="00442D47" w:rsidRPr="00BD38F7" w:rsidRDefault="00442D47" w:rsidP="00442D47">
      <w:pPr>
        <w:pStyle w:val="4"/>
      </w:pPr>
      <w:bookmarkStart w:id="110" w:name="_Toc461617878"/>
      <w:r w:rsidRPr="00BD38F7">
        <w:t>Retests</w:t>
      </w:r>
      <w:bookmarkEnd w:id="110"/>
    </w:p>
    <w:p w:rsidR="00442D47" w:rsidRPr="00F3181A" w:rsidRDefault="00442D47" w:rsidP="00C068DF">
      <w:pPr>
        <w:spacing w:line="360" w:lineRule="auto"/>
        <w:rPr>
          <w:sz w:val="24"/>
        </w:rPr>
      </w:pPr>
      <w:r w:rsidRPr="00F3181A">
        <w:rPr>
          <w:sz w:val="24"/>
        </w:rPr>
        <w:t>The retests will be managed as follow:</w:t>
      </w:r>
    </w:p>
    <w:p w:rsidR="00442D47" w:rsidRPr="00F3181A" w:rsidRDefault="00442D47" w:rsidP="001559A5">
      <w:pPr>
        <w:pStyle w:val="ac"/>
        <w:numPr>
          <w:ilvl w:val="0"/>
          <w:numId w:val="5"/>
        </w:numPr>
        <w:spacing w:line="360" w:lineRule="auto"/>
        <w:rPr>
          <w:sz w:val="24"/>
        </w:rPr>
      </w:pPr>
      <w:r w:rsidRPr="00F3181A">
        <w:rPr>
          <w:sz w:val="24"/>
        </w:rPr>
        <w:t>Any retest before baseline : the last available value before baseline will be used as the baseline</w:t>
      </w:r>
    </w:p>
    <w:p w:rsidR="00442D47" w:rsidRPr="00F3181A" w:rsidRDefault="00442D47" w:rsidP="001559A5">
      <w:pPr>
        <w:pStyle w:val="ac"/>
        <w:numPr>
          <w:ilvl w:val="0"/>
          <w:numId w:val="5"/>
        </w:numPr>
        <w:spacing w:line="360" w:lineRule="auto"/>
        <w:rPr>
          <w:sz w:val="24"/>
        </w:rPr>
      </w:pPr>
      <w:r w:rsidRPr="00F3181A">
        <w:rPr>
          <w:sz w:val="24"/>
        </w:rPr>
        <w:t>Any other retest: data will be reviewed and decision will be made during the blind review on the basis of the following rules:</w:t>
      </w:r>
    </w:p>
    <w:p w:rsidR="00442D47" w:rsidRPr="00F3181A" w:rsidRDefault="00442D47" w:rsidP="001559A5">
      <w:pPr>
        <w:pStyle w:val="ac"/>
        <w:numPr>
          <w:ilvl w:val="1"/>
          <w:numId w:val="5"/>
        </w:numPr>
        <w:spacing w:line="360" w:lineRule="auto"/>
        <w:rPr>
          <w:sz w:val="24"/>
        </w:rPr>
      </w:pPr>
      <w:r w:rsidRPr="00F3181A">
        <w:rPr>
          <w:sz w:val="24"/>
        </w:rPr>
        <w:t>Retest on efficacy data: non-missing value the closest to the scheduled visit will be used</w:t>
      </w:r>
    </w:p>
    <w:p w:rsidR="00442D47" w:rsidRPr="00F3181A" w:rsidRDefault="00442D47" w:rsidP="001559A5">
      <w:pPr>
        <w:pStyle w:val="ac"/>
        <w:numPr>
          <w:ilvl w:val="1"/>
          <w:numId w:val="5"/>
        </w:numPr>
        <w:spacing w:line="360" w:lineRule="auto"/>
        <w:rPr>
          <w:sz w:val="24"/>
        </w:rPr>
      </w:pPr>
      <w:r w:rsidRPr="00F3181A">
        <w:rPr>
          <w:sz w:val="24"/>
        </w:rPr>
        <w:t>Retest on safety data: the worst recorded value will be used</w:t>
      </w:r>
    </w:p>
    <w:p w:rsidR="00FF6ABD" w:rsidRDefault="00FF6ABD" w:rsidP="00C068DF">
      <w:pPr>
        <w:spacing w:line="360" w:lineRule="auto"/>
      </w:pPr>
    </w:p>
    <w:p w:rsidR="00FF6ABD" w:rsidRPr="00BD38F7" w:rsidRDefault="00FF6ABD" w:rsidP="00CD082A">
      <w:pPr>
        <w:pStyle w:val="4"/>
        <w:spacing w:line="360" w:lineRule="auto"/>
      </w:pPr>
      <w:bookmarkStart w:id="111" w:name="_Toc461617879"/>
      <w:r w:rsidRPr="00BD38F7">
        <w:t>Outliers</w:t>
      </w:r>
      <w:bookmarkEnd w:id="111"/>
    </w:p>
    <w:p w:rsidR="00442D47" w:rsidRPr="00442D47" w:rsidRDefault="00FF6ABD" w:rsidP="00CD082A">
      <w:pPr>
        <w:spacing w:line="360" w:lineRule="auto"/>
      </w:pPr>
      <w:r w:rsidRPr="00CD082A">
        <w:t>All outlier data will be reviewed during the data review meeting and decision</w:t>
      </w:r>
      <w:r w:rsidR="005567E6" w:rsidRPr="00CD082A">
        <w:t>s</w:t>
      </w:r>
      <w:r w:rsidRPr="00CD082A">
        <w:t xml:space="preserve"> regarding thei</w:t>
      </w:r>
      <w:r w:rsidR="005567E6" w:rsidRPr="00CD082A">
        <w:t>r use in the statistical analyse</w:t>
      </w:r>
      <w:r w:rsidRPr="00CD082A">
        <w:t>s</w:t>
      </w:r>
      <w:r w:rsidR="005567E6" w:rsidRPr="00CD082A">
        <w:t xml:space="preserve"> will be made.</w:t>
      </w:r>
      <w:r w:rsidR="005567E6">
        <w:t xml:space="preserve"> </w:t>
      </w:r>
    </w:p>
    <w:p w:rsidR="0023378D" w:rsidRPr="00BD38F7" w:rsidRDefault="0023378D" w:rsidP="004E1991">
      <w:pPr>
        <w:pStyle w:val="3"/>
        <w:spacing w:line="360" w:lineRule="auto"/>
        <w:ind w:left="677" w:hanging="677"/>
      </w:pPr>
      <w:bookmarkStart w:id="112" w:name="_Toc36974622"/>
      <w:bookmarkStart w:id="113" w:name="_Toc461617880"/>
      <w:r w:rsidRPr="00BD38F7">
        <w:t>Windows for time points</w:t>
      </w:r>
      <w:bookmarkEnd w:id="112"/>
      <w:bookmarkEnd w:id="113"/>
    </w:p>
    <w:p w:rsidR="00993C59" w:rsidRPr="00F3181A" w:rsidRDefault="00E871FD" w:rsidP="004E1991">
      <w:pPr>
        <w:autoSpaceDE w:val="0"/>
        <w:autoSpaceDN w:val="0"/>
        <w:adjustRightInd w:val="0"/>
        <w:spacing w:line="360" w:lineRule="auto"/>
        <w:rPr>
          <w:sz w:val="24"/>
          <w:lang w:val="en-US" w:eastAsia="fr-FR"/>
        </w:rPr>
      </w:pPr>
      <w:r w:rsidRPr="00F3181A">
        <w:rPr>
          <w:sz w:val="24"/>
          <w:lang w:val="en-US" w:eastAsia="fr-FR"/>
        </w:rPr>
        <w:t>Patients have to visit the clinic/institution for investigational product administration and assessments according to the Flow Chart and Schedule of Assessment</w:t>
      </w:r>
      <w:r w:rsidR="00891292" w:rsidRPr="00F3181A">
        <w:rPr>
          <w:sz w:val="24"/>
          <w:lang w:val="en-US" w:eastAsia="fr-FR"/>
        </w:rPr>
        <w:t>s (see section</w:t>
      </w:r>
      <w:r w:rsidR="004E1991" w:rsidRPr="00F3181A">
        <w:rPr>
          <w:sz w:val="24"/>
          <w:lang w:val="en-US" w:eastAsia="fr-FR"/>
        </w:rPr>
        <w:t xml:space="preserve"> 2.3.3) </w:t>
      </w:r>
      <w:r w:rsidR="00993C59" w:rsidRPr="00F3181A">
        <w:rPr>
          <w:sz w:val="24"/>
          <w:lang w:val="en-US" w:eastAsia="fr-FR"/>
        </w:rPr>
        <w:t>Permitted deviations from the predetermined dates of visit (due to weekends, public holidays etc) may be as follows:</w:t>
      </w:r>
    </w:p>
    <w:p w:rsidR="00993C59" w:rsidRPr="00F3181A" w:rsidRDefault="00993C59" w:rsidP="001559A5">
      <w:pPr>
        <w:pStyle w:val="ac"/>
        <w:numPr>
          <w:ilvl w:val="0"/>
          <w:numId w:val="30"/>
        </w:numPr>
        <w:autoSpaceDE w:val="0"/>
        <w:autoSpaceDN w:val="0"/>
        <w:adjustRightInd w:val="0"/>
        <w:spacing w:line="360" w:lineRule="auto"/>
        <w:rPr>
          <w:sz w:val="24"/>
          <w:lang w:val="en-US" w:eastAsia="fr-FR"/>
        </w:rPr>
      </w:pPr>
      <w:r w:rsidRPr="00F3181A">
        <w:rPr>
          <w:sz w:val="24"/>
          <w:lang w:val="en-US" w:eastAsia="fr-FR"/>
        </w:rPr>
        <w:lastRenderedPageBreak/>
        <w:t>Screening period: can start during the fi</w:t>
      </w:r>
      <w:r w:rsidR="00BD38F7" w:rsidRPr="00F3181A">
        <w:rPr>
          <w:sz w:val="24"/>
          <w:lang w:val="en-US" w:eastAsia="fr-FR"/>
        </w:rPr>
        <w:t>r</w:t>
      </w:r>
      <w:r w:rsidRPr="00F3181A">
        <w:rPr>
          <w:sz w:val="24"/>
          <w:lang w:val="en-US" w:eastAsia="fr-FR"/>
        </w:rPr>
        <w:t xml:space="preserve">st line chemotherapy and should be completed at the latest 3 weeks and 4 days after administration of the last cycle of first-line platinum-based chemotherapy, </w:t>
      </w:r>
    </w:p>
    <w:p w:rsidR="00993C59" w:rsidRPr="00F3181A" w:rsidRDefault="00993C59" w:rsidP="001559A5">
      <w:pPr>
        <w:pStyle w:val="ac"/>
        <w:numPr>
          <w:ilvl w:val="0"/>
          <w:numId w:val="30"/>
        </w:numPr>
        <w:autoSpaceDE w:val="0"/>
        <w:autoSpaceDN w:val="0"/>
        <w:adjustRightInd w:val="0"/>
        <w:spacing w:line="360" w:lineRule="auto"/>
        <w:rPr>
          <w:sz w:val="24"/>
          <w:lang w:val="en-US" w:eastAsia="fr-FR"/>
        </w:rPr>
      </w:pPr>
      <w:r w:rsidRPr="00F3181A">
        <w:rPr>
          <w:sz w:val="24"/>
          <w:lang w:val="en-US" w:eastAsia="fr-FR"/>
        </w:rPr>
        <w:t>Baseline, randomization and first dose of vaccination: up to 4 weeks and 4 days after the last administration of the first-line chemotherapy</w:t>
      </w:r>
    </w:p>
    <w:p w:rsidR="00993C59" w:rsidRPr="00A26C8E" w:rsidRDefault="00993C59" w:rsidP="001559A5">
      <w:pPr>
        <w:pStyle w:val="ac"/>
        <w:numPr>
          <w:ilvl w:val="0"/>
          <w:numId w:val="30"/>
        </w:numPr>
        <w:autoSpaceDE w:val="0"/>
        <w:autoSpaceDN w:val="0"/>
        <w:adjustRightInd w:val="0"/>
        <w:spacing w:line="360" w:lineRule="auto"/>
        <w:rPr>
          <w:sz w:val="24"/>
          <w:lang w:eastAsia="fr-FR"/>
        </w:rPr>
      </w:pPr>
      <w:r w:rsidRPr="00F3181A">
        <w:rPr>
          <w:sz w:val="24"/>
          <w:lang w:val="en-US" w:eastAsia="fr-FR"/>
        </w:rPr>
        <w:t xml:space="preserve"> </w:t>
      </w:r>
      <w:r w:rsidRPr="00A26C8E">
        <w:rPr>
          <w:sz w:val="24"/>
          <w:lang w:eastAsia="fr-FR"/>
        </w:rPr>
        <w:t xml:space="preserve">Doses 2-6 of vaccination: </w:t>
      </w:r>
      <w:r w:rsidR="00E871FD" w:rsidRPr="00A26C8E">
        <w:rPr>
          <w:sz w:val="24"/>
          <w:lang w:eastAsia="fr-FR"/>
        </w:rPr>
        <w:t xml:space="preserve">± </w:t>
      </w:r>
      <w:r w:rsidRPr="00A26C8E">
        <w:rPr>
          <w:sz w:val="24"/>
          <w:lang w:eastAsia="fr-FR"/>
        </w:rPr>
        <w:t>4 calendar days</w:t>
      </w:r>
    </w:p>
    <w:p w:rsidR="00993C59" w:rsidRPr="00F3181A" w:rsidRDefault="00993C59" w:rsidP="001559A5">
      <w:pPr>
        <w:pStyle w:val="ac"/>
        <w:numPr>
          <w:ilvl w:val="0"/>
          <w:numId w:val="30"/>
        </w:numPr>
        <w:autoSpaceDE w:val="0"/>
        <w:autoSpaceDN w:val="0"/>
        <w:adjustRightInd w:val="0"/>
        <w:spacing w:line="360" w:lineRule="auto"/>
        <w:rPr>
          <w:sz w:val="24"/>
          <w:lang w:val="fr-FR" w:eastAsia="fr-FR"/>
        </w:rPr>
      </w:pPr>
      <w:r w:rsidRPr="00F3181A">
        <w:rPr>
          <w:sz w:val="24"/>
          <w:lang w:val="fr-FR" w:eastAsia="fr-FR"/>
        </w:rPr>
        <w:t>Week 18</w:t>
      </w:r>
      <w:r w:rsidR="00E871FD" w:rsidRPr="00F3181A">
        <w:rPr>
          <w:sz w:val="24"/>
          <w:lang w:val="fr-FR" w:eastAsia="fr-FR"/>
        </w:rPr>
        <w:t> : ±</w:t>
      </w:r>
      <w:r w:rsidRPr="00F3181A">
        <w:rPr>
          <w:sz w:val="24"/>
          <w:lang w:val="fr-FR" w:eastAsia="fr-FR"/>
        </w:rPr>
        <w:t xml:space="preserve"> 4 calendar days</w:t>
      </w:r>
    </w:p>
    <w:p w:rsidR="00E871FD" w:rsidRPr="00F3181A" w:rsidRDefault="00993C59" w:rsidP="001559A5">
      <w:pPr>
        <w:pStyle w:val="ac"/>
        <w:numPr>
          <w:ilvl w:val="0"/>
          <w:numId w:val="30"/>
        </w:numPr>
        <w:autoSpaceDE w:val="0"/>
        <w:autoSpaceDN w:val="0"/>
        <w:adjustRightInd w:val="0"/>
        <w:spacing w:line="360" w:lineRule="auto"/>
        <w:rPr>
          <w:sz w:val="24"/>
          <w:lang w:val="en-US" w:eastAsia="fr-FR"/>
        </w:rPr>
      </w:pPr>
      <w:r w:rsidRPr="00F3181A">
        <w:rPr>
          <w:sz w:val="24"/>
          <w:lang w:val="en-US" w:eastAsia="fr-FR"/>
        </w:rPr>
        <w:t xml:space="preserve">Doses 7 to end of study vaccination: </w:t>
      </w:r>
      <w:r w:rsidR="00E871FD" w:rsidRPr="00F3181A">
        <w:rPr>
          <w:sz w:val="24"/>
          <w:lang w:val="en-US" w:eastAsia="fr-FR"/>
        </w:rPr>
        <w:t>±</w:t>
      </w:r>
      <w:r w:rsidRPr="00F3181A">
        <w:rPr>
          <w:sz w:val="24"/>
          <w:lang w:val="en-US" w:eastAsia="fr-FR"/>
        </w:rPr>
        <w:t xml:space="preserve"> 14 calendar days</w:t>
      </w:r>
    </w:p>
    <w:p w:rsidR="00E871FD" w:rsidRPr="00F3181A" w:rsidRDefault="00993C59" w:rsidP="001559A5">
      <w:pPr>
        <w:pStyle w:val="ac"/>
        <w:numPr>
          <w:ilvl w:val="0"/>
          <w:numId w:val="30"/>
        </w:numPr>
        <w:autoSpaceDE w:val="0"/>
        <w:autoSpaceDN w:val="0"/>
        <w:adjustRightInd w:val="0"/>
        <w:spacing w:line="360" w:lineRule="auto"/>
        <w:rPr>
          <w:sz w:val="24"/>
          <w:lang w:val="en-US" w:eastAsia="fr-FR"/>
        </w:rPr>
      </w:pPr>
      <w:r w:rsidRPr="00F3181A">
        <w:rPr>
          <w:sz w:val="24"/>
          <w:lang w:val="en-US" w:eastAsia="fr-FR"/>
        </w:rPr>
        <w:t xml:space="preserve">End of study treatment visit: </w:t>
      </w:r>
      <w:r w:rsidR="00E871FD" w:rsidRPr="00F3181A">
        <w:rPr>
          <w:sz w:val="24"/>
          <w:lang w:val="en-US" w:eastAsia="fr-FR"/>
        </w:rPr>
        <w:t>±</w:t>
      </w:r>
      <w:r w:rsidRPr="00F3181A">
        <w:rPr>
          <w:sz w:val="24"/>
          <w:lang w:val="en-US" w:eastAsia="fr-FR"/>
        </w:rPr>
        <w:t xml:space="preserve"> 4 calendar days</w:t>
      </w:r>
    </w:p>
    <w:p w:rsidR="00993C59" w:rsidRPr="00F3181A" w:rsidRDefault="00993C59" w:rsidP="001559A5">
      <w:pPr>
        <w:pStyle w:val="ac"/>
        <w:numPr>
          <w:ilvl w:val="0"/>
          <w:numId w:val="30"/>
        </w:numPr>
        <w:autoSpaceDE w:val="0"/>
        <w:autoSpaceDN w:val="0"/>
        <w:adjustRightInd w:val="0"/>
        <w:spacing w:line="360" w:lineRule="auto"/>
        <w:rPr>
          <w:sz w:val="24"/>
          <w:lang w:val="en-US" w:eastAsia="fr-FR"/>
        </w:rPr>
      </w:pPr>
      <w:r w:rsidRPr="00F3181A">
        <w:rPr>
          <w:sz w:val="24"/>
          <w:lang w:val="en-US" w:eastAsia="fr-FR"/>
        </w:rPr>
        <w:t xml:space="preserve"> Survival follow-up contact:</w:t>
      </w:r>
      <w:r w:rsidR="00E871FD" w:rsidRPr="00F3181A">
        <w:rPr>
          <w:sz w:val="24"/>
          <w:lang w:val="en-US" w:eastAsia="fr-FR"/>
        </w:rPr>
        <w:t xml:space="preserve"> ±</w:t>
      </w:r>
      <w:r w:rsidRPr="00F3181A">
        <w:rPr>
          <w:sz w:val="24"/>
          <w:lang w:val="en-US" w:eastAsia="fr-FR"/>
        </w:rPr>
        <w:t xml:space="preserve"> 28 calendar days</w:t>
      </w:r>
    </w:p>
    <w:p w:rsidR="00993C59" w:rsidRPr="00F3181A" w:rsidRDefault="00993C59" w:rsidP="00E871FD">
      <w:pPr>
        <w:autoSpaceDE w:val="0"/>
        <w:autoSpaceDN w:val="0"/>
        <w:adjustRightInd w:val="0"/>
        <w:spacing w:line="360" w:lineRule="auto"/>
        <w:rPr>
          <w:sz w:val="24"/>
          <w:lang w:val="en-US" w:eastAsia="fr-FR"/>
        </w:rPr>
      </w:pPr>
      <w:r w:rsidRPr="00F3181A">
        <w:rPr>
          <w:sz w:val="24"/>
          <w:lang w:val="en-US" w:eastAsia="fr-FR"/>
        </w:rPr>
        <w:t>Any deviations greater than the above, will be regarded as a protocol deviation. The sponsor will</w:t>
      </w:r>
      <w:r w:rsidR="00E871FD" w:rsidRPr="00F3181A">
        <w:rPr>
          <w:sz w:val="24"/>
          <w:lang w:val="en-US" w:eastAsia="fr-FR"/>
        </w:rPr>
        <w:t xml:space="preserve"> </w:t>
      </w:r>
      <w:r w:rsidRPr="00F3181A">
        <w:rPr>
          <w:sz w:val="24"/>
          <w:lang w:val="en-US" w:eastAsia="fr-FR"/>
        </w:rPr>
        <w:t>have to be notified, to decide whether the deviation constitutes a minor or major protocol deviation.</w:t>
      </w:r>
      <w:r w:rsidR="00E871FD" w:rsidRPr="00F3181A">
        <w:rPr>
          <w:sz w:val="24"/>
          <w:lang w:val="en-US" w:eastAsia="fr-FR"/>
        </w:rPr>
        <w:t xml:space="preserve"> </w:t>
      </w:r>
      <w:r w:rsidRPr="00F3181A">
        <w:rPr>
          <w:sz w:val="24"/>
          <w:lang w:val="en-US" w:eastAsia="fr-FR"/>
        </w:rPr>
        <w:t>If required, the Steering committee will be consulted. When the permitted deviations are applied, or</w:t>
      </w:r>
      <w:r w:rsidR="00E871FD" w:rsidRPr="00F3181A">
        <w:rPr>
          <w:sz w:val="24"/>
          <w:lang w:val="en-US" w:eastAsia="fr-FR"/>
        </w:rPr>
        <w:t xml:space="preserve"> </w:t>
      </w:r>
      <w:r w:rsidRPr="00F3181A">
        <w:rPr>
          <w:sz w:val="24"/>
          <w:lang w:val="en-US" w:eastAsia="fr-FR"/>
        </w:rPr>
        <w:t>when the study treatment has to be postpo</w:t>
      </w:r>
      <w:r w:rsidR="00E871FD" w:rsidRPr="00F3181A">
        <w:rPr>
          <w:sz w:val="24"/>
          <w:lang w:val="en-US" w:eastAsia="fr-FR"/>
        </w:rPr>
        <w:t xml:space="preserve">ned, the </w:t>
      </w:r>
      <w:r w:rsidRPr="00F3181A">
        <w:rPr>
          <w:sz w:val="24"/>
          <w:lang w:val="en-US" w:eastAsia="fr-FR"/>
        </w:rPr>
        <w:t>next study visit should be carried out at a time</w:t>
      </w:r>
      <w:r w:rsidR="00E871FD" w:rsidRPr="00F3181A">
        <w:rPr>
          <w:sz w:val="24"/>
          <w:lang w:val="en-US" w:eastAsia="fr-FR"/>
        </w:rPr>
        <w:t xml:space="preserve"> </w:t>
      </w:r>
      <w:r w:rsidRPr="00F3181A">
        <w:rPr>
          <w:sz w:val="24"/>
          <w:lang w:val="en-US" w:eastAsia="fr-FR"/>
        </w:rPr>
        <w:t>that allows a minimum of 14 da</w:t>
      </w:r>
      <w:r w:rsidR="00E871FD" w:rsidRPr="00F3181A">
        <w:rPr>
          <w:sz w:val="24"/>
          <w:lang w:val="en-US" w:eastAsia="fr-FR"/>
        </w:rPr>
        <w:t xml:space="preserve">ys between 2 vaccinations (from </w:t>
      </w:r>
      <w:r w:rsidRPr="00F3181A">
        <w:rPr>
          <w:sz w:val="24"/>
          <w:lang w:val="en-US" w:eastAsia="fr-FR"/>
        </w:rPr>
        <w:t>doses 1 to 6 of vaccination) and a</w:t>
      </w:r>
      <w:r w:rsidR="00E871FD" w:rsidRPr="00F3181A">
        <w:rPr>
          <w:sz w:val="24"/>
          <w:lang w:val="en-US" w:eastAsia="fr-FR"/>
        </w:rPr>
        <w:t xml:space="preserve"> </w:t>
      </w:r>
      <w:r w:rsidRPr="00F3181A">
        <w:rPr>
          <w:sz w:val="24"/>
          <w:lang w:val="en-US" w:eastAsia="fr-FR"/>
        </w:rPr>
        <w:t>minimum of 2 months between 2 vaccinations (f</w:t>
      </w:r>
      <w:r w:rsidR="00E871FD" w:rsidRPr="00F3181A">
        <w:rPr>
          <w:sz w:val="24"/>
          <w:lang w:val="en-US" w:eastAsia="fr-FR"/>
        </w:rPr>
        <w:t xml:space="preserve">rom doses 7 to the end of study </w:t>
      </w:r>
      <w:r w:rsidRPr="00F3181A">
        <w:rPr>
          <w:sz w:val="24"/>
          <w:lang w:val="en-US" w:eastAsia="fr-FR"/>
        </w:rPr>
        <w:t>treatment). In</w:t>
      </w:r>
      <w:r w:rsidR="00E871FD" w:rsidRPr="00F3181A">
        <w:rPr>
          <w:sz w:val="24"/>
          <w:lang w:val="en-US" w:eastAsia="fr-FR"/>
        </w:rPr>
        <w:t xml:space="preserve"> </w:t>
      </w:r>
      <w:r w:rsidRPr="00F3181A">
        <w:rPr>
          <w:sz w:val="24"/>
          <w:lang w:val="en-US" w:eastAsia="fr-FR"/>
        </w:rPr>
        <w:t>addition, effort should be made to keep up with the schedule, based on the date of first</w:t>
      </w:r>
      <w:r w:rsidR="00E871FD" w:rsidRPr="00F3181A">
        <w:rPr>
          <w:sz w:val="24"/>
          <w:lang w:val="en-US" w:eastAsia="fr-FR"/>
        </w:rPr>
        <w:t xml:space="preserve"> </w:t>
      </w:r>
      <w:r w:rsidRPr="00F3181A">
        <w:rPr>
          <w:sz w:val="24"/>
          <w:lang w:val="en-US" w:eastAsia="fr-FR"/>
        </w:rPr>
        <w:t>investigational product administration (first dose).</w:t>
      </w:r>
    </w:p>
    <w:p w:rsidR="0023378D" w:rsidRPr="00BD38F7" w:rsidRDefault="0023378D" w:rsidP="00F27772">
      <w:pPr>
        <w:pStyle w:val="3"/>
        <w:spacing w:line="360" w:lineRule="auto"/>
        <w:ind w:left="677" w:hanging="677"/>
      </w:pPr>
      <w:bookmarkStart w:id="114" w:name="_Toc36974623"/>
      <w:bookmarkStart w:id="115" w:name="_Toc461617881"/>
      <w:r w:rsidRPr="00BD38F7">
        <w:t>Unscheduled visits</w:t>
      </w:r>
      <w:bookmarkEnd w:id="114"/>
      <w:bookmarkEnd w:id="115"/>
    </w:p>
    <w:p w:rsidR="00544E4A" w:rsidRPr="00F3181A" w:rsidRDefault="00544E4A" w:rsidP="00F27772">
      <w:pPr>
        <w:spacing w:line="360" w:lineRule="auto"/>
        <w:rPr>
          <w:sz w:val="24"/>
        </w:rPr>
      </w:pPr>
      <w:r w:rsidRPr="00F3181A">
        <w:rPr>
          <w:sz w:val="24"/>
        </w:rPr>
        <w:t xml:space="preserve">Unscheduled visit measurements may be used to provide a measurement for a baseline or endpoint value if appropriate according to their definition. Other unscheduled visits data will not be analysed, but corresponding data will be presented in the individual data listings and any relevant safety data will be described in the CSR. </w:t>
      </w:r>
    </w:p>
    <w:p w:rsidR="00F8740E" w:rsidRPr="008D610C" w:rsidRDefault="00F8740E" w:rsidP="00F8740E">
      <w:pPr>
        <w:pStyle w:val="1"/>
      </w:pPr>
      <w:bookmarkStart w:id="116" w:name="_Ref461442945"/>
      <w:bookmarkStart w:id="117" w:name="_Toc461617882"/>
      <w:r w:rsidRPr="008D610C">
        <w:t>Modifications from the statistical sections in the protocol</w:t>
      </w:r>
      <w:bookmarkEnd w:id="116"/>
      <w:bookmarkEnd w:id="117"/>
    </w:p>
    <w:p w:rsidR="00224E45" w:rsidRPr="00950C49" w:rsidRDefault="00224E45" w:rsidP="00224E45">
      <w:pPr>
        <w:spacing w:line="360" w:lineRule="auto"/>
        <w:rPr>
          <w:sz w:val="24"/>
        </w:rPr>
      </w:pPr>
      <w:r w:rsidRPr="00950C49">
        <w:rPr>
          <w:sz w:val="24"/>
        </w:rPr>
        <w:t>Due to the initial slow enrolment, study results will only be available more than</w:t>
      </w:r>
      <w:r w:rsidR="006E6340">
        <w:rPr>
          <w:sz w:val="24"/>
        </w:rPr>
        <w:t xml:space="preserve"> 2</w:t>
      </w:r>
      <w:r w:rsidRPr="00950C49">
        <w:rPr>
          <w:sz w:val="24"/>
        </w:rPr>
        <w:t xml:space="preserve"> years later than initially planned. In addition, patients randomized early in the trial have had a longer follow-up than they would have had with the planned duration of the study.</w:t>
      </w:r>
    </w:p>
    <w:p w:rsidR="00224E45" w:rsidRPr="00950C49" w:rsidRDefault="00224E45" w:rsidP="00224E45">
      <w:pPr>
        <w:spacing w:line="360" w:lineRule="auto"/>
        <w:rPr>
          <w:sz w:val="24"/>
        </w:rPr>
      </w:pPr>
    </w:p>
    <w:p w:rsidR="00224E45" w:rsidRPr="00950C49" w:rsidRDefault="00224E45" w:rsidP="00224E45">
      <w:pPr>
        <w:spacing w:line="360" w:lineRule="auto"/>
        <w:rPr>
          <w:sz w:val="24"/>
        </w:rPr>
      </w:pPr>
      <w:r w:rsidRPr="00950C49">
        <w:rPr>
          <w:sz w:val="24"/>
        </w:rPr>
        <w:t xml:space="preserve">Provided that the recruitment was slower than anticipated, the </w:t>
      </w:r>
      <w:r>
        <w:rPr>
          <w:sz w:val="24"/>
        </w:rPr>
        <w:t>initially</w:t>
      </w:r>
      <w:r w:rsidRPr="00950C49">
        <w:rPr>
          <w:sz w:val="24"/>
        </w:rPr>
        <w:t xml:space="preserve"> planned primary efficacy criterion (12 months overall survival) and its planned analysis (comparison of proportions in the two treatment arms using a one-sided Pearson’s chi-squared test) </w:t>
      </w:r>
      <w:r w:rsidR="00C14529">
        <w:rPr>
          <w:sz w:val="24"/>
        </w:rPr>
        <w:t>are</w:t>
      </w:r>
      <w:r w:rsidRPr="00950C49">
        <w:rPr>
          <w:sz w:val="24"/>
        </w:rPr>
        <w:t xml:space="preserve"> not </w:t>
      </w:r>
      <w:r w:rsidR="00C14529">
        <w:rPr>
          <w:sz w:val="24"/>
        </w:rPr>
        <w:t xml:space="preserve">anymore </w:t>
      </w:r>
      <w:r w:rsidRPr="00950C49">
        <w:rPr>
          <w:sz w:val="24"/>
        </w:rPr>
        <w:t>the optimal statistical approach in terms of statistical efficiency (power). The information on deaths occurring after the 12 months of follow-up in patients randomised early in the study and the time pattern of the deaths observed during the first year of follow-up are not taken into account</w:t>
      </w:r>
      <w:r w:rsidR="00C14529">
        <w:rPr>
          <w:sz w:val="24"/>
        </w:rPr>
        <w:t xml:space="preserve"> with this approach</w:t>
      </w:r>
      <w:r w:rsidRPr="00950C49">
        <w:rPr>
          <w:sz w:val="24"/>
        </w:rPr>
        <w:t>.</w:t>
      </w:r>
    </w:p>
    <w:p w:rsidR="00224E45" w:rsidRPr="00950C49" w:rsidRDefault="00224E45" w:rsidP="00224E45">
      <w:pPr>
        <w:spacing w:line="360" w:lineRule="auto"/>
        <w:rPr>
          <w:sz w:val="24"/>
        </w:rPr>
      </w:pPr>
    </w:p>
    <w:p w:rsidR="00121CD5" w:rsidRDefault="00C14529" w:rsidP="00224E45">
      <w:pPr>
        <w:spacing w:line="360" w:lineRule="auto"/>
        <w:rPr>
          <w:sz w:val="24"/>
        </w:rPr>
      </w:pPr>
      <w:r>
        <w:rPr>
          <w:sz w:val="24"/>
        </w:rPr>
        <w:t>Consequently,</w:t>
      </w:r>
      <w:r w:rsidR="00224E45" w:rsidRPr="00950C49">
        <w:rPr>
          <w:sz w:val="24"/>
        </w:rPr>
        <w:t xml:space="preserve"> the primary endpoint </w:t>
      </w:r>
      <w:r w:rsidR="00484E7A">
        <w:rPr>
          <w:sz w:val="24"/>
        </w:rPr>
        <w:t xml:space="preserve">has been changed </w:t>
      </w:r>
      <w:r w:rsidR="00224E45" w:rsidRPr="00950C49">
        <w:rPr>
          <w:sz w:val="24"/>
        </w:rPr>
        <w:t>to overall survival analysed with time to events methods (Kaplan Meier and Logrank test)</w:t>
      </w:r>
      <w:r w:rsidR="00484E7A">
        <w:rPr>
          <w:sz w:val="24"/>
        </w:rPr>
        <w:t>. This change sh</w:t>
      </w:r>
      <w:r w:rsidR="00224E45" w:rsidRPr="00950C49">
        <w:rPr>
          <w:sz w:val="24"/>
        </w:rPr>
        <w:t xml:space="preserve">ould result in an increased power and </w:t>
      </w:r>
      <w:r w:rsidR="00484E7A">
        <w:rPr>
          <w:sz w:val="24"/>
        </w:rPr>
        <w:t>will</w:t>
      </w:r>
      <w:r w:rsidR="00224E45" w:rsidRPr="00950C49">
        <w:rPr>
          <w:sz w:val="24"/>
        </w:rPr>
        <w:t xml:space="preserve"> allow analysing the study </w:t>
      </w:r>
      <w:r w:rsidR="00484E7A">
        <w:rPr>
          <w:sz w:val="24"/>
        </w:rPr>
        <w:t>before achieving 1 year follow-up for the last randomized patient</w:t>
      </w:r>
      <w:r w:rsidR="00224E45" w:rsidRPr="00950C49">
        <w:rPr>
          <w:sz w:val="24"/>
        </w:rPr>
        <w:t>.</w:t>
      </w:r>
      <w:r w:rsidR="00A26C8E">
        <w:rPr>
          <w:sz w:val="24"/>
        </w:rPr>
        <w:t xml:space="preserve"> </w:t>
      </w:r>
    </w:p>
    <w:p w:rsidR="00121CD5" w:rsidRPr="00950C49" w:rsidRDefault="00121CD5" w:rsidP="00121CD5">
      <w:pPr>
        <w:spacing w:line="360" w:lineRule="auto"/>
        <w:rPr>
          <w:sz w:val="24"/>
        </w:rPr>
      </w:pPr>
      <w:r w:rsidRPr="00950C49">
        <w:rPr>
          <w:sz w:val="24"/>
        </w:rPr>
        <w:t xml:space="preserve">As this analysis </w:t>
      </w:r>
      <w:r>
        <w:rPr>
          <w:sz w:val="24"/>
        </w:rPr>
        <w:t>wa</w:t>
      </w:r>
      <w:r w:rsidRPr="00950C49">
        <w:rPr>
          <w:sz w:val="24"/>
        </w:rPr>
        <w:t>s already planned as a secondary analysis in the protocol and is widely accepted as a valid approach in cancer trials analysis, promoting it as the primary statistical analysis in this protocol is not a major change in the study aims and objectives (To demonstrate the clinical efficacy of Vx-001 vs placebo, as maintenance treatment after first-line treatment in NSCLC patients with disease control).</w:t>
      </w:r>
    </w:p>
    <w:p w:rsidR="00121CD5" w:rsidRDefault="00121CD5" w:rsidP="00121CD5">
      <w:pPr>
        <w:spacing w:line="360" w:lineRule="auto"/>
        <w:rPr>
          <w:sz w:val="24"/>
        </w:rPr>
      </w:pPr>
    </w:p>
    <w:p w:rsidR="00121CD5" w:rsidRDefault="00121CD5" w:rsidP="00121CD5">
      <w:pPr>
        <w:spacing w:line="360" w:lineRule="auto"/>
        <w:rPr>
          <w:sz w:val="24"/>
        </w:rPr>
      </w:pPr>
      <w:r>
        <w:rPr>
          <w:sz w:val="24"/>
        </w:rPr>
        <w:t>The initially planned primary efficacy analysis (</w:t>
      </w:r>
      <w:r w:rsidRPr="00950C49">
        <w:rPr>
          <w:sz w:val="24"/>
        </w:rPr>
        <w:t xml:space="preserve">comparison of 12 months overall survival </w:t>
      </w:r>
      <w:r>
        <w:rPr>
          <w:sz w:val="24"/>
        </w:rPr>
        <w:t>rate</w:t>
      </w:r>
      <w:r w:rsidRPr="00950C49">
        <w:rPr>
          <w:sz w:val="24"/>
        </w:rPr>
        <w:t>s in the two treatment arms using a one-sided a Pearson’s chi-squared test)</w:t>
      </w:r>
      <w:r>
        <w:rPr>
          <w:sz w:val="24"/>
        </w:rPr>
        <w:t xml:space="preserve"> will be presented as a secondary analysis.</w:t>
      </w:r>
    </w:p>
    <w:p w:rsidR="00121CD5" w:rsidRDefault="00121CD5" w:rsidP="00224E45">
      <w:pPr>
        <w:spacing w:line="360" w:lineRule="auto"/>
        <w:rPr>
          <w:sz w:val="24"/>
        </w:rPr>
      </w:pPr>
    </w:p>
    <w:p w:rsidR="00224E45" w:rsidRPr="00950C49" w:rsidRDefault="00121CD5" w:rsidP="00224E45">
      <w:pPr>
        <w:spacing w:line="360" w:lineRule="auto"/>
        <w:rPr>
          <w:sz w:val="24"/>
        </w:rPr>
      </w:pPr>
      <w:r>
        <w:rPr>
          <w:sz w:val="24"/>
        </w:rPr>
        <w:t xml:space="preserve">Also, </w:t>
      </w:r>
      <w:r w:rsidR="00A26C8E">
        <w:rPr>
          <w:sz w:val="24"/>
        </w:rPr>
        <w:t xml:space="preserve">for consistency with the primary efficacy analysis, the significance level of the sensitivity analysis has been changed and will use a </w:t>
      </w:r>
      <w:r w:rsidR="006A2D6C">
        <w:rPr>
          <w:sz w:val="24"/>
        </w:rPr>
        <w:t>one-</w:t>
      </w:r>
      <w:r w:rsidR="00A26C8E">
        <w:rPr>
          <w:sz w:val="24"/>
        </w:rPr>
        <w:t>sided significance level of 0.05 and two-sided 90% Confidence Intervals.</w:t>
      </w:r>
    </w:p>
    <w:p w:rsidR="00224E45" w:rsidRPr="00950C49" w:rsidRDefault="00224E45" w:rsidP="00224E45">
      <w:pPr>
        <w:spacing w:line="360" w:lineRule="auto"/>
        <w:rPr>
          <w:sz w:val="24"/>
        </w:rPr>
      </w:pPr>
    </w:p>
    <w:p w:rsidR="00224B8A" w:rsidRDefault="00224B8A" w:rsidP="006E6340">
      <w:pPr>
        <w:spacing w:line="360" w:lineRule="auto"/>
        <w:rPr>
          <w:sz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4"/>
        <w:gridCol w:w="5121"/>
      </w:tblGrid>
      <w:tr w:rsidR="00224E45" w:rsidRPr="00224E45" w:rsidTr="006E6340">
        <w:trPr>
          <w:trHeight w:val="468"/>
        </w:trPr>
        <w:tc>
          <w:tcPr>
            <w:tcW w:w="0" w:type="auto"/>
            <w:vAlign w:val="center"/>
          </w:tcPr>
          <w:p w:rsidR="00224E45" w:rsidRPr="006E6340" w:rsidRDefault="00224E45" w:rsidP="00224E45">
            <w:pPr>
              <w:spacing w:line="360" w:lineRule="auto"/>
              <w:rPr>
                <w:b/>
                <w:sz w:val="20"/>
                <w:szCs w:val="20"/>
              </w:rPr>
            </w:pPr>
            <w:r w:rsidRPr="006E6340">
              <w:rPr>
                <w:b/>
                <w:sz w:val="20"/>
                <w:szCs w:val="20"/>
              </w:rPr>
              <w:t>Initial protocol</w:t>
            </w:r>
          </w:p>
        </w:tc>
        <w:tc>
          <w:tcPr>
            <w:tcW w:w="0" w:type="auto"/>
            <w:vAlign w:val="center"/>
          </w:tcPr>
          <w:p w:rsidR="00224E45" w:rsidRPr="006E6340" w:rsidRDefault="00224E45" w:rsidP="00224E45">
            <w:pPr>
              <w:spacing w:line="360" w:lineRule="auto"/>
              <w:rPr>
                <w:b/>
                <w:sz w:val="20"/>
                <w:szCs w:val="20"/>
              </w:rPr>
            </w:pPr>
            <w:r w:rsidRPr="006E6340">
              <w:rPr>
                <w:b/>
                <w:sz w:val="20"/>
                <w:szCs w:val="20"/>
              </w:rPr>
              <w:t>Change</w:t>
            </w:r>
          </w:p>
        </w:tc>
      </w:tr>
      <w:tr w:rsidR="00224E45" w:rsidRPr="00000535" w:rsidTr="006E6340">
        <w:trPr>
          <w:trHeight w:val="761"/>
        </w:trPr>
        <w:tc>
          <w:tcPr>
            <w:tcW w:w="0" w:type="auto"/>
            <w:vAlign w:val="center"/>
          </w:tcPr>
          <w:p w:rsidR="00224E45" w:rsidRPr="006E6340" w:rsidRDefault="00224E45" w:rsidP="006E6340">
            <w:pPr>
              <w:spacing w:line="360" w:lineRule="auto"/>
              <w:rPr>
                <w:b/>
                <w:sz w:val="20"/>
                <w:szCs w:val="20"/>
              </w:rPr>
            </w:pPr>
            <w:r w:rsidRPr="006E6340">
              <w:rPr>
                <w:b/>
                <w:sz w:val="20"/>
                <w:szCs w:val="20"/>
              </w:rPr>
              <w:lastRenderedPageBreak/>
              <w:t>Primary Objective:</w:t>
            </w:r>
          </w:p>
          <w:p w:rsidR="00224E45" w:rsidRPr="006E6340" w:rsidRDefault="00224E45" w:rsidP="006E6340">
            <w:pPr>
              <w:spacing w:line="360" w:lineRule="auto"/>
              <w:rPr>
                <w:sz w:val="20"/>
                <w:szCs w:val="20"/>
              </w:rPr>
            </w:pPr>
            <w:r w:rsidRPr="006E6340">
              <w:rPr>
                <w:sz w:val="20"/>
                <w:szCs w:val="20"/>
              </w:rPr>
              <w:t>The primary objective is to compare survival rate at 12 months in Vx-001 treated vs placebo treated patients</w:t>
            </w:r>
          </w:p>
          <w:p w:rsidR="00224E45" w:rsidRPr="006E6340" w:rsidRDefault="00224E45" w:rsidP="006E6340">
            <w:pPr>
              <w:spacing w:line="360" w:lineRule="auto"/>
              <w:rPr>
                <w:b/>
                <w:sz w:val="20"/>
                <w:szCs w:val="20"/>
              </w:rPr>
            </w:pPr>
            <w:r w:rsidRPr="006E6340">
              <w:rPr>
                <w:b/>
                <w:sz w:val="20"/>
                <w:szCs w:val="20"/>
              </w:rPr>
              <w:t>Secondary Objectives:</w:t>
            </w:r>
          </w:p>
          <w:p w:rsidR="00224E45" w:rsidRPr="006E6340" w:rsidRDefault="00224E45" w:rsidP="006E6340">
            <w:pPr>
              <w:spacing w:line="360" w:lineRule="auto"/>
              <w:rPr>
                <w:sz w:val="20"/>
                <w:szCs w:val="20"/>
              </w:rPr>
            </w:pPr>
            <w:r w:rsidRPr="006E6340">
              <w:rPr>
                <w:sz w:val="20"/>
                <w:szCs w:val="20"/>
              </w:rPr>
              <w:t>Time-to-event comparison of overall survival in Vx-001 treated vs placebo treated patients.</w:t>
            </w:r>
          </w:p>
          <w:p w:rsidR="00224E45" w:rsidRPr="006E6340" w:rsidRDefault="00224E45" w:rsidP="006E6340">
            <w:pPr>
              <w:spacing w:line="360" w:lineRule="auto"/>
              <w:rPr>
                <w:b/>
                <w:sz w:val="20"/>
                <w:szCs w:val="20"/>
              </w:rPr>
            </w:pPr>
            <w:r w:rsidRPr="006E6340">
              <w:rPr>
                <w:b/>
                <w:sz w:val="20"/>
                <w:szCs w:val="20"/>
              </w:rPr>
              <w:t>Exploratory Objectives:</w:t>
            </w:r>
          </w:p>
          <w:p w:rsidR="00224E45" w:rsidRPr="006E6340" w:rsidRDefault="00224E45" w:rsidP="006E6340">
            <w:pPr>
              <w:spacing w:line="360" w:lineRule="auto"/>
              <w:rPr>
                <w:sz w:val="20"/>
                <w:szCs w:val="20"/>
              </w:rPr>
            </w:pPr>
            <w:r w:rsidRPr="006E6340">
              <w:rPr>
                <w:sz w:val="20"/>
                <w:szCs w:val="20"/>
              </w:rPr>
              <w:t xml:space="preserve">Comparison of survival rate at 12 months in patients with vaccine induced immune response detected after the second and sixth injection of Vx-001 </w:t>
            </w:r>
            <w:r w:rsidRPr="00F029C4">
              <w:rPr>
                <w:i/>
                <w:sz w:val="20"/>
                <w:szCs w:val="20"/>
              </w:rPr>
              <w:t>vs</w:t>
            </w:r>
            <w:r w:rsidRPr="006E6340">
              <w:rPr>
                <w:sz w:val="20"/>
                <w:szCs w:val="20"/>
              </w:rPr>
              <w:t xml:space="preserve"> </w:t>
            </w:r>
          </w:p>
          <w:p w:rsidR="00224E45" w:rsidRPr="006E6340" w:rsidRDefault="00224E45" w:rsidP="006E6340">
            <w:pPr>
              <w:spacing w:line="360" w:lineRule="auto"/>
              <w:rPr>
                <w:sz w:val="20"/>
                <w:szCs w:val="20"/>
              </w:rPr>
            </w:pPr>
            <w:r>
              <w:rPr>
                <w:sz w:val="20"/>
                <w:szCs w:val="20"/>
              </w:rPr>
              <w:t>•</w:t>
            </w:r>
            <w:r w:rsidRPr="006E6340">
              <w:rPr>
                <w:sz w:val="20"/>
                <w:szCs w:val="20"/>
              </w:rPr>
              <w:t>patients who received at least two and six injections of placebo, respectively,</w:t>
            </w:r>
          </w:p>
          <w:p w:rsidR="00224E45" w:rsidRPr="006E6340" w:rsidRDefault="00224E45" w:rsidP="006E6340">
            <w:pPr>
              <w:spacing w:line="360" w:lineRule="auto"/>
              <w:rPr>
                <w:sz w:val="20"/>
                <w:szCs w:val="20"/>
              </w:rPr>
            </w:pPr>
            <w:r>
              <w:rPr>
                <w:sz w:val="20"/>
                <w:szCs w:val="20"/>
              </w:rPr>
              <w:t>•</w:t>
            </w:r>
            <w:r w:rsidRPr="006E6340">
              <w:rPr>
                <w:sz w:val="20"/>
                <w:szCs w:val="20"/>
              </w:rPr>
              <w:t>patients randomised to Vx-001 who did not develop vaccine specific immune response after the second and sixth injections of Vx-001, respectively.</w:t>
            </w:r>
          </w:p>
          <w:p w:rsidR="00224E45" w:rsidRPr="006E6340" w:rsidRDefault="00224E45" w:rsidP="006E6340">
            <w:pPr>
              <w:spacing w:line="360" w:lineRule="auto"/>
              <w:rPr>
                <w:sz w:val="20"/>
                <w:szCs w:val="20"/>
              </w:rPr>
            </w:pPr>
            <w:r w:rsidRPr="006E6340">
              <w:rPr>
                <w:sz w:val="20"/>
                <w:szCs w:val="20"/>
              </w:rPr>
              <w:t xml:space="preserve">Comparison of survival rate at 12 months in Vx-001-treated </w:t>
            </w:r>
            <w:r w:rsidRPr="00F029C4">
              <w:rPr>
                <w:i/>
                <w:sz w:val="20"/>
                <w:szCs w:val="20"/>
              </w:rPr>
              <w:t>vs</w:t>
            </w:r>
            <w:r w:rsidRPr="006E6340">
              <w:rPr>
                <w:sz w:val="20"/>
                <w:szCs w:val="20"/>
              </w:rPr>
              <w:t xml:space="preserve"> placebo-treated patients who had: </w:t>
            </w:r>
          </w:p>
          <w:p w:rsidR="00224E45" w:rsidRPr="006E6340" w:rsidRDefault="00224E45" w:rsidP="006E6340">
            <w:pPr>
              <w:spacing w:line="360" w:lineRule="auto"/>
              <w:rPr>
                <w:sz w:val="20"/>
                <w:szCs w:val="20"/>
              </w:rPr>
            </w:pPr>
            <w:r>
              <w:rPr>
                <w:sz w:val="20"/>
                <w:szCs w:val="20"/>
              </w:rPr>
              <w:t>•</w:t>
            </w:r>
            <w:r w:rsidRPr="006E6340">
              <w:rPr>
                <w:sz w:val="20"/>
                <w:szCs w:val="20"/>
              </w:rPr>
              <w:t>a vaccine specific immune response before Vx-001 or placebo injection,</w:t>
            </w:r>
          </w:p>
          <w:p w:rsidR="00224E45" w:rsidRPr="00000535" w:rsidRDefault="00224E45" w:rsidP="002C51ED">
            <w:pPr>
              <w:spacing w:line="360" w:lineRule="auto"/>
              <w:rPr>
                <w:rFonts w:ascii="Calibri" w:hAnsi="Calibri" w:cs="Calibri"/>
                <w:sz w:val="20"/>
                <w:szCs w:val="20"/>
                <w:lang w:val="en-US"/>
              </w:rPr>
            </w:pPr>
            <w:r>
              <w:rPr>
                <w:sz w:val="20"/>
                <w:szCs w:val="20"/>
              </w:rPr>
              <w:t>•</w:t>
            </w:r>
            <w:r w:rsidRPr="006E6340">
              <w:rPr>
                <w:sz w:val="20"/>
                <w:szCs w:val="20"/>
              </w:rPr>
              <w:t xml:space="preserve">high levels of TERT expression or low levels of TERT expression in their </w:t>
            </w:r>
            <w:r w:rsidR="002C51ED">
              <w:rPr>
                <w:sz w:val="20"/>
                <w:szCs w:val="20"/>
              </w:rPr>
              <w:t>tumour biopsy</w:t>
            </w:r>
            <w:r w:rsidRPr="006E6340">
              <w:rPr>
                <w:sz w:val="20"/>
                <w:szCs w:val="20"/>
              </w:rPr>
              <w:t>.</w:t>
            </w:r>
          </w:p>
        </w:tc>
        <w:tc>
          <w:tcPr>
            <w:tcW w:w="0" w:type="auto"/>
            <w:vAlign w:val="center"/>
          </w:tcPr>
          <w:p w:rsidR="00224E45" w:rsidRPr="006E6340" w:rsidRDefault="00224E45" w:rsidP="006E6340">
            <w:pPr>
              <w:spacing w:line="360" w:lineRule="auto"/>
              <w:rPr>
                <w:b/>
                <w:sz w:val="20"/>
                <w:szCs w:val="20"/>
              </w:rPr>
            </w:pPr>
            <w:r w:rsidRPr="006E6340">
              <w:rPr>
                <w:b/>
                <w:sz w:val="20"/>
                <w:szCs w:val="20"/>
              </w:rPr>
              <w:t>Primary Objective:</w:t>
            </w:r>
          </w:p>
          <w:p w:rsidR="00224E45" w:rsidRPr="006E6340" w:rsidRDefault="00224E45" w:rsidP="006E6340">
            <w:pPr>
              <w:spacing w:line="360" w:lineRule="auto"/>
              <w:rPr>
                <w:sz w:val="20"/>
                <w:szCs w:val="20"/>
              </w:rPr>
            </w:pPr>
            <w:r w:rsidRPr="006E6340">
              <w:rPr>
                <w:sz w:val="20"/>
                <w:szCs w:val="20"/>
              </w:rPr>
              <w:t>The primary objective is a time-to-event comparison of overall survival in Vx-001 treated vs placebo treated patients</w:t>
            </w:r>
          </w:p>
          <w:p w:rsidR="00224E45" w:rsidRPr="006E6340" w:rsidRDefault="00224E45" w:rsidP="006E6340">
            <w:pPr>
              <w:spacing w:line="360" w:lineRule="auto"/>
              <w:rPr>
                <w:b/>
                <w:sz w:val="20"/>
                <w:szCs w:val="20"/>
              </w:rPr>
            </w:pPr>
            <w:r w:rsidRPr="006E6340">
              <w:rPr>
                <w:b/>
                <w:sz w:val="20"/>
                <w:szCs w:val="20"/>
              </w:rPr>
              <w:t>Secondary Objectives:</w:t>
            </w:r>
          </w:p>
          <w:p w:rsidR="00224E45" w:rsidRPr="006E6340" w:rsidRDefault="00224E45" w:rsidP="006E6340">
            <w:pPr>
              <w:spacing w:line="360" w:lineRule="auto"/>
              <w:rPr>
                <w:sz w:val="20"/>
                <w:szCs w:val="20"/>
              </w:rPr>
            </w:pPr>
            <w:r w:rsidRPr="006E6340">
              <w:rPr>
                <w:sz w:val="20"/>
                <w:szCs w:val="20"/>
              </w:rPr>
              <w:t>Comparison of survival rate at 12 months in Vx-001 treated vs placebo treated patients.</w:t>
            </w:r>
          </w:p>
          <w:p w:rsidR="00224E45" w:rsidRPr="006E6340" w:rsidRDefault="00224E45" w:rsidP="006E6340">
            <w:pPr>
              <w:spacing w:line="360" w:lineRule="auto"/>
              <w:rPr>
                <w:b/>
                <w:sz w:val="20"/>
                <w:szCs w:val="20"/>
              </w:rPr>
            </w:pPr>
            <w:r w:rsidRPr="006E6340">
              <w:rPr>
                <w:b/>
                <w:sz w:val="20"/>
                <w:szCs w:val="20"/>
              </w:rPr>
              <w:t>Exploratory Objectives:</w:t>
            </w:r>
          </w:p>
          <w:p w:rsidR="00224E45" w:rsidRPr="006E6340" w:rsidRDefault="00224E45" w:rsidP="006E6340">
            <w:pPr>
              <w:spacing w:line="360" w:lineRule="auto"/>
              <w:rPr>
                <w:sz w:val="20"/>
                <w:szCs w:val="20"/>
              </w:rPr>
            </w:pPr>
            <w:r w:rsidRPr="006E6340">
              <w:rPr>
                <w:sz w:val="20"/>
                <w:szCs w:val="20"/>
              </w:rPr>
              <w:t xml:space="preserve">Comparison of overall survival in patients with vaccine induced immune response detected after the second and sixth injection of Vx-001 </w:t>
            </w:r>
            <w:r w:rsidRPr="00F029C4">
              <w:rPr>
                <w:i/>
                <w:sz w:val="20"/>
                <w:szCs w:val="20"/>
              </w:rPr>
              <w:t>vs</w:t>
            </w:r>
            <w:r w:rsidRPr="006E6340">
              <w:rPr>
                <w:sz w:val="20"/>
                <w:szCs w:val="20"/>
              </w:rPr>
              <w:t xml:space="preserve"> </w:t>
            </w:r>
          </w:p>
          <w:p w:rsidR="00224E45" w:rsidRPr="006E6340" w:rsidRDefault="00224E45" w:rsidP="006E6340">
            <w:pPr>
              <w:spacing w:line="360" w:lineRule="auto"/>
              <w:rPr>
                <w:sz w:val="20"/>
                <w:szCs w:val="20"/>
              </w:rPr>
            </w:pPr>
            <w:r>
              <w:rPr>
                <w:sz w:val="20"/>
                <w:szCs w:val="20"/>
              </w:rPr>
              <w:t>•</w:t>
            </w:r>
            <w:r w:rsidRPr="006E6340">
              <w:rPr>
                <w:sz w:val="20"/>
                <w:szCs w:val="20"/>
              </w:rPr>
              <w:t>patients who received at least two and six injections of placebo, respectively,</w:t>
            </w:r>
          </w:p>
          <w:p w:rsidR="00224E45" w:rsidRPr="006E6340" w:rsidRDefault="00224E45" w:rsidP="006E6340">
            <w:pPr>
              <w:spacing w:line="360" w:lineRule="auto"/>
              <w:rPr>
                <w:sz w:val="20"/>
                <w:szCs w:val="20"/>
              </w:rPr>
            </w:pPr>
            <w:r>
              <w:rPr>
                <w:sz w:val="20"/>
                <w:szCs w:val="20"/>
              </w:rPr>
              <w:t>•</w:t>
            </w:r>
            <w:r w:rsidRPr="006E6340">
              <w:rPr>
                <w:sz w:val="20"/>
                <w:szCs w:val="20"/>
              </w:rPr>
              <w:t>patients randomised to Vx-001 who did not develop vaccine specific immune response after the second and sixth injections of Vx-001, respectively.</w:t>
            </w:r>
          </w:p>
          <w:p w:rsidR="00224E45" w:rsidRPr="006E6340" w:rsidRDefault="00224E45" w:rsidP="006E6340">
            <w:pPr>
              <w:spacing w:line="360" w:lineRule="auto"/>
              <w:rPr>
                <w:sz w:val="20"/>
                <w:szCs w:val="20"/>
              </w:rPr>
            </w:pPr>
          </w:p>
          <w:p w:rsidR="00224E45" w:rsidRPr="006E6340" w:rsidRDefault="00224E45" w:rsidP="006E6340">
            <w:pPr>
              <w:spacing w:line="360" w:lineRule="auto"/>
              <w:rPr>
                <w:sz w:val="20"/>
                <w:szCs w:val="20"/>
              </w:rPr>
            </w:pPr>
            <w:r w:rsidRPr="006E6340">
              <w:rPr>
                <w:sz w:val="20"/>
                <w:szCs w:val="20"/>
              </w:rPr>
              <w:t xml:space="preserve">Comparison of overall survival in Vx-001-treated vs placebo-treated patients who had: </w:t>
            </w:r>
          </w:p>
          <w:p w:rsidR="00224E45" w:rsidRPr="006E6340" w:rsidRDefault="00224E45" w:rsidP="006E6340">
            <w:pPr>
              <w:spacing w:line="360" w:lineRule="auto"/>
              <w:rPr>
                <w:sz w:val="20"/>
                <w:szCs w:val="20"/>
              </w:rPr>
            </w:pPr>
            <w:r>
              <w:rPr>
                <w:sz w:val="20"/>
                <w:szCs w:val="20"/>
              </w:rPr>
              <w:t>•</w:t>
            </w:r>
            <w:r w:rsidRPr="006E6340">
              <w:rPr>
                <w:sz w:val="20"/>
                <w:szCs w:val="20"/>
              </w:rPr>
              <w:t>a vaccine specific immune response before Vx-001 or placebo injection,</w:t>
            </w:r>
          </w:p>
          <w:p w:rsidR="00224E45" w:rsidRPr="00000535" w:rsidRDefault="00224E45" w:rsidP="002C51ED">
            <w:pPr>
              <w:spacing w:line="360" w:lineRule="auto"/>
              <w:rPr>
                <w:rFonts w:ascii="Calibri" w:hAnsi="Calibri" w:cs="Calibri"/>
                <w:sz w:val="20"/>
                <w:szCs w:val="20"/>
              </w:rPr>
            </w:pPr>
            <w:r>
              <w:rPr>
                <w:sz w:val="20"/>
                <w:szCs w:val="20"/>
              </w:rPr>
              <w:t>•</w:t>
            </w:r>
            <w:r w:rsidRPr="006E6340">
              <w:rPr>
                <w:sz w:val="20"/>
                <w:szCs w:val="20"/>
              </w:rPr>
              <w:t>high levels of TERT expression or low levels of TERT</w:t>
            </w:r>
            <w:r w:rsidR="006E6340">
              <w:rPr>
                <w:sz w:val="20"/>
                <w:szCs w:val="20"/>
              </w:rPr>
              <w:t xml:space="preserve"> expression in their </w:t>
            </w:r>
            <w:r w:rsidR="002C51ED">
              <w:rPr>
                <w:sz w:val="20"/>
                <w:szCs w:val="20"/>
              </w:rPr>
              <w:t>tumour biopsy</w:t>
            </w:r>
            <w:r w:rsidRPr="006E6340">
              <w:rPr>
                <w:sz w:val="20"/>
                <w:szCs w:val="20"/>
              </w:rPr>
              <w:t>.</w:t>
            </w:r>
          </w:p>
        </w:tc>
      </w:tr>
    </w:tbl>
    <w:p w:rsidR="00F8740E" w:rsidRDefault="00F8740E">
      <w:pPr>
        <w:rPr>
          <w:rStyle w:val="Instruction"/>
        </w:rPr>
      </w:pPr>
    </w:p>
    <w:p w:rsidR="0001282D" w:rsidRDefault="0001282D">
      <w:pPr>
        <w:rPr>
          <w:rStyle w:val="Instruction"/>
        </w:rPr>
      </w:pPr>
    </w:p>
    <w:p w:rsidR="0001282D" w:rsidRPr="00033694" w:rsidRDefault="003636CA" w:rsidP="00672126">
      <w:pPr>
        <w:spacing w:line="360" w:lineRule="auto"/>
      </w:pPr>
      <w:r>
        <w:t>The objective of the o</w:t>
      </w:r>
      <w:r w:rsidR="0001282D">
        <w:t>ther exploratory analyses</w:t>
      </w:r>
      <w:r>
        <w:t xml:space="preserve"> (5.2.4.5) </w:t>
      </w:r>
      <w:r w:rsidR="0001282D">
        <w:t>is to evaluate the influence of different prognostic factors, stratification factors, baseline characteristics (age, gender, ECOG and smoking histor</w:t>
      </w:r>
      <w:r>
        <w:t xml:space="preserve">y) on the treatment effect to time-to-death using Cox proportional hazards models. The </w:t>
      </w:r>
      <w:r w:rsidR="0001282D">
        <w:t>first line treatment</w:t>
      </w:r>
      <w:r>
        <w:t xml:space="preserve"> at baseline is added </w:t>
      </w:r>
      <w:r w:rsidR="00033694">
        <w:t xml:space="preserve">to the list of factors explored </w:t>
      </w:r>
      <w:r w:rsidR="00E21D2D">
        <w:t xml:space="preserve">in the Cox model </w:t>
      </w:r>
      <w:r>
        <w:t xml:space="preserve">because </w:t>
      </w:r>
      <w:r w:rsidR="00033694">
        <w:t>some of these first line therapies may have different impacts on the inflammatory and/or immune responses to the tested vaccine and hence influence the response to the vaccine</w:t>
      </w:r>
      <w:r w:rsidR="0001282D">
        <w:t xml:space="preserve">. </w:t>
      </w:r>
    </w:p>
    <w:p w:rsidR="00AF3917" w:rsidRPr="008D610C" w:rsidRDefault="00AF3917">
      <w:pPr>
        <w:pStyle w:val="1"/>
      </w:pPr>
      <w:bookmarkStart w:id="118" w:name="_Toc36974627"/>
      <w:bookmarkStart w:id="119" w:name="_Toc461617883"/>
      <w:r w:rsidRPr="008D610C">
        <w:t>Software documentation</w:t>
      </w:r>
      <w:bookmarkEnd w:id="118"/>
      <w:bookmarkEnd w:id="119"/>
    </w:p>
    <w:p w:rsidR="00AF3917" w:rsidRPr="00C068DF" w:rsidRDefault="00AF3917" w:rsidP="00C068DF">
      <w:pPr>
        <w:rPr>
          <w:rStyle w:val="Instruction"/>
          <w:b w:val="0"/>
          <w:i w:val="0"/>
          <w:color w:val="auto"/>
        </w:rPr>
      </w:pPr>
      <w:r w:rsidRPr="00C068DF">
        <w:rPr>
          <w:rStyle w:val="Instruction"/>
          <w:b w:val="0"/>
          <w:i w:val="0"/>
          <w:color w:val="auto"/>
        </w:rPr>
        <w:t xml:space="preserve">All summaries and statistical analyses will be generated using SAS version </w:t>
      </w:r>
      <w:r w:rsidR="000423B4" w:rsidRPr="00C068DF">
        <w:rPr>
          <w:rStyle w:val="Instruction"/>
          <w:b w:val="0"/>
          <w:i w:val="0"/>
          <w:color w:val="auto"/>
        </w:rPr>
        <w:t>9.2</w:t>
      </w:r>
      <w:r w:rsidRPr="00C068DF">
        <w:rPr>
          <w:rStyle w:val="Instruction"/>
          <w:b w:val="0"/>
          <w:i w:val="0"/>
          <w:color w:val="auto"/>
        </w:rPr>
        <w:t xml:space="preserve"> or higher.</w:t>
      </w:r>
    </w:p>
    <w:p w:rsidR="004322AD" w:rsidRPr="008D610C" w:rsidRDefault="004322AD" w:rsidP="004322AD">
      <w:pPr>
        <w:pStyle w:val="1"/>
      </w:pPr>
      <w:bookmarkStart w:id="120" w:name="_Ref201937289"/>
      <w:bookmarkStart w:id="121" w:name="_Toc461617884"/>
      <w:r>
        <w:lastRenderedPageBreak/>
        <w:t>Derived data</w:t>
      </w:r>
      <w:bookmarkEnd w:id="120"/>
      <w:bookmarkEnd w:id="1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9"/>
        <w:gridCol w:w="7054"/>
      </w:tblGrid>
      <w:tr w:rsidR="004322AD" w:rsidTr="000F5CB5">
        <w:tc>
          <w:tcPr>
            <w:tcW w:w="1809" w:type="dxa"/>
          </w:tcPr>
          <w:p w:rsidR="004322AD" w:rsidRDefault="004322AD" w:rsidP="000F5CB5">
            <w:pPr>
              <w:jc w:val="center"/>
              <w:rPr>
                <w:b/>
                <w:bCs/>
              </w:rPr>
            </w:pPr>
            <w:r>
              <w:rPr>
                <w:b/>
                <w:bCs/>
              </w:rPr>
              <w:t>Derived variable</w:t>
            </w:r>
          </w:p>
        </w:tc>
        <w:tc>
          <w:tcPr>
            <w:tcW w:w="7054" w:type="dxa"/>
          </w:tcPr>
          <w:p w:rsidR="004322AD" w:rsidRDefault="004322AD" w:rsidP="000F5CB5">
            <w:pPr>
              <w:jc w:val="center"/>
              <w:rPr>
                <w:b/>
                <w:bCs/>
              </w:rPr>
            </w:pPr>
            <w:r>
              <w:rPr>
                <w:b/>
                <w:bCs/>
              </w:rPr>
              <w:t>Derivation algorithm</w:t>
            </w:r>
          </w:p>
        </w:tc>
      </w:tr>
      <w:tr w:rsidR="004322AD" w:rsidTr="000F5CB5">
        <w:tc>
          <w:tcPr>
            <w:tcW w:w="1809" w:type="dxa"/>
          </w:tcPr>
          <w:p w:rsidR="004322AD" w:rsidRDefault="004322AD" w:rsidP="004322AD">
            <w:pPr>
              <w:jc w:val="left"/>
            </w:pPr>
            <w:r>
              <w:t>Change from baseline to visit V (continuous)</w:t>
            </w:r>
          </w:p>
        </w:tc>
        <w:tc>
          <w:tcPr>
            <w:tcW w:w="7054" w:type="dxa"/>
          </w:tcPr>
          <w:p w:rsidR="004322AD" w:rsidRDefault="004322AD" w:rsidP="000F5CB5">
            <w:r>
              <w:t>Change from baseline of variable X=X</w:t>
            </w:r>
            <w:r>
              <w:rPr>
                <w:vertAlign w:val="subscript"/>
              </w:rPr>
              <w:t>(Visit V</w:t>
            </w:r>
            <w:r w:rsidRPr="004322AD">
              <w:rPr>
                <w:vertAlign w:val="subscript"/>
              </w:rPr>
              <w:t>)</w:t>
            </w:r>
            <w:r>
              <w:t>-X</w:t>
            </w:r>
            <w:r>
              <w:rPr>
                <w:vertAlign w:val="subscript"/>
              </w:rPr>
              <w:t>(Baseline</w:t>
            </w:r>
            <w:r w:rsidRPr="004322AD">
              <w:rPr>
                <w:vertAlign w:val="subscript"/>
              </w:rPr>
              <w:t>)</w:t>
            </w:r>
          </w:p>
          <w:p w:rsidR="004322AD" w:rsidRDefault="004322AD" w:rsidP="00A329C4">
            <w:pPr>
              <w:widowControl w:val="0"/>
              <w:numPr>
                <w:ilvl w:val="0"/>
                <w:numId w:val="3"/>
              </w:numPr>
            </w:pPr>
            <w:r>
              <w:t>Negative values indicate a decrease in X</w:t>
            </w:r>
          </w:p>
          <w:p w:rsidR="004322AD" w:rsidRDefault="004322AD" w:rsidP="00A329C4">
            <w:pPr>
              <w:widowControl w:val="0"/>
              <w:numPr>
                <w:ilvl w:val="0"/>
                <w:numId w:val="3"/>
              </w:numPr>
            </w:pPr>
            <w:r>
              <w:t>Positive values indicate an increase in X</w:t>
            </w:r>
          </w:p>
          <w:p w:rsidR="004322AD" w:rsidRDefault="004322AD" w:rsidP="000F5CB5">
            <w:pPr>
              <w:ind w:left="360"/>
            </w:pPr>
          </w:p>
        </w:tc>
      </w:tr>
      <w:tr w:rsidR="004322AD" w:rsidTr="000F5CB5">
        <w:tc>
          <w:tcPr>
            <w:tcW w:w="1809" w:type="dxa"/>
          </w:tcPr>
          <w:p w:rsidR="004322AD" w:rsidRDefault="004322AD" w:rsidP="004322AD">
            <w:pPr>
              <w:jc w:val="left"/>
            </w:pPr>
            <w:r>
              <w:t>Percent change from baseline to visit V (continuous)</w:t>
            </w:r>
          </w:p>
        </w:tc>
        <w:tc>
          <w:tcPr>
            <w:tcW w:w="7054" w:type="dxa"/>
          </w:tcPr>
          <w:p w:rsidR="004322AD" w:rsidRDefault="004322AD" w:rsidP="000F5CB5">
            <w:r>
              <w:t>Percent change from baseline of variable X=100 *[X</w:t>
            </w:r>
            <w:r w:rsidRPr="004322AD">
              <w:rPr>
                <w:vertAlign w:val="subscript"/>
              </w:rPr>
              <w:t xml:space="preserve">(Visit </w:t>
            </w:r>
            <w:r>
              <w:rPr>
                <w:vertAlign w:val="subscript"/>
              </w:rPr>
              <w:t>V</w:t>
            </w:r>
            <w:r w:rsidRPr="004322AD">
              <w:rPr>
                <w:vertAlign w:val="subscript"/>
              </w:rPr>
              <w:t>)</w:t>
            </w:r>
            <w:r>
              <w:t>-X</w:t>
            </w:r>
            <w:r w:rsidRPr="004322AD">
              <w:rPr>
                <w:vertAlign w:val="subscript"/>
              </w:rPr>
              <w:t>(</w:t>
            </w:r>
            <w:r>
              <w:rPr>
                <w:vertAlign w:val="subscript"/>
              </w:rPr>
              <w:t>Baseline</w:t>
            </w:r>
            <w:r w:rsidRPr="004322AD">
              <w:rPr>
                <w:vertAlign w:val="subscript"/>
              </w:rPr>
              <w:t>)</w:t>
            </w:r>
            <w:r>
              <w:t>]/ X</w:t>
            </w:r>
            <w:r>
              <w:rPr>
                <w:vertAlign w:val="subscript"/>
              </w:rPr>
              <w:t>(Baseline</w:t>
            </w:r>
            <w:r w:rsidRPr="004322AD">
              <w:rPr>
                <w:vertAlign w:val="subscript"/>
              </w:rPr>
              <w:t>)</w:t>
            </w:r>
          </w:p>
          <w:p w:rsidR="004322AD" w:rsidRDefault="004322AD" w:rsidP="00A329C4">
            <w:pPr>
              <w:widowControl w:val="0"/>
              <w:numPr>
                <w:ilvl w:val="0"/>
                <w:numId w:val="3"/>
              </w:numPr>
            </w:pPr>
            <w:r>
              <w:t>Negative values indicate a decrease in X</w:t>
            </w:r>
          </w:p>
          <w:p w:rsidR="004322AD" w:rsidRDefault="004322AD" w:rsidP="00A329C4">
            <w:pPr>
              <w:widowControl w:val="0"/>
              <w:numPr>
                <w:ilvl w:val="0"/>
                <w:numId w:val="3"/>
              </w:numPr>
            </w:pPr>
            <w:r>
              <w:t>Positive values indicate an increase in X</w:t>
            </w:r>
          </w:p>
          <w:p w:rsidR="004322AD" w:rsidRDefault="004322AD" w:rsidP="000F5CB5">
            <w:pPr>
              <w:ind w:left="360"/>
            </w:pPr>
          </w:p>
        </w:tc>
      </w:tr>
      <w:tr w:rsidR="00DE1620" w:rsidTr="000F5CB5">
        <w:tc>
          <w:tcPr>
            <w:tcW w:w="1809" w:type="dxa"/>
          </w:tcPr>
          <w:p w:rsidR="00DE1620" w:rsidRDefault="00BA7C22" w:rsidP="004322AD">
            <w:pPr>
              <w:jc w:val="left"/>
            </w:pPr>
            <w:r>
              <w:t>First line treatment chimiotherapy</w:t>
            </w:r>
          </w:p>
        </w:tc>
        <w:tc>
          <w:tcPr>
            <w:tcW w:w="7054" w:type="dxa"/>
          </w:tcPr>
          <w:p w:rsidR="00DE1620" w:rsidRDefault="00BA7C22" w:rsidP="000F5CB5">
            <w:r>
              <w:t xml:space="preserve">CDDP or Cisplatin/Docetaxel or </w:t>
            </w:r>
            <w:r w:rsidR="00EE46E2">
              <w:t>Paclitaxel</w:t>
            </w:r>
          </w:p>
          <w:p w:rsidR="00BA7C22" w:rsidRDefault="00BA7C22" w:rsidP="000F5CB5">
            <w:r>
              <w:t>CDDP/Gemcitabine</w:t>
            </w:r>
          </w:p>
          <w:p w:rsidR="00BA7C22" w:rsidRDefault="00BA7C22" w:rsidP="000F5CB5">
            <w:r>
              <w:t>CDDP/Pemetrexed</w:t>
            </w:r>
          </w:p>
          <w:p w:rsidR="00BA7C22" w:rsidRDefault="00BA7C22" w:rsidP="000F5CB5">
            <w:r>
              <w:t xml:space="preserve">CDDP/Vinorelbine </w:t>
            </w:r>
            <w:r w:rsidR="00EE46E2">
              <w:t>(</w:t>
            </w:r>
            <w:r>
              <w:t>Navelbine</w:t>
            </w:r>
            <w:r w:rsidR="00EE46E2">
              <w:t>)</w:t>
            </w:r>
          </w:p>
          <w:p w:rsidR="00BA7C22" w:rsidRDefault="00BA7C22" w:rsidP="000F5CB5">
            <w:r>
              <w:t>CDDP/Etoposide</w:t>
            </w:r>
          </w:p>
          <w:p w:rsidR="00BA7C22" w:rsidRPr="00385110" w:rsidRDefault="00BA7C22" w:rsidP="000F5CB5">
            <w:pPr>
              <w:rPr>
                <w:lang w:val="fr-FR"/>
              </w:rPr>
            </w:pPr>
            <w:r w:rsidRPr="00385110">
              <w:rPr>
                <w:lang w:val="fr-FR"/>
              </w:rPr>
              <w:t xml:space="preserve">Carboplatine/Docetaxel or </w:t>
            </w:r>
            <w:r w:rsidR="00EE46E2" w:rsidRPr="00385110">
              <w:rPr>
                <w:lang w:val="fr-FR"/>
              </w:rPr>
              <w:t>Paclitaxel</w:t>
            </w:r>
          </w:p>
          <w:p w:rsidR="00BA7C22" w:rsidRPr="00385110" w:rsidRDefault="00BA7C22" w:rsidP="000F5CB5">
            <w:pPr>
              <w:rPr>
                <w:lang w:val="fr-FR"/>
              </w:rPr>
            </w:pPr>
            <w:r w:rsidRPr="00385110">
              <w:rPr>
                <w:lang w:val="fr-FR"/>
              </w:rPr>
              <w:t>Carboplatine/Gemcitabine</w:t>
            </w:r>
          </w:p>
          <w:p w:rsidR="00BA7C22" w:rsidRDefault="00BA7C22" w:rsidP="00BA7C22">
            <w:r>
              <w:t>Carboplatine /Pemetrexed</w:t>
            </w:r>
          </w:p>
          <w:p w:rsidR="00BA7C22" w:rsidRDefault="00BA7C22" w:rsidP="000F5CB5">
            <w:r>
              <w:t xml:space="preserve">Carboplatine/ Vinorelbine </w:t>
            </w:r>
            <w:r w:rsidR="00EE46E2">
              <w:t>(</w:t>
            </w:r>
            <w:r>
              <w:t>Navelbine</w:t>
            </w:r>
            <w:r w:rsidR="00EE46E2">
              <w:t>)</w:t>
            </w:r>
          </w:p>
          <w:p w:rsidR="00BA7C22" w:rsidRDefault="00BA7C22" w:rsidP="000F5CB5"/>
        </w:tc>
      </w:tr>
    </w:tbl>
    <w:p w:rsidR="004322AD" w:rsidRPr="008D610C" w:rsidRDefault="004322AD" w:rsidP="004322AD">
      <w:pPr>
        <w:shd w:val="pct10" w:color="auto" w:fill="auto"/>
      </w:pPr>
    </w:p>
    <w:p w:rsidR="00AF3917" w:rsidRPr="008D610C" w:rsidRDefault="00AF3917" w:rsidP="00045DED">
      <w:pPr>
        <w:pStyle w:val="1"/>
        <w:ind w:left="431" w:hanging="431"/>
      </w:pPr>
      <w:bookmarkStart w:id="122" w:name="_Ref461617236"/>
      <w:bookmarkStart w:id="123" w:name="_Toc461617885"/>
      <w:r w:rsidRPr="008D610C">
        <w:t>R</w:t>
      </w:r>
      <w:r w:rsidR="00B93ABF" w:rsidRPr="008D610C">
        <w:t>eferences</w:t>
      </w:r>
      <w:bookmarkEnd w:id="122"/>
      <w:bookmarkEnd w:id="123"/>
    </w:p>
    <w:p w:rsidR="00500406" w:rsidRDefault="00500406" w:rsidP="00A460EE">
      <w:pPr>
        <w:rPr>
          <w:lang w:val="en-US"/>
        </w:rPr>
      </w:pPr>
      <w:r w:rsidRPr="00A460EE">
        <w:rPr>
          <w:b/>
          <w:lang w:val="en-US"/>
        </w:rPr>
        <w:t>Oken MM, Creech RH, Tormey DC, et al</w:t>
      </w:r>
      <w:r w:rsidRPr="00500406">
        <w:rPr>
          <w:lang w:val="en-US"/>
        </w:rPr>
        <w:t xml:space="preserve">. (1982) Toxicity and Response Criteria of the Eastern Cooperative Oncology Group. </w:t>
      </w:r>
      <w:r w:rsidRPr="00500406">
        <w:rPr>
          <w:i/>
          <w:iCs/>
          <w:lang w:val="en-US"/>
        </w:rPr>
        <w:t>Am J Clin Oncol</w:t>
      </w:r>
      <w:r w:rsidRPr="00500406">
        <w:rPr>
          <w:lang w:val="en-US"/>
        </w:rPr>
        <w:t xml:space="preserve"> 61, 7196-7203.</w:t>
      </w:r>
    </w:p>
    <w:p w:rsidR="00A460EE" w:rsidRDefault="00A460EE" w:rsidP="00A460EE">
      <w:pPr>
        <w:rPr>
          <w:lang w:val="en-US"/>
        </w:rPr>
      </w:pPr>
    </w:p>
    <w:p w:rsidR="006A5A7F" w:rsidRDefault="006A5A7F" w:rsidP="006A5A7F">
      <w:pPr>
        <w:rPr>
          <w:rFonts w:ascii="Garamond" w:hAnsi="Garamond" w:cs="Garamond"/>
          <w:szCs w:val="22"/>
          <w:lang w:val="en-US"/>
        </w:rPr>
      </w:pPr>
      <w:r w:rsidRPr="002D04D5">
        <w:rPr>
          <w:rFonts w:ascii="Garamond" w:hAnsi="Garamond" w:cs="Garamond"/>
          <w:b/>
          <w:bCs/>
          <w:szCs w:val="22"/>
          <w:lang w:val="en-US"/>
        </w:rPr>
        <w:t>Fidias P.M., S.R. Dakhil, A.P. Lyss, D.M. Loesch, D.M. Waterhouse, J.L. Brommund, R. Chen et al.</w:t>
      </w:r>
      <w:r w:rsidRPr="002D04D5">
        <w:rPr>
          <w:rFonts w:ascii="Helvetica" w:hAnsi="Helvetica" w:cs="Helvetica"/>
          <w:lang w:val="en-US" w:eastAsia="fr-FR"/>
        </w:rPr>
        <w:t xml:space="preserve"> </w:t>
      </w:r>
      <w:r w:rsidRPr="002D04D5">
        <w:rPr>
          <w:rFonts w:ascii="Garamond" w:hAnsi="Garamond" w:cs="Helvetica"/>
          <w:szCs w:val="22"/>
          <w:lang w:val="en-US" w:eastAsia="fr-FR"/>
        </w:rPr>
        <w:t>(2009)</w:t>
      </w:r>
      <w:r>
        <w:rPr>
          <w:rFonts w:ascii="Helvetica" w:hAnsi="Helvetica" w:cs="Helvetica"/>
          <w:lang w:val="en-US" w:eastAsia="fr-FR"/>
        </w:rPr>
        <w:t xml:space="preserve"> </w:t>
      </w:r>
      <w:r w:rsidRPr="00A854A8">
        <w:rPr>
          <w:rFonts w:ascii="Garamond" w:hAnsi="Garamond" w:cs="Garamond"/>
          <w:szCs w:val="22"/>
          <w:lang w:val="en-US"/>
        </w:rPr>
        <w:t xml:space="preserve">Phase III study of immediate compared with delayed docetaxel after front-line therapy with gemcitabine plus carboplatin in advanced non-small-cell lund cancer. </w:t>
      </w:r>
      <w:r w:rsidRPr="00546BE5">
        <w:rPr>
          <w:rFonts w:ascii="Garamond" w:hAnsi="Garamond" w:cs="Garamond"/>
          <w:i/>
          <w:iCs/>
          <w:szCs w:val="22"/>
          <w:lang w:val="en-US"/>
        </w:rPr>
        <w:t>J. Clin. Oncol.</w:t>
      </w:r>
      <w:r w:rsidRPr="00546BE5">
        <w:rPr>
          <w:rFonts w:ascii="Garamond" w:hAnsi="Garamond" w:cs="Garamond"/>
          <w:szCs w:val="22"/>
          <w:lang w:val="en-US"/>
        </w:rPr>
        <w:t xml:space="preserve">, </w:t>
      </w:r>
      <w:r w:rsidRPr="00546BE5">
        <w:rPr>
          <w:rFonts w:ascii="Garamond" w:hAnsi="Garamond" w:cs="Garamond"/>
          <w:b/>
          <w:szCs w:val="22"/>
          <w:lang w:val="en-US"/>
        </w:rPr>
        <w:t>27</w:t>
      </w:r>
      <w:r w:rsidRPr="00546BE5">
        <w:rPr>
          <w:rFonts w:ascii="Garamond" w:hAnsi="Garamond" w:cs="Garamond"/>
          <w:szCs w:val="22"/>
          <w:lang w:val="en-US"/>
        </w:rPr>
        <w:t>: 591-98</w:t>
      </w:r>
    </w:p>
    <w:p w:rsidR="00A460EE" w:rsidRDefault="00A460EE" w:rsidP="006A5A7F">
      <w:pPr>
        <w:rPr>
          <w:rFonts w:ascii="Garamond" w:hAnsi="Garamond" w:cs="Garamond"/>
          <w:szCs w:val="22"/>
          <w:lang w:val="en-US"/>
        </w:rPr>
      </w:pPr>
    </w:p>
    <w:p w:rsidR="00A460EE" w:rsidRDefault="00A460EE" w:rsidP="006A5A7F">
      <w:pPr>
        <w:rPr>
          <w:rFonts w:ascii="Garamond" w:hAnsi="Garamond" w:cs="Garamond"/>
          <w:szCs w:val="22"/>
          <w:lang w:val="en-US"/>
        </w:rPr>
      </w:pPr>
      <w:r w:rsidRPr="002D04D5">
        <w:rPr>
          <w:rFonts w:ascii="Garamond" w:hAnsi="Garamond" w:cs="Garamond"/>
          <w:b/>
          <w:szCs w:val="22"/>
          <w:lang w:val="en-US"/>
        </w:rPr>
        <w:t>Cappuzzo F., T. Ciuleanu, L. Stelmackh, S. Cirenas, A. Szczesna, E. Juhacz, E. Esteban, O. Molinier, W. Brugger, I. Melezinek, GF. Klingelschmitt, B. Klunghammer, G. Giaccone</w:t>
      </w:r>
      <w:r>
        <w:rPr>
          <w:rFonts w:ascii="Garamond" w:hAnsi="Garamond" w:cs="Garamond"/>
          <w:szCs w:val="22"/>
          <w:lang w:val="en-US"/>
        </w:rPr>
        <w:t xml:space="preserve"> (2010). Erlotinib as maintenance treatment in advanced non small cell lung cancer: a multicenter, randomized, placebo controlled phase 3 study</w:t>
      </w:r>
      <w:r w:rsidRPr="002D04D5">
        <w:rPr>
          <w:rFonts w:ascii="Garamond" w:hAnsi="Garamond" w:cs="Garamond"/>
          <w:i/>
          <w:szCs w:val="22"/>
          <w:lang w:val="en-US"/>
        </w:rPr>
        <w:t>. Lancet Oncol</w:t>
      </w:r>
      <w:r>
        <w:rPr>
          <w:rFonts w:ascii="Garamond" w:hAnsi="Garamond" w:cs="Garamond"/>
          <w:szCs w:val="22"/>
          <w:lang w:val="en-US"/>
        </w:rPr>
        <w:t xml:space="preserve">., </w:t>
      </w:r>
      <w:r w:rsidRPr="002D04D5">
        <w:rPr>
          <w:rFonts w:ascii="Garamond" w:hAnsi="Garamond" w:cs="Garamond"/>
          <w:b/>
          <w:szCs w:val="22"/>
          <w:lang w:val="en-US"/>
        </w:rPr>
        <w:t>11</w:t>
      </w:r>
      <w:r>
        <w:rPr>
          <w:rFonts w:ascii="Garamond" w:hAnsi="Garamond" w:cs="Garamond"/>
          <w:szCs w:val="22"/>
          <w:lang w:val="en-US"/>
        </w:rPr>
        <w:t>, 521-29</w:t>
      </w:r>
    </w:p>
    <w:p w:rsidR="00A460EE" w:rsidRDefault="00A460EE" w:rsidP="006A5A7F">
      <w:pPr>
        <w:rPr>
          <w:rFonts w:ascii="Garamond" w:hAnsi="Garamond" w:cs="Garamond"/>
          <w:szCs w:val="22"/>
          <w:lang w:val="en-US"/>
        </w:rPr>
      </w:pPr>
    </w:p>
    <w:p w:rsidR="00A460EE" w:rsidRPr="006A5A7F" w:rsidRDefault="00A460EE" w:rsidP="006A5A7F">
      <w:pPr>
        <w:rPr>
          <w:lang w:val="en-US"/>
        </w:rPr>
      </w:pPr>
      <w:r w:rsidRPr="00A854A8">
        <w:rPr>
          <w:rFonts w:ascii="Garamond" w:hAnsi="Garamond" w:cs="Garamond"/>
          <w:b/>
          <w:bCs/>
          <w:szCs w:val="22"/>
          <w:lang w:val="en-US"/>
        </w:rPr>
        <w:t>Ciuleanu T., T. Brodowicz, C. Zielinski, J.H. Kim, M. Kirzakowski et al.</w:t>
      </w:r>
      <w:r w:rsidRPr="00A854A8">
        <w:rPr>
          <w:rFonts w:ascii="Helvetica" w:hAnsi="Helvetica" w:cs="Helvetica"/>
          <w:lang w:val="en-US" w:eastAsia="fr-FR"/>
        </w:rPr>
        <w:t xml:space="preserve"> </w:t>
      </w:r>
      <w:r w:rsidRPr="00A854A8">
        <w:rPr>
          <w:rFonts w:ascii="Garamond" w:hAnsi="Garamond" w:cs="Garamond"/>
          <w:szCs w:val="22"/>
          <w:lang w:val="en-US"/>
        </w:rPr>
        <w:t xml:space="preserve">Maintenance pemetrexed plus best supportive care </w:t>
      </w:r>
      <w:r w:rsidRPr="0032210A">
        <w:rPr>
          <w:rFonts w:ascii="Garamond" w:hAnsi="Garamond" w:cs="Garamond"/>
          <w:i/>
          <w:szCs w:val="22"/>
          <w:lang w:val="en-US"/>
        </w:rPr>
        <w:t>vs</w:t>
      </w:r>
      <w:r w:rsidRPr="00A854A8">
        <w:rPr>
          <w:rFonts w:ascii="Garamond" w:hAnsi="Garamond" w:cs="Garamond"/>
          <w:szCs w:val="22"/>
          <w:lang w:val="en-US"/>
        </w:rPr>
        <w:t xml:space="preserve"> placebo plus best supportive care for non-small-cell lung cancer: a randomized, double-blind, phase 3 study. </w:t>
      </w:r>
      <w:r w:rsidRPr="00A43454">
        <w:rPr>
          <w:rFonts w:ascii="Garamond" w:hAnsi="Garamond" w:cs="Garamond"/>
          <w:szCs w:val="22"/>
          <w:lang w:val="en-US"/>
        </w:rPr>
        <w:t>Lancet, 2009, 374: 1432-40</w:t>
      </w:r>
    </w:p>
    <w:p w:rsidR="00500406" w:rsidRDefault="00191141" w:rsidP="00500406">
      <w:pPr>
        <w:pStyle w:val="1"/>
        <w:numPr>
          <w:ilvl w:val="0"/>
          <w:numId w:val="0"/>
        </w:numPr>
        <w:ind w:left="432" w:hanging="432"/>
        <w:rPr>
          <w:rStyle w:val="Instruction"/>
          <w:bCs w:val="0"/>
          <w:i w:val="0"/>
          <w:color w:val="auto"/>
          <w:kern w:val="0"/>
          <w:szCs w:val="24"/>
        </w:rPr>
      </w:pPr>
      <w:r w:rsidRPr="00500406">
        <w:rPr>
          <w:rStyle w:val="Instruction"/>
          <w:bCs w:val="0"/>
          <w:i w:val="0"/>
          <w:color w:val="auto"/>
          <w:kern w:val="0"/>
          <w:szCs w:val="24"/>
        </w:rPr>
        <w:br w:type="column"/>
      </w:r>
    </w:p>
    <w:p w:rsidR="000423B4" w:rsidRDefault="00191141" w:rsidP="006A5A7F">
      <w:pPr>
        <w:pStyle w:val="1"/>
      </w:pPr>
      <w:bookmarkStart w:id="124" w:name="_Ref461617502"/>
      <w:bookmarkStart w:id="125" w:name="_Ref461617510"/>
      <w:bookmarkStart w:id="126" w:name="_Ref461617534"/>
      <w:bookmarkStart w:id="127" w:name="_Ref461617543"/>
      <w:bookmarkStart w:id="128" w:name="_Toc461617886"/>
      <w:r>
        <w:t>Appendices</w:t>
      </w:r>
      <w:bookmarkEnd w:id="124"/>
      <w:bookmarkEnd w:id="125"/>
      <w:bookmarkEnd w:id="126"/>
      <w:bookmarkEnd w:id="127"/>
      <w:bookmarkEnd w:id="128"/>
    </w:p>
    <w:p w:rsidR="005D6ED1" w:rsidRDefault="005D6ED1" w:rsidP="005D6ED1">
      <w:pPr>
        <w:pStyle w:val="2"/>
      </w:pPr>
      <w:bookmarkStart w:id="129" w:name="_Toc439769823"/>
      <w:bookmarkStart w:id="130" w:name="_Toc461617887"/>
      <w:r>
        <w:t>Appendix 1: Statistical Tables List</w:t>
      </w:r>
      <w:bookmarkEnd w:id="129"/>
      <w:bookmarkEnd w:id="130"/>
    </w:p>
    <w:tbl>
      <w:tblPr>
        <w:tblW w:w="0" w:type="auto"/>
        <w:tblInd w:w="-5" w:type="dxa"/>
        <w:tblCellMar>
          <w:left w:w="70" w:type="dxa"/>
          <w:right w:w="70" w:type="dxa"/>
        </w:tblCellMar>
        <w:tblLook w:val="04A0"/>
      </w:tblPr>
      <w:tblGrid>
        <w:gridCol w:w="340"/>
        <w:gridCol w:w="9273"/>
      </w:tblGrid>
      <w:tr w:rsidR="005D6ED1" w:rsidRPr="006818BE" w:rsidTr="005D6ED1">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bottom"/>
            <w:hideMark/>
          </w:tcPr>
          <w:p w:rsidR="005D6ED1" w:rsidRPr="006818BE" w:rsidRDefault="005D6ED1" w:rsidP="005D6ED1">
            <w:pPr>
              <w:jc w:val="left"/>
              <w:rPr>
                <w:b/>
                <w:bCs/>
                <w:sz w:val="20"/>
                <w:szCs w:val="20"/>
                <w:lang w:val="fr-FR" w:eastAsia="fr-FR"/>
              </w:rPr>
            </w:pPr>
            <w:r w:rsidRPr="006818BE">
              <w:rPr>
                <w:b/>
                <w:bCs/>
                <w:sz w:val="20"/>
                <w:szCs w:val="20"/>
                <w:lang w:val="fr-FR" w:eastAsia="fr-FR"/>
              </w:rPr>
              <w:t>Demographics and Baseline</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Demographics (11.2)</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Disposition of patients (10.1)</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Datasets analyzed (11.1)</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Reasons for study treatment discontinuations</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5</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Major protocol deviations (10.2)</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6</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Minor protocol deviations (10.2)</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7</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Disease characteristics</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8</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Cancer history</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9</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Treatment Cancer history</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10</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Medical history</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11</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Hematology at baseline</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12</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Clinical chemistry at baseline</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13</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Vital Signs at baseline</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14</w:t>
            </w:r>
          </w:p>
        </w:tc>
        <w:tc>
          <w:tcPr>
            <w:tcW w:w="0" w:type="auto"/>
            <w:tcBorders>
              <w:top w:val="nil"/>
              <w:left w:val="nil"/>
              <w:bottom w:val="single" w:sz="4" w:space="0" w:color="auto"/>
              <w:right w:val="single" w:sz="4" w:space="0" w:color="auto"/>
            </w:tcBorders>
            <w:shd w:val="clear" w:color="auto" w:fill="auto"/>
            <w:vAlign w:val="bottom"/>
            <w:hideMark/>
          </w:tcPr>
          <w:p w:rsidR="005D6ED1" w:rsidRPr="006818BE" w:rsidRDefault="005D6ED1" w:rsidP="005D6ED1">
            <w:pPr>
              <w:jc w:val="left"/>
              <w:rPr>
                <w:sz w:val="20"/>
                <w:szCs w:val="20"/>
                <w:lang w:val="fr-FR" w:eastAsia="fr-FR"/>
              </w:rPr>
            </w:pPr>
            <w:r w:rsidRPr="006818BE">
              <w:rPr>
                <w:sz w:val="20"/>
                <w:szCs w:val="20"/>
                <w:lang w:val="fr-FR" w:eastAsia="fr-FR"/>
              </w:rPr>
              <w:t>Physical examination at baseline</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15</w:t>
            </w:r>
          </w:p>
        </w:tc>
        <w:tc>
          <w:tcPr>
            <w:tcW w:w="0" w:type="auto"/>
            <w:tcBorders>
              <w:top w:val="nil"/>
              <w:left w:val="nil"/>
              <w:bottom w:val="single" w:sz="4" w:space="0" w:color="auto"/>
              <w:right w:val="single" w:sz="4" w:space="0" w:color="auto"/>
            </w:tcBorders>
            <w:shd w:val="clear" w:color="auto" w:fill="auto"/>
            <w:vAlign w:val="bottom"/>
            <w:hideMark/>
          </w:tcPr>
          <w:p w:rsidR="005D6ED1" w:rsidRPr="006818BE" w:rsidRDefault="005D6ED1" w:rsidP="005D6ED1">
            <w:pPr>
              <w:jc w:val="left"/>
              <w:rPr>
                <w:sz w:val="20"/>
                <w:szCs w:val="20"/>
                <w:lang w:val="fr-FR" w:eastAsia="fr-FR"/>
              </w:rPr>
            </w:pPr>
            <w:r w:rsidRPr="006818BE">
              <w:rPr>
                <w:sz w:val="20"/>
                <w:szCs w:val="20"/>
                <w:lang w:val="fr-FR" w:eastAsia="fr-FR"/>
              </w:rPr>
              <w:t>ECG</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16</w:t>
            </w:r>
          </w:p>
        </w:tc>
        <w:tc>
          <w:tcPr>
            <w:tcW w:w="0" w:type="auto"/>
            <w:tcBorders>
              <w:top w:val="nil"/>
              <w:left w:val="nil"/>
              <w:bottom w:val="single" w:sz="4" w:space="0" w:color="auto"/>
              <w:right w:val="single" w:sz="4" w:space="0" w:color="auto"/>
            </w:tcBorders>
            <w:shd w:val="clear" w:color="auto" w:fill="auto"/>
            <w:vAlign w:val="bottom"/>
            <w:hideMark/>
          </w:tcPr>
          <w:p w:rsidR="005D6ED1" w:rsidRPr="006818BE" w:rsidRDefault="005D6ED1" w:rsidP="005D6ED1">
            <w:pPr>
              <w:jc w:val="left"/>
              <w:rPr>
                <w:sz w:val="20"/>
                <w:szCs w:val="20"/>
                <w:lang w:val="fr-FR" w:eastAsia="fr-FR"/>
              </w:rPr>
            </w:pPr>
            <w:r w:rsidRPr="006818BE">
              <w:rPr>
                <w:sz w:val="20"/>
                <w:szCs w:val="20"/>
                <w:lang w:val="fr-FR" w:eastAsia="fr-FR"/>
              </w:rPr>
              <w:t>ECOG performance status</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17</w:t>
            </w:r>
          </w:p>
        </w:tc>
        <w:tc>
          <w:tcPr>
            <w:tcW w:w="0" w:type="auto"/>
            <w:tcBorders>
              <w:top w:val="nil"/>
              <w:left w:val="nil"/>
              <w:bottom w:val="single" w:sz="4" w:space="0" w:color="auto"/>
              <w:right w:val="single" w:sz="4" w:space="0" w:color="auto"/>
            </w:tcBorders>
            <w:shd w:val="clear" w:color="auto" w:fill="auto"/>
            <w:vAlign w:val="bottom"/>
            <w:hideMark/>
          </w:tcPr>
          <w:p w:rsidR="005D6ED1" w:rsidRPr="006818BE" w:rsidRDefault="005D6ED1" w:rsidP="005D6ED1">
            <w:pPr>
              <w:jc w:val="left"/>
              <w:rPr>
                <w:sz w:val="20"/>
                <w:szCs w:val="20"/>
                <w:lang w:val="fr-FR" w:eastAsia="fr-FR"/>
              </w:rPr>
            </w:pPr>
            <w:r w:rsidRPr="006818BE">
              <w:rPr>
                <w:sz w:val="20"/>
                <w:szCs w:val="20"/>
                <w:lang w:val="fr-FR" w:eastAsia="fr-FR"/>
              </w:rPr>
              <w:t>Prior medication</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18</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fr-FR" w:eastAsia="fr-FR"/>
              </w:rPr>
            </w:pPr>
            <w:r w:rsidRPr="006818BE">
              <w:rPr>
                <w:sz w:val="20"/>
                <w:szCs w:val="20"/>
                <w:lang w:val="fr-FR" w:eastAsia="fr-FR"/>
              </w:rPr>
              <w:t>Treatment compliance</w:t>
            </w:r>
          </w:p>
        </w:tc>
      </w:tr>
      <w:tr w:rsidR="005D6ED1" w:rsidRPr="006818BE" w:rsidTr="005D6ED1">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bottom"/>
            <w:hideMark/>
          </w:tcPr>
          <w:p w:rsidR="005D6ED1" w:rsidRPr="006818BE" w:rsidRDefault="005D6ED1" w:rsidP="005D6ED1">
            <w:pPr>
              <w:jc w:val="left"/>
              <w:rPr>
                <w:b/>
                <w:bCs/>
                <w:sz w:val="20"/>
                <w:szCs w:val="20"/>
                <w:lang w:val="fr-FR" w:eastAsia="fr-FR"/>
              </w:rPr>
            </w:pPr>
            <w:r w:rsidRPr="006818BE">
              <w:rPr>
                <w:b/>
                <w:bCs/>
                <w:sz w:val="20"/>
                <w:szCs w:val="20"/>
                <w:lang w:val="fr-FR" w:eastAsia="fr-FR"/>
              </w:rPr>
              <w:t>Efficacy Results</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19</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Primary efficacy analysis: Overall Survival</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20</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Sensitivity efficacy analysis: Overall Survival</w:t>
            </w:r>
          </w:p>
        </w:tc>
      </w:tr>
      <w:tr w:rsidR="005D6ED1" w:rsidRPr="006818BE" w:rsidTr="005D6ED1">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21</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Sensitivity efficacy analysis: Overall survival adjusted for the stratification factors and prognostic factors</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22</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Secondary efficacy analysis: Twelve months survival</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23</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Secondary efficacy analysis: Time to treatment failure</w:t>
            </w:r>
          </w:p>
        </w:tc>
      </w:tr>
      <w:tr w:rsidR="005D6ED1" w:rsidRPr="006818BE" w:rsidTr="005D6ED1">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24</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Secondary efficacy analysis: Time to treatment failure adjusted for the stratification factors and prognostic factors</w:t>
            </w:r>
          </w:p>
        </w:tc>
      </w:tr>
      <w:tr w:rsidR="005D6ED1" w:rsidRPr="006818BE" w:rsidTr="005D6ED1">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25</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Exploratory efficacy analysis: Disease Control of Subsequent Second Line Treatments - Comparison of disease control rate between treatment groups by Pearson's chi-squared test</w:t>
            </w:r>
          </w:p>
        </w:tc>
      </w:tr>
      <w:tr w:rsidR="005D6ED1" w:rsidRPr="006818BE" w:rsidTr="005D6ED1">
        <w:trPr>
          <w:trHeight w:val="12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lastRenderedPageBreak/>
              <w:t>26</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Exploratory efficacy analysis: Vaccine Specific Immune Response - Comparison of overall survival with vaccine induced immune response detected after 2nd injection of Vx-001 vs. Patients randomised to Vx-001 who did not develop vaccine specific immune response after 2nd injections of Vx-001.</w:t>
            </w:r>
          </w:p>
        </w:tc>
      </w:tr>
      <w:tr w:rsidR="005D6ED1" w:rsidRPr="006818BE" w:rsidTr="005D6ED1">
        <w:trPr>
          <w:trHeight w:val="12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Exploratory efficacy analysis: Vaccine Specific Immune Response - Comparison of overall survival with vaccine induced immune response detected after 6th injection of Vx-001 vs. Patients randomised to Vx-001 who did not develop vaccine specific immune response after 6th injections of Vx-001.</w:t>
            </w:r>
          </w:p>
        </w:tc>
      </w:tr>
      <w:tr w:rsidR="005D6ED1" w:rsidRPr="006818BE" w:rsidTr="005D6ED1">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28</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Exploratory efficacy analysis: Vaccine Specific Immune Response - Comparison of overall survival in Vx-001-treated vs. Placebo treated patients who had a vaccine specific immune response before Vx-001 or placebo injection</w:t>
            </w:r>
          </w:p>
        </w:tc>
      </w:tr>
      <w:tr w:rsidR="005D6ED1" w:rsidRPr="006818BE" w:rsidTr="005D6ED1">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29</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Exploratory efficacy analysis: Vaccine Specific Immune Response- Comparison of overall survival in Vx-001-treated vs. Placebo-treated patients who had high levels of TERT expression or low levels of TERT expression in their primary tumors</w:t>
            </w:r>
          </w:p>
        </w:tc>
      </w:tr>
      <w:tr w:rsidR="005D6ED1" w:rsidRPr="006818BE" w:rsidTr="005D6ED1">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30</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sz w:val="20"/>
                <w:szCs w:val="20"/>
                <w:lang w:val="en-US" w:eastAsia="fr-FR"/>
              </w:rPr>
            </w:pPr>
            <w:r w:rsidRPr="006818BE">
              <w:rPr>
                <w:sz w:val="20"/>
                <w:szCs w:val="20"/>
                <w:lang w:val="en-US" w:eastAsia="fr-FR"/>
              </w:rPr>
              <w:t>Other exploratory efficacy analys</w:t>
            </w:r>
            <w:r w:rsidR="00033694">
              <w:rPr>
                <w:sz w:val="20"/>
                <w:szCs w:val="20"/>
                <w:lang w:val="en-US" w:eastAsia="fr-FR"/>
              </w:rPr>
              <w:t>e</w:t>
            </w:r>
            <w:r w:rsidRPr="006818BE">
              <w:rPr>
                <w:sz w:val="20"/>
                <w:szCs w:val="20"/>
                <w:lang w:val="en-US" w:eastAsia="fr-FR"/>
              </w:rPr>
              <w:t>s: More general variants of Cox proportional hazards models will be applied to evaluate the influence of different prognostic factors, stratification factors, baseline characteristics on the treatment effect to time-to-death</w:t>
            </w:r>
          </w:p>
        </w:tc>
      </w:tr>
      <w:tr w:rsidR="005D6ED1" w:rsidRPr="006818BE" w:rsidTr="005D6ED1">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bottom"/>
            <w:hideMark/>
          </w:tcPr>
          <w:p w:rsidR="005D6ED1" w:rsidRPr="006818BE" w:rsidRDefault="005D6ED1" w:rsidP="005D6ED1">
            <w:pPr>
              <w:jc w:val="left"/>
              <w:rPr>
                <w:b/>
                <w:bCs/>
                <w:sz w:val="20"/>
                <w:szCs w:val="20"/>
                <w:lang w:val="fr-FR" w:eastAsia="fr-FR"/>
              </w:rPr>
            </w:pPr>
            <w:r w:rsidRPr="006818BE">
              <w:rPr>
                <w:b/>
                <w:bCs/>
                <w:sz w:val="20"/>
                <w:szCs w:val="20"/>
                <w:lang w:val="fr-FR" w:eastAsia="fr-FR"/>
              </w:rPr>
              <w:t>Safety Results</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31</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Extent of exposure (12.1)</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32</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Summary of Adverse Events</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33</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All TEAEs by SOC and PT</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34</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All not related TEAEs  by SOC and PT</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35</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All related TEAEs  by SOC and PT</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36</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All TEAEs by SOC, PT and severity grade</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37</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All TESAEs by SOC and PT</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38</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All not related TESAEs  by SOC and PT</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39</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All related TESAEs  by SOC and PT</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40</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All TESAEs by SOC, PT and severity grade</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41</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Laboratory Tests - Hematology - Quantitative</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42</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Laboratory Tests - Hematology - Qualitative</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43</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Laboratory Tests - Hematology - Shift tables</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44</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Laboratory Tests - Chemistry - Quantitative</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45</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Laboratory Tests - Chemistry - Qualitative</w:t>
            </w:r>
          </w:p>
        </w:tc>
      </w:tr>
      <w:tr w:rsidR="005D6ED1"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46</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en-US" w:eastAsia="fr-FR"/>
              </w:rPr>
            </w:pPr>
            <w:r w:rsidRPr="006818BE">
              <w:rPr>
                <w:color w:val="000000"/>
                <w:sz w:val="20"/>
                <w:szCs w:val="20"/>
                <w:lang w:val="en-US" w:eastAsia="fr-FR"/>
              </w:rPr>
              <w:t>Laboratory Tests - Chemistry - Shift tables</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47</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Vital signs</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48</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Physical examination</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49</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Injection site inspection</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50</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12-lead ECG</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51</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ECOG performance status</w:t>
            </w:r>
          </w:p>
        </w:tc>
      </w:tr>
      <w:tr w:rsidR="006818BE" w:rsidRPr="006818BE" w:rsidTr="005D6ED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6ED1" w:rsidRPr="006818BE" w:rsidRDefault="005D6ED1" w:rsidP="005D6ED1">
            <w:pPr>
              <w:jc w:val="center"/>
              <w:rPr>
                <w:color w:val="000000"/>
                <w:sz w:val="20"/>
                <w:szCs w:val="20"/>
                <w:lang w:val="fr-FR" w:eastAsia="fr-FR"/>
              </w:rPr>
            </w:pPr>
            <w:r w:rsidRPr="006818BE">
              <w:rPr>
                <w:color w:val="000000"/>
                <w:sz w:val="20"/>
                <w:szCs w:val="20"/>
                <w:lang w:val="fr-FR" w:eastAsia="fr-FR"/>
              </w:rPr>
              <w:t>52</w:t>
            </w:r>
          </w:p>
        </w:tc>
        <w:tc>
          <w:tcPr>
            <w:tcW w:w="0" w:type="auto"/>
            <w:tcBorders>
              <w:top w:val="nil"/>
              <w:left w:val="nil"/>
              <w:bottom w:val="single" w:sz="4" w:space="0" w:color="auto"/>
              <w:right w:val="single" w:sz="4" w:space="0" w:color="auto"/>
            </w:tcBorders>
            <w:shd w:val="clear" w:color="auto" w:fill="auto"/>
            <w:vAlign w:val="center"/>
            <w:hideMark/>
          </w:tcPr>
          <w:p w:rsidR="005D6ED1" w:rsidRPr="006818BE" w:rsidRDefault="005D6ED1" w:rsidP="005D6ED1">
            <w:pPr>
              <w:jc w:val="left"/>
              <w:rPr>
                <w:color w:val="000000"/>
                <w:sz w:val="20"/>
                <w:szCs w:val="20"/>
                <w:lang w:val="fr-FR" w:eastAsia="fr-FR"/>
              </w:rPr>
            </w:pPr>
            <w:r w:rsidRPr="006818BE">
              <w:rPr>
                <w:color w:val="000000"/>
                <w:sz w:val="20"/>
                <w:szCs w:val="20"/>
                <w:lang w:val="fr-FR" w:eastAsia="fr-FR"/>
              </w:rPr>
              <w:t>Concomitant medication</w:t>
            </w:r>
          </w:p>
        </w:tc>
      </w:tr>
    </w:tbl>
    <w:p w:rsidR="005D6ED1" w:rsidRDefault="005D6ED1" w:rsidP="00A460EE">
      <w:pPr>
        <w:pStyle w:val="2"/>
        <w:numPr>
          <w:ilvl w:val="0"/>
          <w:numId w:val="0"/>
        </w:numPr>
      </w:pPr>
    </w:p>
    <w:p w:rsidR="005D6ED1" w:rsidRDefault="005D6ED1" w:rsidP="005D6ED1">
      <w:pPr>
        <w:pStyle w:val="2"/>
      </w:pPr>
      <w:bookmarkStart w:id="131" w:name="_Toc461617888"/>
      <w:r>
        <w:t>Appendix 2: Statistical Figures List</w:t>
      </w:r>
      <w:bookmarkEnd w:id="131"/>
    </w:p>
    <w:tbl>
      <w:tblPr>
        <w:tblW w:w="0" w:type="auto"/>
        <w:tblInd w:w="-5" w:type="dxa"/>
        <w:tblCellMar>
          <w:left w:w="70" w:type="dxa"/>
          <w:right w:w="70" w:type="dxa"/>
        </w:tblCellMar>
        <w:tblLook w:val="04A0"/>
      </w:tblPr>
      <w:tblGrid>
        <w:gridCol w:w="340"/>
        <w:gridCol w:w="9273"/>
      </w:tblGrid>
      <w:tr w:rsidR="004F1A9F" w:rsidRPr="006818BE" w:rsidTr="004F1A9F">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bottom"/>
            <w:hideMark/>
          </w:tcPr>
          <w:p w:rsidR="004F1A9F" w:rsidRPr="006818BE" w:rsidRDefault="004F1A9F" w:rsidP="004F1A9F">
            <w:pPr>
              <w:jc w:val="left"/>
              <w:rPr>
                <w:b/>
                <w:bCs/>
                <w:sz w:val="20"/>
                <w:szCs w:val="20"/>
                <w:lang w:val="fr-FR" w:eastAsia="fr-FR"/>
              </w:rPr>
            </w:pPr>
            <w:r w:rsidRPr="006818BE">
              <w:rPr>
                <w:b/>
                <w:bCs/>
                <w:sz w:val="20"/>
                <w:szCs w:val="20"/>
                <w:lang w:val="fr-FR" w:eastAsia="fr-FR"/>
              </w:rPr>
              <w:t>Demographics and Baseline</w:t>
            </w:r>
          </w:p>
        </w:tc>
      </w:tr>
      <w:tr w:rsidR="004F1A9F" w:rsidRPr="006818BE" w:rsidTr="004F1A9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4F1A9F" w:rsidP="004F1A9F">
            <w:pPr>
              <w:jc w:val="center"/>
              <w:rPr>
                <w:color w:val="000000"/>
                <w:sz w:val="20"/>
                <w:szCs w:val="20"/>
                <w:lang w:val="fr-FR" w:eastAsia="fr-FR"/>
              </w:rPr>
            </w:pPr>
            <w:r w:rsidRPr="006818BE">
              <w:rPr>
                <w:color w:val="000000"/>
                <w:sz w:val="20"/>
                <w:szCs w:val="20"/>
                <w:lang w:val="fr-FR" w:eastAsia="fr-FR"/>
              </w:rPr>
              <w:t>1</w:t>
            </w:r>
          </w:p>
        </w:tc>
        <w:tc>
          <w:tcPr>
            <w:tcW w:w="0" w:type="auto"/>
            <w:tcBorders>
              <w:top w:val="nil"/>
              <w:left w:val="nil"/>
              <w:bottom w:val="single" w:sz="4" w:space="0" w:color="auto"/>
              <w:right w:val="single" w:sz="4" w:space="0" w:color="auto"/>
            </w:tcBorders>
            <w:shd w:val="clear" w:color="auto" w:fill="auto"/>
            <w:noWrap/>
            <w:vAlign w:val="center"/>
            <w:hideMark/>
          </w:tcPr>
          <w:p w:rsidR="004F1A9F" w:rsidRPr="006818BE" w:rsidRDefault="004F1A9F" w:rsidP="004F1A9F">
            <w:pPr>
              <w:jc w:val="left"/>
              <w:rPr>
                <w:color w:val="000000"/>
                <w:sz w:val="20"/>
                <w:szCs w:val="20"/>
                <w:lang w:val="fr-FR" w:eastAsia="fr-FR"/>
              </w:rPr>
            </w:pPr>
            <w:r w:rsidRPr="006818BE">
              <w:rPr>
                <w:color w:val="000000"/>
                <w:sz w:val="20"/>
                <w:szCs w:val="20"/>
                <w:lang w:val="fr-FR" w:eastAsia="fr-FR"/>
              </w:rPr>
              <w:t>Disposition of patients (10.1)</w:t>
            </w:r>
          </w:p>
        </w:tc>
      </w:tr>
      <w:tr w:rsidR="004F1A9F" w:rsidRPr="006818BE" w:rsidTr="004F1A9F">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bottom"/>
            <w:hideMark/>
          </w:tcPr>
          <w:p w:rsidR="004F1A9F" w:rsidRPr="006818BE" w:rsidRDefault="004F1A9F" w:rsidP="004F1A9F">
            <w:pPr>
              <w:jc w:val="left"/>
              <w:rPr>
                <w:b/>
                <w:bCs/>
                <w:sz w:val="20"/>
                <w:szCs w:val="20"/>
                <w:lang w:val="fr-FR" w:eastAsia="fr-FR"/>
              </w:rPr>
            </w:pPr>
            <w:r w:rsidRPr="006818BE">
              <w:rPr>
                <w:b/>
                <w:bCs/>
                <w:sz w:val="20"/>
                <w:szCs w:val="20"/>
                <w:lang w:val="fr-FR" w:eastAsia="fr-FR"/>
              </w:rPr>
              <w:t>Efficacy Results</w:t>
            </w:r>
          </w:p>
        </w:tc>
      </w:tr>
      <w:tr w:rsidR="004F1A9F" w:rsidRPr="006818BE" w:rsidTr="004F1A9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4F1A9F" w:rsidP="004F1A9F">
            <w:pPr>
              <w:jc w:val="center"/>
              <w:rPr>
                <w:color w:val="000000"/>
                <w:sz w:val="20"/>
                <w:szCs w:val="20"/>
                <w:lang w:val="fr-FR" w:eastAsia="fr-FR"/>
              </w:rPr>
            </w:pPr>
            <w:r w:rsidRPr="006818BE">
              <w:rPr>
                <w:color w:val="000000"/>
                <w:sz w:val="20"/>
                <w:szCs w:val="20"/>
                <w:lang w:val="fr-FR" w:eastAsia="fr-FR"/>
              </w:rPr>
              <w:t>2</w:t>
            </w:r>
          </w:p>
        </w:tc>
        <w:tc>
          <w:tcPr>
            <w:tcW w:w="0" w:type="auto"/>
            <w:tcBorders>
              <w:top w:val="nil"/>
              <w:left w:val="nil"/>
              <w:bottom w:val="single" w:sz="4" w:space="0" w:color="auto"/>
              <w:right w:val="single" w:sz="4" w:space="0" w:color="auto"/>
            </w:tcBorders>
            <w:shd w:val="clear" w:color="auto" w:fill="auto"/>
            <w:vAlign w:val="center"/>
            <w:hideMark/>
          </w:tcPr>
          <w:p w:rsidR="004F1A9F" w:rsidRPr="006818BE" w:rsidRDefault="004F1A9F" w:rsidP="004F1A9F">
            <w:pPr>
              <w:jc w:val="left"/>
              <w:rPr>
                <w:b/>
                <w:bCs/>
                <w:sz w:val="20"/>
                <w:szCs w:val="20"/>
                <w:lang w:val="en-US" w:eastAsia="fr-FR"/>
              </w:rPr>
            </w:pPr>
            <w:r w:rsidRPr="006818BE">
              <w:rPr>
                <w:b/>
                <w:bCs/>
                <w:sz w:val="20"/>
                <w:szCs w:val="20"/>
                <w:lang w:val="en-US" w:eastAsia="fr-FR"/>
              </w:rPr>
              <w:t xml:space="preserve">Primary efficacy analysis: </w:t>
            </w:r>
            <w:r w:rsidRPr="006818BE">
              <w:rPr>
                <w:sz w:val="20"/>
                <w:szCs w:val="20"/>
                <w:lang w:val="en-US" w:eastAsia="fr-FR"/>
              </w:rPr>
              <w:t>Overall Survival (Kaplan Meier curve)</w:t>
            </w:r>
          </w:p>
        </w:tc>
      </w:tr>
      <w:tr w:rsidR="004F1A9F" w:rsidRPr="006818BE" w:rsidTr="004F1A9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4F1A9F" w:rsidP="004F1A9F">
            <w:pPr>
              <w:jc w:val="center"/>
              <w:rPr>
                <w:color w:val="000000"/>
                <w:sz w:val="20"/>
                <w:szCs w:val="20"/>
                <w:lang w:val="fr-FR" w:eastAsia="fr-FR"/>
              </w:rPr>
            </w:pPr>
            <w:r w:rsidRPr="006818BE">
              <w:rPr>
                <w:color w:val="000000"/>
                <w:sz w:val="20"/>
                <w:szCs w:val="20"/>
                <w:lang w:val="fr-FR" w:eastAsia="fr-FR"/>
              </w:rPr>
              <w:t>3</w:t>
            </w:r>
          </w:p>
        </w:tc>
        <w:tc>
          <w:tcPr>
            <w:tcW w:w="0" w:type="auto"/>
            <w:tcBorders>
              <w:top w:val="nil"/>
              <w:left w:val="nil"/>
              <w:bottom w:val="single" w:sz="4" w:space="0" w:color="auto"/>
              <w:right w:val="single" w:sz="4" w:space="0" w:color="auto"/>
            </w:tcBorders>
            <w:shd w:val="clear" w:color="auto" w:fill="auto"/>
            <w:vAlign w:val="center"/>
            <w:hideMark/>
          </w:tcPr>
          <w:p w:rsidR="004F1A9F" w:rsidRPr="006818BE" w:rsidRDefault="004F1A9F" w:rsidP="004F1A9F">
            <w:pPr>
              <w:jc w:val="left"/>
              <w:rPr>
                <w:b/>
                <w:bCs/>
                <w:sz w:val="20"/>
                <w:szCs w:val="20"/>
                <w:lang w:val="en-US" w:eastAsia="fr-FR"/>
              </w:rPr>
            </w:pPr>
            <w:r w:rsidRPr="006818BE">
              <w:rPr>
                <w:b/>
                <w:bCs/>
                <w:sz w:val="20"/>
                <w:szCs w:val="20"/>
                <w:lang w:val="en-US" w:eastAsia="fr-FR"/>
              </w:rPr>
              <w:t xml:space="preserve">Sensitivity efficacy analysis: </w:t>
            </w:r>
            <w:r w:rsidRPr="006818BE">
              <w:rPr>
                <w:sz w:val="20"/>
                <w:szCs w:val="20"/>
                <w:lang w:val="en-US" w:eastAsia="fr-FR"/>
              </w:rPr>
              <w:t>Overall Survival</w:t>
            </w:r>
            <w:r w:rsidRPr="006818BE">
              <w:rPr>
                <w:b/>
                <w:bCs/>
                <w:sz w:val="20"/>
                <w:szCs w:val="20"/>
                <w:lang w:val="en-US" w:eastAsia="fr-FR"/>
              </w:rPr>
              <w:t xml:space="preserve"> </w:t>
            </w:r>
            <w:r w:rsidRPr="006818BE">
              <w:rPr>
                <w:sz w:val="20"/>
                <w:szCs w:val="20"/>
                <w:lang w:val="en-US" w:eastAsia="fr-FR"/>
              </w:rPr>
              <w:t>(Kaplan Meier curve)</w:t>
            </w:r>
          </w:p>
        </w:tc>
      </w:tr>
      <w:tr w:rsidR="00117EF1" w:rsidRPr="006818BE" w:rsidTr="004F1A9F">
        <w:trPr>
          <w:trHeight w:val="300"/>
        </w:trPr>
        <w:tc>
          <w:tcPr>
            <w:tcW w:w="0" w:type="auto"/>
            <w:tcBorders>
              <w:top w:val="nil"/>
              <w:left w:val="single" w:sz="4" w:space="0" w:color="auto"/>
              <w:bottom w:val="single" w:sz="4" w:space="0" w:color="auto"/>
              <w:right w:val="single" w:sz="4" w:space="0" w:color="auto"/>
            </w:tcBorders>
            <w:shd w:val="clear" w:color="auto" w:fill="auto"/>
            <w:vAlign w:val="bottom"/>
          </w:tcPr>
          <w:p w:rsidR="00117EF1" w:rsidRPr="00BA7C22" w:rsidRDefault="00117EF1" w:rsidP="004F1A9F">
            <w:pPr>
              <w:jc w:val="center"/>
              <w:rPr>
                <w:color w:val="000000"/>
                <w:sz w:val="20"/>
                <w:szCs w:val="20"/>
                <w:lang w:eastAsia="fr-FR"/>
              </w:rPr>
            </w:pPr>
            <w:r>
              <w:rPr>
                <w:color w:val="000000"/>
                <w:sz w:val="20"/>
                <w:szCs w:val="20"/>
                <w:lang w:eastAsia="fr-FR"/>
              </w:rPr>
              <w:t>4</w:t>
            </w:r>
          </w:p>
        </w:tc>
        <w:tc>
          <w:tcPr>
            <w:tcW w:w="0" w:type="auto"/>
            <w:tcBorders>
              <w:top w:val="nil"/>
              <w:left w:val="nil"/>
              <w:bottom w:val="single" w:sz="4" w:space="0" w:color="auto"/>
              <w:right w:val="single" w:sz="4" w:space="0" w:color="auto"/>
            </w:tcBorders>
            <w:shd w:val="clear" w:color="auto" w:fill="auto"/>
            <w:vAlign w:val="center"/>
          </w:tcPr>
          <w:p w:rsidR="00117EF1" w:rsidRPr="006818BE" w:rsidRDefault="00117EF1">
            <w:pPr>
              <w:jc w:val="left"/>
              <w:rPr>
                <w:b/>
                <w:bCs/>
                <w:sz w:val="20"/>
                <w:szCs w:val="20"/>
                <w:lang w:val="en-US" w:eastAsia="fr-FR"/>
              </w:rPr>
            </w:pPr>
            <w:r w:rsidRPr="006818BE">
              <w:rPr>
                <w:b/>
                <w:bCs/>
                <w:sz w:val="20"/>
                <w:szCs w:val="20"/>
                <w:lang w:val="en-US" w:eastAsia="fr-FR"/>
              </w:rPr>
              <w:t xml:space="preserve">Sensitivity efficacy analysis: </w:t>
            </w:r>
            <w:r>
              <w:rPr>
                <w:sz w:val="20"/>
                <w:szCs w:val="20"/>
                <w:lang w:val="en-US" w:eastAsia="fr-FR"/>
              </w:rPr>
              <w:t>O</w:t>
            </w:r>
            <w:r w:rsidRPr="00BA7C22">
              <w:rPr>
                <w:sz w:val="20"/>
                <w:szCs w:val="20"/>
                <w:lang w:val="en-US" w:eastAsia="fr-FR"/>
              </w:rPr>
              <w:t>verall survival adjusted for the stratification factors and prognostic factors</w:t>
            </w:r>
          </w:p>
        </w:tc>
      </w:tr>
      <w:tr w:rsidR="004F1A9F" w:rsidRPr="006818BE" w:rsidTr="004F1A9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117EF1" w:rsidP="004F1A9F">
            <w:pPr>
              <w:jc w:val="center"/>
              <w:rPr>
                <w:color w:val="000000"/>
                <w:sz w:val="20"/>
                <w:szCs w:val="20"/>
                <w:lang w:val="fr-FR" w:eastAsia="fr-FR"/>
              </w:rPr>
            </w:pPr>
            <w:r>
              <w:rPr>
                <w:color w:val="000000"/>
                <w:sz w:val="20"/>
                <w:szCs w:val="20"/>
                <w:lang w:val="fr-FR" w:eastAsia="fr-FR"/>
              </w:rPr>
              <w:t>5</w:t>
            </w:r>
          </w:p>
        </w:tc>
        <w:tc>
          <w:tcPr>
            <w:tcW w:w="0" w:type="auto"/>
            <w:tcBorders>
              <w:top w:val="nil"/>
              <w:left w:val="nil"/>
              <w:bottom w:val="single" w:sz="4" w:space="0" w:color="auto"/>
              <w:right w:val="single" w:sz="4" w:space="0" w:color="auto"/>
            </w:tcBorders>
            <w:shd w:val="clear" w:color="auto" w:fill="auto"/>
            <w:vAlign w:val="center"/>
            <w:hideMark/>
          </w:tcPr>
          <w:p w:rsidR="004F1A9F" w:rsidRPr="006818BE" w:rsidRDefault="004F1A9F" w:rsidP="004F1A9F">
            <w:pPr>
              <w:jc w:val="left"/>
              <w:rPr>
                <w:sz w:val="20"/>
                <w:szCs w:val="20"/>
                <w:lang w:val="en-US" w:eastAsia="fr-FR"/>
              </w:rPr>
            </w:pPr>
            <w:r w:rsidRPr="006818BE">
              <w:rPr>
                <w:b/>
                <w:bCs/>
                <w:sz w:val="20"/>
                <w:szCs w:val="20"/>
                <w:lang w:val="en-US" w:eastAsia="fr-FR"/>
              </w:rPr>
              <w:t>Secondary efficacy analysis</w:t>
            </w:r>
            <w:r w:rsidRPr="006818BE">
              <w:rPr>
                <w:sz w:val="20"/>
                <w:szCs w:val="20"/>
                <w:lang w:val="en-US" w:eastAsia="fr-FR"/>
              </w:rPr>
              <w:t>: Time to treatment failure (Kaplan Meier curve)</w:t>
            </w:r>
          </w:p>
        </w:tc>
      </w:tr>
      <w:tr w:rsidR="00117EF1" w:rsidRPr="006818BE" w:rsidTr="004F1A9F">
        <w:trPr>
          <w:trHeight w:val="300"/>
        </w:trPr>
        <w:tc>
          <w:tcPr>
            <w:tcW w:w="0" w:type="auto"/>
            <w:tcBorders>
              <w:top w:val="nil"/>
              <w:left w:val="single" w:sz="4" w:space="0" w:color="auto"/>
              <w:bottom w:val="single" w:sz="4" w:space="0" w:color="auto"/>
              <w:right w:val="single" w:sz="4" w:space="0" w:color="auto"/>
            </w:tcBorders>
            <w:shd w:val="clear" w:color="auto" w:fill="auto"/>
            <w:vAlign w:val="bottom"/>
          </w:tcPr>
          <w:p w:rsidR="00117EF1" w:rsidRDefault="00117EF1" w:rsidP="004F1A9F">
            <w:pPr>
              <w:jc w:val="center"/>
              <w:rPr>
                <w:color w:val="000000"/>
                <w:sz w:val="20"/>
                <w:szCs w:val="20"/>
                <w:lang w:val="fr-FR" w:eastAsia="fr-FR"/>
              </w:rPr>
            </w:pPr>
            <w:r>
              <w:rPr>
                <w:color w:val="000000"/>
                <w:sz w:val="20"/>
                <w:szCs w:val="20"/>
                <w:lang w:val="fr-FR" w:eastAsia="fr-FR"/>
              </w:rPr>
              <w:t>6</w:t>
            </w:r>
          </w:p>
        </w:tc>
        <w:tc>
          <w:tcPr>
            <w:tcW w:w="0" w:type="auto"/>
            <w:tcBorders>
              <w:top w:val="nil"/>
              <w:left w:val="nil"/>
              <w:bottom w:val="single" w:sz="4" w:space="0" w:color="auto"/>
              <w:right w:val="single" w:sz="4" w:space="0" w:color="auto"/>
            </w:tcBorders>
            <w:shd w:val="clear" w:color="auto" w:fill="auto"/>
            <w:vAlign w:val="center"/>
          </w:tcPr>
          <w:p w:rsidR="00117EF1" w:rsidRPr="006818BE" w:rsidRDefault="00117EF1" w:rsidP="004F1A9F">
            <w:pPr>
              <w:jc w:val="left"/>
              <w:rPr>
                <w:b/>
                <w:bCs/>
                <w:sz w:val="20"/>
                <w:szCs w:val="20"/>
                <w:lang w:val="en-US" w:eastAsia="fr-FR"/>
              </w:rPr>
            </w:pPr>
            <w:r w:rsidRPr="006818BE">
              <w:rPr>
                <w:b/>
                <w:bCs/>
                <w:sz w:val="20"/>
                <w:szCs w:val="20"/>
                <w:lang w:val="en-US" w:eastAsia="fr-FR"/>
              </w:rPr>
              <w:t xml:space="preserve">Sensitivity efficacy analysis: </w:t>
            </w:r>
            <w:r w:rsidRPr="006818BE">
              <w:rPr>
                <w:sz w:val="20"/>
                <w:szCs w:val="20"/>
                <w:lang w:val="en-US" w:eastAsia="fr-FR"/>
              </w:rPr>
              <w:t xml:space="preserve">Time to treatment failure </w:t>
            </w:r>
            <w:r w:rsidRPr="00BD732B">
              <w:rPr>
                <w:sz w:val="20"/>
                <w:szCs w:val="20"/>
                <w:lang w:val="en-US" w:eastAsia="fr-FR"/>
              </w:rPr>
              <w:t>adjusted for the stratification factors and prognostic factors</w:t>
            </w:r>
          </w:p>
        </w:tc>
      </w:tr>
      <w:tr w:rsidR="004F1A9F" w:rsidRPr="006818BE" w:rsidTr="006A5A7F">
        <w:trPr>
          <w:trHeight w:val="929"/>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2657E8">
            <w:pPr>
              <w:jc w:val="center"/>
              <w:rPr>
                <w:color w:val="000000"/>
                <w:sz w:val="20"/>
                <w:szCs w:val="20"/>
                <w:lang w:val="fr-FR" w:eastAsia="fr-FR"/>
              </w:rPr>
            </w:pPr>
            <w:r>
              <w:rPr>
                <w:color w:val="000000"/>
                <w:sz w:val="20"/>
                <w:szCs w:val="20"/>
                <w:lang w:val="fr-FR" w:eastAsia="fr-FR"/>
              </w:rPr>
              <w:t>7</w:t>
            </w:r>
          </w:p>
        </w:tc>
        <w:tc>
          <w:tcPr>
            <w:tcW w:w="0" w:type="auto"/>
            <w:tcBorders>
              <w:top w:val="nil"/>
              <w:left w:val="nil"/>
              <w:bottom w:val="single" w:sz="4" w:space="0" w:color="auto"/>
              <w:right w:val="single" w:sz="4" w:space="0" w:color="auto"/>
            </w:tcBorders>
            <w:shd w:val="clear" w:color="auto" w:fill="auto"/>
            <w:vAlign w:val="center"/>
            <w:hideMark/>
          </w:tcPr>
          <w:p w:rsidR="004F1A9F" w:rsidRPr="006818BE" w:rsidRDefault="004F1A9F" w:rsidP="004F1A9F">
            <w:pPr>
              <w:jc w:val="left"/>
              <w:rPr>
                <w:sz w:val="20"/>
                <w:szCs w:val="20"/>
                <w:lang w:val="en-US" w:eastAsia="fr-FR"/>
              </w:rPr>
            </w:pPr>
            <w:r w:rsidRPr="006818BE">
              <w:rPr>
                <w:b/>
                <w:bCs/>
                <w:sz w:val="20"/>
                <w:szCs w:val="20"/>
                <w:lang w:val="en-US" w:eastAsia="fr-FR"/>
              </w:rPr>
              <w:t xml:space="preserve">Exploratory efficacy analysis: </w:t>
            </w:r>
            <w:r w:rsidRPr="006818BE">
              <w:rPr>
                <w:sz w:val="20"/>
                <w:szCs w:val="20"/>
                <w:lang w:val="en-US" w:eastAsia="fr-FR"/>
              </w:rPr>
              <w:t>Vaccine Specific Immune Response (Kaplan Meier curve) - Comparison of overall survival with vaccine induced immune response detected after 2nd injection of Vx-001 vs. Patients randomised to Vx-001 who did not develop vaccine specific immune response after 2nd injections of Vx-001.</w:t>
            </w:r>
          </w:p>
        </w:tc>
      </w:tr>
      <w:tr w:rsidR="004F1A9F" w:rsidRPr="006818BE" w:rsidTr="006A5A7F">
        <w:trPr>
          <w:trHeight w:val="9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2657E8" w:rsidP="004F1A9F">
            <w:pPr>
              <w:jc w:val="center"/>
              <w:rPr>
                <w:color w:val="000000"/>
                <w:sz w:val="20"/>
                <w:szCs w:val="20"/>
                <w:lang w:val="fr-FR" w:eastAsia="fr-FR"/>
              </w:rPr>
            </w:pPr>
            <w:r>
              <w:rPr>
                <w:color w:val="000000"/>
                <w:sz w:val="20"/>
                <w:szCs w:val="20"/>
                <w:lang w:val="fr-FR" w:eastAsia="fr-FR"/>
              </w:rPr>
              <w:t>8</w:t>
            </w:r>
          </w:p>
        </w:tc>
        <w:tc>
          <w:tcPr>
            <w:tcW w:w="0" w:type="auto"/>
            <w:tcBorders>
              <w:top w:val="nil"/>
              <w:left w:val="nil"/>
              <w:bottom w:val="single" w:sz="4" w:space="0" w:color="auto"/>
              <w:right w:val="single" w:sz="4" w:space="0" w:color="auto"/>
            </w:tcBorders>
            <w:shd w:val="clear" w:color="auto" w:fill="auto"/>
            <w:vAlign w:val="center"/>
            <w:hideMark/>
          </w:tcPr>
          <w:p w:rsidR="004F1A9F" w:rsidRPr="006818BE" w:rsidRDefault="004F1A9F" w:rsidP="004F1A9F">
            <w:pPr>
              <w:jc w:val="left"/>
              <w:rPr>
                <w:sz w:val="20"/>
                <w:szCs w:val="20"/>
                <w:lang w:val="en-US" w:eastAsia="fr-FR"/>
              </w:rPr>
            </w:pPr>
            <w:r w:rsidRPr="006818BE">
              <w:rPr>
                <w:b/>
                <w:bCs/>
                <w:sz w:val="20"/>
                <w:szCs w:val="20"/>
                <w:lang w:val="en-US" w:eastAsia="fr-FR"/>
              </w:rPr>
              <w:t>Exploratory efficacy analysis</w:t>
            </w:r>
            <w:r w:rsidRPr="006818BE">
              <w:rPr>
                <w:sz w:val="20"/>
                <w:szCs w:val="20"/>
                <w:lang w:val="en-US" w:eastAsia="fr-FR"/>
              </w:rPr>
              <w:t>: Vaccine Specific Immune Response (Kaplan Meier curve) - Comparison of overall survival with vaccine induced immune response detected after 6th injection of Vx-001 vs. Patients randomised to Vx-001 who did not develop vaccine specific immune response after 6th injections of Vx-001.</w:t>
            </w:r>
          </w:p>
        </w:tc>
      </w:tr>
      <w:tr w:rsidR="004F1A9F" w:rsidRPr="006818BE" w:rsidTr="006A5A7F">
        <w:trPr>
          <w:trHeight w:val="7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2657E8" w:rsidP="004F1A9F">
            <w:pPr>
              <w:jc w:val="center"/>
              <w:rPr>
                <w:color w:val="000000"/>
                <w:sz w:val="20"/>
                <w:szCs w:val="20"/>
                <w:lang w:val="fr-FR" w:eastAsia="fr-FR"/>
              </w:rPr>
            </w:pPr>
            <w:r>
              <w:rPr>
                <w:color w:val="000000"/>
                <w:sz w:val="20"/>
                <w:szCs w:val="20"/>
                <w:lang w:val="fr-FR" w:eastAsia="fr-FR"/>
              </w:rPr>
              <w:t>9</w:t>
            </w:r>
          </w:p>
        </w:tc>
        <w:tc>
          <w:tcPr>
            <w:tcW w:w="0" w:type="auto"/>
            <w:tcBorders>
              <w:top w:val="nil"/>
              <w:left w:val="nil"/>
              <w:bottom w:val="single" w:sz="4" w:space="0" w:color="auto"/>
              <w:right w:val="single" w:sz="4" w:space="0" w:color="auto"/>
            </w:tcBorders>
            <w:shd w:val="clear" w:color="auto" w:fill="auto"/>
            <w:vAlign w:val="center"/>
            <w:hideMark/>
          </w:tcPr>
          <w:p w:rsidR="004F1A9F" w:rsidRPr="006818BE" w:rsidRDefault="004F1A9F" w:rsidP="004F1A9F">
            <w:pPr>
              <w:jc w:val="left"/>
              <w:rPr>
                <w:sz w:val="20"/>
                <w:szCs w:val="20"/>
                <w:lang w:val="en-US" w:eastAsia="fr-FR"/>
              </w:rPr>
            </w:pPr>
            <w:r w:rsidRPr="006818BE">
              <w:rPr>
                <w:b/>
                <w:bCs/>
                <w:sz w:val="20"/>
                <w:szCs w:val="20"/>
                <w:lang w:val="en-US" w:eastAsia="fr-FR"/>
              </w:rPr>
              <w:t>Exploratory efficacy analysis:</w:t>
            </w:r>
            <w:r w:rsidRPr="006818BE">
              <w:rPr>
                <w:sz w:val="20"/>
                <w:szCs w:val="20"/>
                <w:lang w:val="en-US" w:eastAsia="fr-FR"/>
              </w:rPr>
              <w:t xml:space="preserve"> Vaccine Specific Immune Response (Kaplan Meier curve) - Comparison of overall survival in Vx-001-treated vs. Placebo treated patients who had a vaccine specific immune response before Vx-001 or placebo injection</w:t>
            </w:r>
          </w:p>
        </w:tc>
      </w:tr>
      <w:tr w:rsidR="004F1A9F" w:rsidRPr="006818BE" w:rsidTr="004F1A9F">
        <w:trPr>
          <w:trHeight w:val="9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2657E8" w:rsidP="004F1A9F">
            <w:pPr>
              <w:jc w:val="center"/>
              <w:rPr>
                <w:color w:val="000000"/>
                <w:sz w:val="20"/>
                <w:szCs w:val="20"/>
                <w:lang w:val="fr-FR" w:eastAsia="fr-FR"/>
              </w:rPr>
            </w:pPr>
            <w:r>
              <w:rPr>
                <w:color w:val="000000"/>
                <w:sz w:val="20"/>
                <w:szCs w:val="20"/>
                <w:lang w:val="fr-FR" w:eastAsia="fr-FR"/>
              </w:rPr>
              <w:t>10</w:t>
            </w:r>
          </w:p>
        </w:tc>
        <w:tc>
          <w:tcPr>
            <w:tcW w:w="0" w:type="auto"/>
            <w:tcBorders>
              <w:top w:val="nil"/>
              <w:left w:val="nil"/>
              <w:bottom w:val="single" w:sz="4" w:space="0" w:color="auto"/>
              <w:right w:val="single" w:sz="4" w:space="0" w:color="auto"/>
            </w:tcBorders>
            <w:shd w:val="clear" w:color="auto" w:fill="auto"/>
            <w:vAlign w:val="center"/>
            <w:hideMark/>
          </w:tcPr>
          <w:p w:rsidR="004F1A9F" w:rsidRPr="006818BE" w:rsidRDefault="004F1A9F" w:rsidP="004F1A9F">
            <w:pPr>
              <w:jc w:val="left"/>
              <w:rPr>
                <w:sz w:val="20"/>
                <w:szCs w:val="20"/>
                <w:lang w:val="en-US" w:eastAsia="fr-FR"/>
              </w:rPr>
            </w:pPr>
            <w:r w:rsidRPr="006818BE">
              <w:rPr>
                <w:b/>
                <w:bCs/>
                <w:sz w:val="20"/>
                <w:szCs w:val="20"/>
                <w:lang w:val="en-US" w:eastAsia="fr-FR"/>
              </w:rPr>
              <w:t>Exploratory efficacy analysis:</w:t>
            </w:r>
            <w:r w:rsidRPr="006818BE">
              <w:rPr>
                <w:sz w:val="20"/>
                <w:szCs w:val="20"/>
                <w:lang w:val="en-US" w:eastAsia="fr-FR"/>
              </w:rPr>
              <w:t xml:space="preserve"> Vaccine Specific Immune Response (Kaplan Meier curve) - Comparison of overall survival in Vx-001-treated vs. Placebo-treated patients who had high levels of TERT expression or low levels of TERT expression in their primary tumors</w:t>
            </w:r>
          </w:p>
        </w:tc>
      </w:tr>
      <w:tr w:rsidR="002657E8" w:rsidRPr="006818BE" w:rsidTr="004F1A9F">
        <w:trPr>
          <w:trHeight w:val="900"/>
        </w:trPr>
        <w:tc>
          <w:tcPr>
            <w:tcW w:w="0" w:type="auto"/>
            <w:tcBorders>
              <w:top w:val="nil"/>
              <w:left w:val="single" w:sz="4" w:space="0" w:color="auto"/>
              <w:bottom w:val="single" w:sz="4" w:space="0" w:color="auto"/>
              <w:right w:val="single" w:sz="4" w:space="0" w:color="auto"/>
            </w:tcBorders>
            <w:shd w:val="clear" w:color="auto" w:fill="auto"/>
            <w:vAlign w:val="bottom"/>
          </w:tcPr>
          <w:p w:rsidR="002657E8" w:rsidRDefault="002657E8" w:rsidP="004F1A9F">
            <w:pPr>
              <w:jc w:val="center"/>
              <w:rPr>
                <w:color w:val="000000"/>
                <w:sz w:val="20"/>
                <w:szCs w:val="20"/>
                <w:lang w:val="fr-FR" w:eastAsia="fr-FR"/>
              </w:rPr>
            </w:pPr>
            <w:r>
              <w:rPr>
                <w:color w:val="000000"/>
                <w:sz w:val="20"/>
                <w:szCs w:val="20"/>
                <w:lang w:val="fr-FR" w:eastAsia="fr-FR"/>
              </w:rPr>
              <w:t>11</w:t>
            </w:r>
          </w:p>
        </w:tc>
        <w:tc>
          <w:tcPr>
            <w:tcW w:w="0" w:type="auto"/>
            <w:tcBorders>
              <w:top w:val="nil"/>
              <w:left w:val="nil"/>
              <w:bottom w:val="single" w:sz="4" w:space="0" w:color="auto"/>
              <w:right w:val="single" w:sz="4" w:space="0" w:color="auto"/>
            </w:tcBorders>
            <w:shd w:val="clear" w:color="auto" w:fill="auto"/>
            <w:vAlign w:val="center"/>
          </w:tcPr>
          <w:p w:rsidR="002657E8" w:rsidRPr="006818BE" w:rsidRDefault="002657E8">
            <w:pPr>
              <w:jc w:val="left"/>
              <w:rPr>
                <w:b/>
                <w:bCs/>
                <w:sz w:val="20"/>
                <w:szCs w:val="20"/>
                <w:lang w:val="en-US" w:eastAsia="fr-FR"/>
              </w:rPr>
            </w:pPr>
            <w:r>
              <w:rPr>
                <w:b/>
                <w:bCs/>
                <w:sz w:val="20"/>
                <w:szCs w:val="20"/>
                <w:lang w:val="en-US" w:eastAsia="fr-FR"/>
              </w:rPr>
              <w:t>Other e</w:t>
            </w:r>
            <w:r w:rsidRPr="006818BE">
              <w:rPr>
                <w:b/>
                <w:bCs/>
                <w:sz w:val="20"/>
                <w:szCs w:val="20"/>
                <w:lang w:val="en-US" w:eastAsia="fr-FR"/>
              </w:rPr>
              <w:t>xploratory efficacy analysis</w:t>
            </w:r>
            <w:r>
              <w:rPr>
                <w:b/>
                <w:bCs/>
                <w:sz w:val="20"/>
                <w:szCs w:val="20"/>
                <w:lang w:val="en-US" w:eastAsia="fr-FR"/>
              </w:rPr>
              <w:t xml:space="preserve">: </w:t>
            </w:r>
            <w:r>
              <w:rPr>
                <w:sz w:val="20"/>
                <w:szCs w:val="20"/>
                <w:lang w:val="en-US" w:eastAsia="fr-FR"/>
              </w:rPr>
              <w:t>O</w:t>
            </w:r>
            <w:r w:rsidRPr="00BD732B">
              <w:rPr>
                <w:sz w:val="20"/>
                <w:szCs w:val="20"/>
                <w:lang w:val="en-US" w:eastAsia="fr-FR"/>
              </w:rPr>
              <w:t>verall survival adjusted for the stratification factors</w:t>
            </w:r>
            <w:r>
              <w:rPr>
                <w:sz w:val="20"/>
                <w:szCs w:val="20"/>
                <w:lang w:val="en-US" w:eastAsia="fr-FR"/>
              </w:rPr>
              <w:t xml:space="preserve">, </w:t>
            </w:r>
            <w:r w:rsidRPr="00BD732B">
              <w:rPr>
                <w:sz w:val="20"/>
                <w:szCs w:val="20"/>
                <w:lang w:val="en-US" w:eastAsia="fr-FR"/>
              </w:rPr>
              <w:t>prognostic factors</w:t>
            </w:r>
            <w:r>
              <w:rPr>
                <w:sz w:val="20"/>
                <w:szCs w:val="20"/>
                <w:lang w:val="en-US" w:eastAsia="fr-FR"/>
              </w:rPr>
              <w:t xml:space="preserve"> and baseline characteristics</w:t>
            </w:r>
          </w:p>
        </w:tc>
      </w:tr>
      <w:tr w:rsidR="004F1A9F" w:rsidRPr="006818BE" w:rsidTr="004F1A9F">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bottom"/>
            <w:hideMark/>
          </w:tcPr>
          <w:p w:rsidR="004F1A9F" w:rsidRPr="006818BE" w:rsidRDefault="004F1A9F" w:rsidP="004F1A9F">
            <w:pPr>
              <w:jc w:val="left"/>
              <w:rPr>
                <w:b/>
                <w:bCs/>
                <w:sz w:val="20"/>
                <w:szCs w:val="20"/>
                <w:lang w:val="fr-FR" w:eastAsia="fr-FR"/>
              </w:rPr>
            </w:pPr>
            <w:r w:rsidRPr="006818BE">
              <w:rPr>
                <w:b/>
                <w:bCs/>
                <w:sz w:val="20"/>
                <w:szCs w:val="20"/>
                <w:lang w:val="fr-FR" w:eastAsia="fr-FR"/>
              </w:rPr>
              <w:t>Safety results</w:t>
            </w:r>
          </w:p>
        </w:tc>
      </w:tr>
      <w:tr w:rsidR="004F1A9F" w:rsidRPr="006818BE" w:rsidTr="004F1A9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2657E8" w:rsidP="004F1A9F">
            <w:pPr>
              <w:jc w:val="center"/>
              <w:rPr>
                <w:color w:val="000000"/>
                <w:sz w:val="20"/>
                <w:szCs w:val="20"/>
                <w:lang w:val="fr-FR" w:eastAsia="fr-FR"/>
              </w:rPr>
            </w:pPr>
            <w:r>
              <w:rPr>
                <w:color w:val="000000"/>
                <w:sz w:val="20"/>
                <w:szCs w:val="20"/>
                <w:lang w:val="fr-FR" w:eastAsia="fr-FR"/>
              </w:rPr>
              <w:t>12</w:t>
            </w:r>
          </w:p>
        </w:tc>
        <w:tc>
          <w:tcPr>
            <w:tcW w:w="0" w:type="auto"/>
            <w:tcBorders>
              <w:top w:val="nil"/>
              <w:left w:val="nil"/>
              <w:bottom w:val="single" w:sz="4" w:space="0" w:color="auto"/>
              <w:right w:val="single" w:sz="4" w:space="0" w:color="auto"/>
            </w:tcBorders>
            <w:shd w:val="clear" w:color="auto" w:fill="auto"/>
            <w:noWrap/>
            <w:vAlign w:val="center"/>
            <w:hideMark/>
          </w:tcPr>
          <w:p w:rsidR="004F1A9F" w:rsidRPr="006818BE" w:rsidRDefault="004F1A9F" w:rsidP="004F1A9F">
            <w:pPr>
              <w:jc w:val="left"/>
              <w:rPr>
                <w:color w:val="000000"/>
                <w:sz w:val="20"/>
                <w:szCs w:val="20"/>
                <w:lang w:val="en-US" w:eastAsia="fr-FR"/>
              </w:rPr>
            </w:pPr>
            <w:r w:rsidRPr="006818BE">
              <w:rPr>
                <w:color w:val="000000"/>
                <w:sz w:val="20"/>
                <w:szCs w:val="20"/>
                <w:lang w:val="en-US" w:eastAsia="fr-FR"/>
              </w:rPr>
              <w:t>Pre/Post Treatment scattergram for laboratory variable</w:t>
            </w:r>
          </w:p>
        </w:tc>
      </w:tr>
      <w:tr w:rsidR="004F1A9F" w:rsidRPr="006818BE" w:rsidTr="004F1A9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F1A9F" w:rsidRPr="006818BE" w:rsidRDefault="004F1A9F" w:rsidP="004F1A9F">
            <w:pPr>
              <w:jc w:val="center"/>
              <w:rPr>
                <w:color w:val="000000"/>
                <w:sz w:val="20"/>
                <w:szCs w:val="20"/>
                <w:lang w:val="fr-FR" w:eastAsia="fr-FR"/>
              </w:rPr>
            </w:pPr>
            <w:r w:rsidRPr="006818BE">
              <w:rPr>
                <w:color w:val="000000"/>
                <w:sz w:val="20"/>
                <w:szCs w:val="20"/>
                <w:lang w:val="fr-FR" w:eastAsia="fr-FR"/>
              </w:rPr>
              <w:t>1</w:t>
            </w:r>
            <w:r w:rsidR="002657E8">
              <w:rPr>
                <w:color w:val="000000"/>
                <w:sz w:val="20"/>
                <w:szCs w:val="20"/>
                <w:lang w:val="fr-FR" w:eastAsia="fr-FR"/>
              </w:rPr>
              <w:t>3</w:t>
            </w:r>
          </w:p>
        </w:tc>
        <w:tc>
          <w:tcPr>
            <w:tcW w:w="0" w:type="auto"/>
            <w:tcBorders>
              <w:top w:val="nil"/>
              <w:left w:val="nil"/>
              <w:bottom w:val="single" w:sz="4" w:space="0" w:color="auto"/>
              <w:right w:val="single" w:sz="4" w:space="0" w:color="auto"/>
            </w:tcBorders>
            <w:shd w:val="clear" w:color="auto" w:fill="auto"/>
            <w:noWrap/>
            <w:vAlign w:val="center"/>
            <w:hideMark/>
          </w:tcPr>
          <w:p w:rsidR="004F1A9F" w:rsidRPr="006818BE" w:rsidRDefault="004F1A9F" w:rsidP="004F1A9F">
            <w:pPr>
              <w:jc w:val="left"/>
              <w:rPr>
                <w:color w:val="000000"/>
                <w:sz w:val="20"/>
                <w:szCs w:val="20"/>
                <w:lang w:val="en-US" w:eastAsia="fr-FR"/>
              </w:rPr>
            </w:pPr>
            <w:r w:rsidRPr="006818BE">
              <w:rPr>
                <w:color w:val="000000"/>
                <w:sz w:val="20"/>
                <w:szCs w:val="20"/>
                <w:lang w:val="en-US" w:eastAsia="fr-FR"/>
              </w:rPr>
              <w:t xml:space="preserve">Plot of mean level versus time by treatment group </w:t>
            </w:r>
          </w:p>
        </w:tc>
      </w:tr>
    </w:tbl>
    <w:p w:rsidR="005D6ED1" w:rsidRDefault="005D6ED1">
      <w:pPr>
        <w:jc w:val="left"/>
        <w:rPr>
          <w:rFonts w:ascii="Arial" w:hAnsi="Arial"/>
          <w:b/>
          <w:iCs/>
          <w:kern w:val="32"/>
          <w:sz w:val="24"/>
          <w:szCs w:val="28"/>
          <w:highlight w:val="lightGray"/>
        </w:rPr>
      </w:pPr>
    </w:p>
    <w:p w:rsidR="005D6ED1" w:rsidRPr="005D6ED1" w:rsidRDefault="005D6ED1" w:rsidP="006818BE">
      <w:pPr>
        <w:pStyle w:val="2"/>
      </w:pPr>
      <w:bookmarkStart w:id="132" w:name="_Toc461617889"/>
      <w:r>
        <w:t>Appendix 3: Individual Data Listings List</w:t>
      </w:r>
      <w:bookmarkEnd w:id="132"/>
    </w:p>
    <w:tbl>
      <w:tblPr>
        <w:tblpPr w:leftFromText="141" w:rightFromText="141" w:vertAnchor="text" w:tblpY="1"/>
        <w:tblOverlap w:val="never"/>
        <w:tblW w:w="6660" w:type="dxa"/>
        <w:tblCellMar>
          <w:left w:w="70" w:type="dxa"/>
          <w:right w:w="70" w:type="dxa"/>
        </w:tblCellMar>
        <w:tblLook w:val="04A0"/>
      </w:tblPr>
      <w:tblGrid>
        <w:gridCol w:w="920"/>
        <w:gridCol w:w="5740"/>
      </w:tblGrid>
      <w:tr w:rsidR="006818BE" w:rsidRPr="006818BE" w:rsidTr="006818BE">
        <w:trPr>
          <w:trHeight w:val="300"/>
        </w:trPr>
        <w:tc>
          <w:tcPr>
            <w:tcW w:w="9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b/>
                <w:bCs/>
                <w:sz w:val="20"/>
                <w:szCs w:val="20"/>
                <w:lang w:val="fr-FR" w:eastAsia="fr-FR"/>
              </w:rPr>
            </w:pPr>
            <w:r w:rsidRPr="006818BE">
              <w:rPr>
                <w:b/>
                <w:bCs/>
                <w:sz w:val="20"/>
                <w:szCs w:val="20"/>
                <w:lang w:val="fr-FR" w:eastAsia="fr-FR"/>
              </w:rPr>
              <w:t>16.2.1</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fr-FR" w:eastAsia="fr-FR"/>
              </w:rPr>
            </w:pPr>
            <w:r w:rsidRPr="006818BE">
              <w:rPr>
                <w:b/>
                <w:bCs/>
                <w:sz w:val="20"/>
                <w:szCs w:val="20"/>
                <w:lang w:val="fr-FR" w:eastAsia="fr-FR"/>
              </w:rPr>
              <w:t xml:space="preserve">Discontinued Patients </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16.2.1.1</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en-US" w:eastAsia="fr-FR"/>
              </w:rPr>
            </w:pPr>
            <w:r w:rsidRPr="006818BE">
              <w:rPr>
                <w:color w:val="000000"/>
                <w:sz w:val="20"/>
                <w:szCs w:val="20"/>
                <w:lang w:val="en-US" w:eastAsia="fr-FR"/>
              </w:rPr>
              <w:t>Disposition of patients - All subjects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16.2.1.2</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Disposition of patients (10.1) / Discontinued patients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b/>
                <w:bCs/>
                <w:sz w:val="20"/>
                <w:szCs w:val="20"/>
                <w:lang w:val="fr-FR" w:eastAsia="fr-FR"/>
              </w:rPr>
            </w:pPr>
            <w:r w:rsidRPr="006818BE">
              <w:rPr>
                <w:b/>
                <w:bCs/>
                <w:sz w:val="20"/>
                <w:szCs w:val="20"/>
                <w:lang w:val="fr-FR" w:eastAsia="fr-FR"/>
              </w:rPr>
              <w:t>16.2.2</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fr-FR" w:eastAsia="fr-FR"/>
              </w:rPr>
            </w:pPr>
            <w:r w:rsidRPr="006818BE">
              <w:rPr>
                <w:b/>
                <w:bCs/>
                <w:sz w:val="20"/>
                <w:szCs w:val="20"/>
                <w:lang w:val="fr-FR" w:eastAsia="fr-FR"/>
              </w:rPr>
              <w:t>Protocol deviations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16.2.2</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Protocol deviations (10.2)</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b/>
                <w:bCs/>
                <w:sz w:val="20"/>
                <w:szCs w:val="20"/>
                <w:lang w:val="fr-FR" w:eastAsia="fr-FR"/>
              </w:rPr>
            </w:pPr>
            <w:r w:rsidRPr="006818BE">
              <w:rPr>
                <w:b/>
                <w:bCs/>
                <w:sz w:val="20"/>
                <w:szCs w:val="20"/>
                <w:lang w:val="fr-FR" w:eastAsia="fr-FR"/>
              </w:rPr>
              <w:t>16.2.3</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en-US" w:eastAsia="fr-FR"/>
              </w:rPr>
            </w:pPr>
            <w:r w:rsidRPr="006818BE">
              <w:rPr>
                <w:b/>
                <w:bCs/>
                <w:sz w:val="20"/>
                <w:szCs w:val="20"/>
                <w:lang w:val="en-US" w:eastAsia="fr-FR"/>
              </w:rPr>
              <w:t>Patients ex</w:t>
            </w:r>
            <w:r w:rsidR="00FE24A6">
              <w:rPr>
                <w:b/>
                <w:bCs/>
                <w:sz w:val="20"/>
                <w:szCs w:val="20"/>
                <w:lang w:val="en-US" w:eastAsia="fr-FR"/>
              </w:rPr>
              <w:t>c</w:t>
            </w:r>
            <w:r w:rsidRPr="006818BE">
              <w:rPr>
                <w:b/>
                <w:bCs/>
                <w:sz w:val="20"/>
                <w:szCs w:val="20"/>
                <w:lang w:val="en-US" w:eastAsia="fr-FR"/>
              </w:rPr>
              <w:t>luded from the efficacy analysis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16.2.3.1</w:t>
            </w:r>
          </w:p>
        </w:tc>
        <w:tc>
          <w:tcPr>
            <w:tcW w:w="5740" w:type="dxa"/>
            <w:tcBorders>
              <w:top w:val="single" w:sz="4" w:space="0" w:color="auto"/>
              <w:left w:val="nil"/>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en-US" w:eastAsia="fr-FR"/>
              </w:rPr>
            </w:pPr>
            <w:r w:rsidRPr="006818BE">
              <w:rPr>
                <w:color w:val="000000"/>
                <w:sz w:val="20"/>
                <w:szCs w:val="20"/>
                <w:lang w:val="en-US" w:eastAsia="fr-FR"/>
              </w:rPr>
              <w:t>Patients excluded from the efficacy analysis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lastRenderedPageBreak/>
              <w:t>16.2.3.2</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Datasets analysed</w:t>
            </w:r>
          </w:p>
        </w:tc>
      </w:tr>
      <w:tr w:rsidR="006818BE" w:rsidRPr="006818BE" w:rsidTr="006818BE">
        <w:trPr>
          <w:trHeight w:val="315"/>
        </w:trPr>
        <w:tc>
          <w:tcPr>
            <w:tcW w:w="920" w:type="dxa"/>
            <w:tcBorders>
              <w:top w:val="nil"/>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sz w:val="20"/>
                <w:szCs w:val="20"/>
                <w:lang w:val="fr-FR" w:eastAsia="fr-FR"/>
              </w:rPr>
            </w:pPr>
            <w:r w:rsidRPr="006818BE">
              <w:rPr>
                <w:sz w:val="20"/>
                <w:szCs w:val="20"/>
                <w:lang w:val="fr-FR" w:eastAsia="fr-FR"/>
              </w:rPr>
              <w:t>16.2.4</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fr-FR" w:eastAsia="fr-FR"/>
              </w:rPr>
            </w:pPr>
            <w:r w:rsidRPr="006818BE">
              <w:rPr>
                <w:b/>
                <w:bCs/>
                <w:sz w:val="20"/>
                <w:szCs w:val="20"/>
                <w:lang w:val="fr-FR" w:eastAsia="fr-FR"/>
              </w:rPr>
              <w:t xml:space="preserve">Demographic data </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16.2.4.1</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Patients characteristics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16.2.4.2</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Disease characteristics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16.2.4.3</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861023">
            <w:pPr>
              <w:jc w:val="left"/>
              <w:rPr>
                <w:color w:val="000000"/>
                <w:sz w:val="20"/>
                <w:szCs w:val="20"/>
                <w:lang w:val="fr-FR" w:eastAsia="fr-FR"/>
              </w:rPr>
            </w:pPr>
            <w:r w:rsidRPr="006818BE">
              <w:rPr>
                <w:color w:val="000000"/>
                <w:sz w:val="20"/>
                <w:szCs w:val="20"/>
                <w:lang w:val="fr-FR" w:eastAsia="fr-FR"/>
              </w:rPr>
              <w:t>Cancer histo</w:t>
            </w:r>
            <w:r w:rsidR="00861023">
              <w:rPr>
                <w:color w:val="000000"/>
                <w:sz w:val="20"/>
                <w:szCs w:val="20"/>
                <w:lang w:val="fr-FR" w:eastAsia="fr-FR"/>
              </w:rPr>
              <w:t>r</w:t>
            </w:r>
            <w:r w:rsidRPr="006818BE">
              <w:rPr>
                <w:color w:val="000000"/>
                <w:sz w:val="20"/>
                <w:szCs w:val="20"/>
                <w:lang w:val="fr-FR" w:eastAsia="fr-FR"/>
              </w:rPr>
              <w:t>y</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16.2.4.4</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sz w:val="20"/>
                <w:szCs w:val="20"/>
                <w:lang w:val="fr-FR" w:eastAsia="fr-FR"/>
              </w:rPr>
            </w:pPr>
            <w:r w:rsidRPr="006818BE">
              <w:rPr>
                <w:sz w:val="20"/>
                <w:szCs w:val="20"/>
                <w:lang w:val="fr-FR" w:eastAsia="fr-FR"/>
              </w:rPr>
              <w:t>Treatment</w:t>
            </w:r>
            <w:r>
              <w:rPr>
                <w:sz w:val="20"/>
                <w:szCs w:val="20"/>
                <w:lang w:val="fr-FR" w:eastAsia="fr-FR"/>
              </w:rPr>
              <w:t xml:space="preserve"> </w:t>
            </w:r>
            <w:r w:rsidRPr="006818BE">
              <w:rPr>
                <w:sz w:val="20"/>
                <w:szCs w:val="20"/>
                <w:lang w:val="fr-FR" w:eastAsia="fr-FR"/>
              </w:rPr>
              <w:t xml:space="preserve"> Cancer history</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16.2.4.5</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Medical History</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16.2.4.6</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 xml:space="preserve">Prior medication </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b/>
                <w:bCs/>
                <w:sz w:val="20"/>
                <w:szCs w:val="20"/>
                <w:lang w:val="fr-FR" w:eastAsia="fr-FR"/>
              </w:rPr>
            </w:pPr>
            <w:r w:rsidRPr="006818BE">
              <w:rPr>
                <w:b/>
                <w:bCs/>
                <w:sz w:val="20"/>
                <w:szCs w:val="20"/>
                <w:lang w:val="fr-FR" w:eastAsia="fr-FR"/>
              </w:rPr>
              <w:t>16.2.5</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fr-FR" w:eastAsia="fr-FR"/>
              </w:rPr>
            </w:pPr>
            <w:r w:rsidRPr="006818BE">
              <w:rPr>
                <w:b/>
                <w:bCs/>
                <w:sz w:val="20"/>
                <w:szCs w:val="20"/>
                <w:lang w:val="fr-FR" w:eastAsia="fr-FR"/>
              </w:rPr>
              <w:t>Compliance data</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16.2.5.1</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Treatment administration and exposure</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16.2.5.2</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Compliance</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b/>
                <w:bCs/>
                <w:sz w:val="20"/>
                <w:szCs w:val="20"/>
                <w:lang w:val="fr-FR" w:eastAsia="fr-FR"/>
              </w:rPr>
            </w:pPr>
            <w:r w:rsidRPr="006818BE">
              <w:rPr>
                <w:b/>
                <w:bCs/>
                <w:sz w:val="20"/>
                <w:szCs w:val="20"/>
                <w:lang w:val="fr-FR" w:eastAsia="fr-FR"/>
              </w:rPr>
              <w:t>16.2.6</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fr-FR" w:eastAsia="fr-FR"/>
              </w:rPr>
            </w:pPr>
            <w:r w:rsidRPr="006818BE">
              <w:rPr>
                <w:b/>
                <w:bCs/>
                <w:sz w:val="20"/>
                <w:szCs w:val="20"/>
                <w:lang w:val="fr-FR" w:eastAsia="fr-FR"/>
              </w:rPr>
              <w:t>Individual efficacy response data</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16.2.6.1</w:t>
            </w:r>
          </w:p>
        </w:tc>
        <w:tc>
          <w:tcPr>
            <w:tcW w:w="5740" w:type="dxa"/>
            <w:tcBorders>
              <w:top w:val="single" w:sz="4" w:space="0" w:color="auto"/>
              <w:left w:val="nil"/>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en-US" w:eastAsia="fr-FR"/>
              </w:rPr>
            </w:pPr>
            <w:r w:rsidRPr="006818BE">
              <w:rPr>
                <w:color w:val="000000"/>
                <w:sz w:val="20"/>
                <w:szCs w:val="20"/>
                <w:lang w:val="en-US" w:eastAsia="fr-FR"/>
              </w:rPr>
              <w:t>Primary endpoint data - Overall survival</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16.2.6.2</w:t>
            </w:r>
          </w:p>
        </w:tc>
        <w:tc>
          <w:tcPr>
            <w:tcW w:w="5740" w:type="dxa"/>
            <w:tcBorders>
              <w:top w:val="single" w:sz="4" w:space="0" w:color="auto"/>
              <w:left w:val="nil"/>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en-US" w:eastAsia="fr-FR"/>
              </w:rPr>
            </w:pPr>
            <w:r w:rsidRPr="006818BE">
              <w:rPr>
                <w:color w:val="000000"/>
                <w:sz w:val="20"/>
                <w:szCs w:val="20"/>
                <w:lang w:val="en-US" w:eastAsia="fr-FR"/>
              </w:rPr>
              <w:t>Secondary endpoint - Time to treatment failure</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16.2.6.3</w:t>
            </w:r>
          </w:p>
        </w:tc>
        <w:tc>
          <w:tcPr>
            <w:tcW w:w="5740" w:type="dxa"/>
            <w:tcBorders>
              <w:top w:val="single" w:sz="4" w:space="0" w:color="auto"/>
              <w:left w:val="nil"/>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en-US" w:eastAsia="fr-FR"/>
              </w:rPr>
            </w:pPr>
            <w:r w:rsidRPr="006818BE">
              <w:rPr>
                <w:color w:val="000000"/>
                <w:sz w:val="20"/>
                <w:szCs w:val="20"/>
                <w:lang w:val="en-US" w:eastAsia="fr-FR"/>
              </w:rPr>
              <w:t>Secondary endpoint - Twelve months survival</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16.2.6.4</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en-US" w:eastAsia="fr-FR"/>
              </w:rPr>
            </w:pPr>
            <w:r w:rsidRPr="006818BE">
              <w:rPr>
                <w:color w:val="000000"/>
                <w:sz w:val="20"/>
                <w:szCs w:val="20"/>
                <w:lang w:val="en-US" w:eastAsia="fr-FR"/>
              </w:rPr>
              <w:t>Exploratory endpoint -  Disease Control of Subsequent Second Line Treatments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b/>
                <w:bCs/>
                <w:sz w:val="20"/>
                <w:szCs w:val="20"/>
                <w:lang w:val="fr-FR" w:eastAsia="fr-FR"/>
              </w:rPr>
            </w:pPr>
            <w:r w:rsidRPr="006818BE">
              <w:rPr>
                <w:b/>
                <w:bCs/>
                <w:sz w:val="20"/>
                <w:szCs w:val="20"/>
                <w:lang w:val="fr-FR" w:eastAsia="fr-FR"/>
              </w:rPr>
              <w:t>16.2.7</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fr-FR" w:eastAsia="fr-FR"/>
              </w:rPr>
            </w:pPr>
            <w:r w:rsidRPr="006818BE">
              <w:rPr>
                <w:b/>
                <w:bCs/>
                <w:sz w:val="20"/>
                <w:szCs w:val="20"/>
                <w:lang w:val="fr-FR" w:eastAsia="fr-FR"/>
              </w:rPr>
              <w:t>Adverse events listings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16.2.7.1</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Adverse events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16.2.7.2</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Serious Adverse events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16.2.7.3</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en-US" w:eastAsia="fr-FR"/>
              </w:rPr>
            </w:pPr>
            <w:r w:rsidRPr="006818BE">
              <w:rPr>
                <w:color w:val="000000"/>
                <w:sz w:val="20"/>
                <w:szCs w:val="20"/>
                <w:lang w:val="en-US" w:eastAsia="fr-FR"/>
              </w:rPr>
              <w:t>Adverse Events leading to treatment discontinuation</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16.2.7.4</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Deaths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b/>
                <w:bCs/>
                <w:sz w:val="20"/>
                <w:szCs w:val="20"/>
                <w:lang w:val="fr-FR" w:eastAsia="fr-FR"/>
              </w:rPr>
            </w:pPr>
            <w:r w:rsidRPr="006818BE">
              <w:rPr>
                <w:b/>
                <w:bCs/>
                <w:sz w:val="20"/>
                <w:szCs w:val="20"/>
                <w:lang w:val="fr-FR" w:eastAsia="fr-FR"/>
              </w:rPr>
              <w:t>16.2.8</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fr-FR" w:eastAsia="fr-FR"/>
              </w:rPr>
            </w:pPr>
            <w:r w:rsidRPr="006818BE">
              <w:rPr>
                <w:b/>
                <w:bCs/>
                <w:sz w:val="20"/>
                <w:szCs w:val="20"/>
                <w:lang w:val="fr-FR" w:eastAsia="fr-FR"/>
              </w:rPr>
              <w:t>Individual laboratory measurments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16.2.8.1</w:t>
            </w:r>
          </w:p>
        </w:tc>
        <w:tc>
          <w:tcPr>
            <w:tcW w:w="5740" w:type="dxa"/>
            <w:tcBorders>
              <w:top w:val="single" w:sz="4" w:space="0" w:color="auto"/>
              <w:left w:val="nil"/>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 xml:space="preserve">Laboratory tests - Hematology </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16.2.8.2</w:t>
            </w:r>
          </w:p>
        </w:tc>
        <w:tc>
          <w:tcPr>
            <w:tcW w:w="5740" w:type="dxa"/>
            <w:tcBorders>
              <w:top w:val="single" w:sz="4" w:space="0" w:color="auto"/>
              <w:left w:val="nil"/>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 xml:space="preserve">Abnormal Laboratory tests - Hematology </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16.2.8.3</w:t>
            </w:r>
          </w:p>
        </w:tc>
        <w:tc>
          <w:tcPr>
            <w:tcW w:w="5740" w:type="dxa"/>
            <w:tcBorders>
              <w:top w:val="single" w:sz="4" w:space="0" w:color="auto"/>
              <w:left w:val="nil"/>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 xml:space="preserve">Laboratory tests - Chemistry </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16.2.8.4</w:t>
            </w:r>
          </w:p>
        </w:tc>
        <w:tc>
          <w:tcPr>
            <w:tcW w:w="5740" w:type="dxa"/>
            <w:tcBorders>
              <w:top w:val="single" w:sz="4" w:space="0" w:color="auto"/>
              <w:left w:val="nil"/>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 xml:space="preserve">Abnormal Laboratory tests - Chemistry </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b/>
                <w:bCs/>
                <w:sz w:val="20"/>
                <w:szCs w:val="20"/>
                <w:lang w:val="fr-FR" w:eastAsia="fr-FR"/>
              </w:rPr>
            </w:pPr>
            <w:r w:rsidRPr="006818BE">
              <w:rPr>
                <w:b/>
                <w:bCs/>
                <w:sz w:val="20"/>
                <w:szCs w:val="20"/>
                <w:lang w:val="fr-FR" w:eastAsia="fr-FR"/>
              </w:rPr>
              <w:t>16.2.9</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fr-FR" w:eastAsia="fr-FR"/>
              </w:rPr>
            </w:pPr>
            <w:r w:rsidRPr="006818BE">
              <w:rPr>
                <w:b/>
                <w:bCs/>
                <w:sz w:val="20"/>
                <w:szCs w:val="20"/>
                <w:lang w:val="fr-FR" w:eastAsia="fr-FR"/>
              </w:rPr>
              <w:t>Other safety data</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16.2.9.1</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Vital signs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16.2.9.2</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Physical examination</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16.2.9.3</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12-lead ECG</w:t>
            </w:r>
          </w:p>
        </w:tc>
      </w:tr>
      <w:tr w:rsidR="006818BE" w:rsidRPr="006818BE" w:rsidTr="006818BE">
        <w:trPr>
          <w:trHeight w:val="30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16.2.9.4</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ECOG performance status</w:t>
            </w:r>
          </w:p>
        </w:tc>
      </w:tr>
      <w:tr w:rsidR="006818BE" w:rsidRPr="006818BE" w:rsidTr="006A5A7F">
        <w:trPr>
          <w:trHeight w:val="300"/>
        </w:trPr>
        <w:tc>
          <w:tcPr>
            <w:tcW w:w="9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818BE" w:rsidRPr="006818BE" w:rsidRDefault="006818BE" w:rsidP="006818BE">
            <w:pPr>
              <w:jc w:val="left"/>
              <w:rPr>
                <w:b/>
                <w:bCs/>
                <w:sz w:val="20"/>
                <w:szCs w:val="20"/>
                <w:lang w:val="fr-FR" w:eastAsia="fr-FR"/>
              </w:rPr>
            </w:pPr>
            <w:r w:rsidRPr="006818BE">
              <w:rPr>
                <w:b/>
                <w:bCs/>
                <w:sz w:val="20"/>
                <w:szCs w:val="20"/>
                <w:lang w:val="fr-FR" w:eastAsia="fr-FR"/>
              </w:rPr>
              <w:t>16.2.10</w:t>
            </w:r>
          </w:p>
        </w:tc>
        <w:tc>
          <w:tcPr>
            <w:tcW w:w="5740" w:type="dxa"/>
            <w:tcBorders>
              <w:top w:val="single" w:sz="4" w:space="0" w:color="auto"/>
              <w:left w:val="nil"/>
              <w:bottom w:val="single" w:sz="4" w:space="0" w:color="auto"/>
              <w:right w:val="single" w:sz="4" w:space="0" w:color="auto"/>
            </w:tcBorders>
            <w:shd w:val="clear" w:color="000000" w:fill="F2F2F2"/>
            <w:vAlign w:val="bottom"/>
            <w:hideMark/>
          </w:tcPr>
          <w:p w:rsidR="006818BE" w:rsidRPr="006818BE" w:rsidRDefault="006818BE" w:rsidP="006818BE">
            <w:pPr>
              <w:jc w:val="left"/>
              <w:rPr>
                <w:b/>
                <w:bCs/>
                <w:sz w:val="20"/>
                <w:szCs w:val="20"/>
                <w:lang w:val="fr-FR" w:eastAsia="fr-FR"/>
              </w:rPr>
            </w:pPr>
            <w:r w:rsidRPr="006818BE">
              <w:rPr>
                <w:b/>
                <w:bCs/>
                <w:sz w:val="20"/>
                <w:szCs w:val="20"/>
                <w:lang w:val="fr-FR" w:eastAsia="fr-FR"/>
              </w:rPr>
              <w:t>Other listings</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16.2.10.1</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Informed consent</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16.2.10.2</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Inclusion/Exclusion criteria</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16.2.10.3</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Date of visit</w:t>
            </w:r>
          </w:p>
        </w:tc>
      </w:tr>
      <w:tr w:rsidR="006818BE" w:rsidRPr="006818BE" w:rsidTr="006818BE">
        <w:trPr>
          <w:trHeight w:val="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16.2.10.4</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6818BE" w:rsidRPr="006818BE" w:rsidRDefault="006818BE" w:rsidP="006818BE">
            <w:pPr>
              <w:jc w:val="left"/>
              <w:rPr>
                <w:color w:val="000000"/>
                <w:sz w:val="20"/>
                <w:szCs w:val="20"/>
                <w:lang w:val="fr-FR" w:eastAsia="fr-FR"/>
              </w:rPr>
            </w:pPr>
            <w:r w:rsidRPr="006818BE">
              <w:rPr>
                <w:color w:val="000000"/>
                <w:sz w:val="20"/>
                <w:szCs w:val="20"/>
                <w:lang w:val="fr-FR" w:eastAsia="fr-FR"/>
              </w:rPr>
              <w:t>Concomitant medication</w:t>
            </w:r>
          </w:p>
        </w:tc>
      </w:tr>
    </w:tbl>
    <w:p w:rsidR="005D6ED1" w:rsidRPr="005D6ED1" w:rsidRDefault="006818BE" w:rsidP="006A5A7F">
      <w:r>
        <w:br w:type="textWrapping" w:clear="all"/>
      </w:r>
    </w:p>
    <w:p w:rsidR="00500406" w:rsidRDefault="00500406">
      <w:pPr>
        <w:jc w:val="left"/>
        <w:rPr>
          <w:rFonts w:ascii="Garamond" w:hAnsi="Garamond" w:cs="Garamond"/>
          <w:b/>
          <w:i/>
          <w:kern w:val="32"/>
          <w:szCs w:val="22"/>
          <w:lang w:val="en-US"/>
        </w:rPr>
      </w:pPr>
      <w:bookmarkStart w:id="133" w:name="Appendix3"/>
      <w:bookmarkStart w:id="134" w:name="_Toc127850172"/>
      <w:bookmarkStart w:id="135" w:name="_Toc128976792"/>
      <w:bookmarkStart w:id="136" w:name="_Toc135721965"/>
      <w:bookmarkStart w:id="137" w:name="_Toc183493375"/>
      <w:bookmarkStart w:id="138" w:name="_Toc187727194"/>
      <w:bookmarkStart w:id="139" w:name="_Toc424560767"/>
      <w:r>
        <w:rPr>
          <w:rFonts w:ascii="Garamond" w:hAnsi="Garamond" w:cs="Garamond"/>
          <w:szCs w:val="22"/>
          <w:lang w:val="en-US"/>
        </w:rPr>
        <w:br w:type="page"/>
      </w:r>
    </w:p>
    <w:p w:rsidR="00500406" w:rsidRPr="00A854A8" w:rsidRDefault="00500406" w:rsidP="006A5A7F">
      <w:pPr>
        <w:pStyle w:val="2"/>
        <w:rPr>
          <w:lang w:val="en-US"/>
        </w:rPr>
      </w:pPr>
      <w:bookmarkStart w:id="140" w:name="_Toc461617890"/>
      <w:r w:rsidRPr="00A854A8">
        <w:rPr>
          <w:lang w:val="en-US"/>
        </w:rPr>
        <w:lastRenderedPageBreak/>
        <w:t xml:space="preserve">Appendix </w:t>
      </w:r>
      <w:bookmarkEnd w:id="133"/>
      <w:r w:rsidR="00A460EE">
        <w:rPr>
          <w:lang w:val="en-US"/>
        </w:rPr>
        <w:t>4</w:t>
      </w:r>
      <w:r w:rsidRPr="00A854A8">
        <w:rPr>
          <w:lang w:val="en-US"/>
        </w:rPr>
        <w:t xml:space="preserve">: </w:t>
      </w:r>
      <w:bookmarkEnd w:id="134"/>
      <w:bookmarkEnd w:id="135"/>
      <w:r w:rsidRPr="00A854A8">
        <w:rPr>
          <w:lang w:val="en-US"/>
        </w:rPr>
        <w:t>TNM Clinical Classification of Lung Cancer</w:t>
      </w:r>
      <w:bookmarkEnd w:id="136"/>
      <w:bookmarkEnd w:id="137"/>
      <w:bookmarkEnd w:id="138"/>
      <w:bookmarkEnd w:id="139"/>
      <w:bookmarkEnd w:id="140"/>
    </w:p>
    <w:p w:rsidR="00500406" w:rsidRPr="00A854A8" w:rsidRDefault="00500406" w:rsidP="00500406">
      <w:pPr>
        <w:widowControl w:val="0"/>
        <w:rPr>
          <w:rFonts w:ascii="Garamond" w:hAnsi="Garamond" w:cs="Garamond"/>
          <w:szCs w:val="22"/>
          <w:lang w:val="en-US"/>
        </w:rPr>
      </w:pPr>
      <w:r w:rsidRPr="00A854A8">
        <w:rPr>
          <w:rFonts w:ascii="Garamond" w:hAnsi="Garamond" w:cs="Garamond"/>
          <w:szCs w:val="22"/>
          <w:lang w:val="en-US"/>
        </w:rPr>
        <w:t>The TNM staging characterizes lung cancer with respect to several factors which include tumor size and location, extent of lymphatic invasion and the presence of distant metastases.</w:t>
      </w:r>
    </w:p>
    <w:p w:rsidR="00500406" w:rsidRDefault="00500406" w:rsidP="00500406">
      <w:pPr>
        <w:widowControl w:val="0"/>
        <w:rPr>
          <w:rFonts w:ascii="Garamond" w:hAnsi="Garamond" w:cs="Garamond"/>
          <w:szCs w:val="22"/>
          <w:lang w:val="en-US"/>
        </w:rPr>
      </w:pPr>
      <w:r w:rsidRPr="00A854A8">
        <w:rPr>
          <w:rFonts w:ascii="Garamond" w:hAnsi="Garamond" w:cs="Garamond"/>
          <w:szCs w:val="22"/>
          <w:lang w:val="en-US"/>
        </w:rPr>
        <w:t xml:space="preserve">The current version of the staging system used has been published in </w:t>
      </w:r>
      <w:r>
        <w:rPr>
          <w:i/>
        </w:rPr>
        <w:t>AJCC Cancer Staging Manual, 7</w:t>
      </w:r>
      <w:r>
        <w:rPr>
          <w:i/>
          <w:vertAlign w:val="superscript"/>
        </w:rPr>
        <w:t>th</w:t>
      </w:r>
      <w:r>
        <w:rPr>
          <w:i/>
        </w:rPr>
        <w:t xml:space="preserve"> edition</w:t>
      </w:r>
      <w:r>
        <w:rPr>
          <w:rFonts w:ascii="Garamond" w:hAnsi="Garamond" w:cs="Garamond"/>
          <w:szCs w:val="22"/>
          <w:lang w:val="en-US"/>
        </w:rPr>
        <w:t>:</w:t>
      </w:r>
    </w:p>
    <w:p w:rsidR="00500406" w:rsidRPr="00A854A8" w:rsidRDefault="00500406" w:rsidP="00500406">
      <w:pPr>
        <w:widowControl w:val="0"/>
        <w:rPr>
          <w:rFonts w:ascii="Garamond" w:hAnsi="Garamond" w:cs="Garamond"/>
          <w:b/>
          <w:bCs/>
          <w:szCs w:val="22"/>
          <w:lang w:val="en-US"/>
        </w:rPr>
      </w:pPr>
      <w:r w:rsidRPr="00A854A8">
        <w:rPr>
          <w:rFonts w:ascii="Garamond" w:hAnsi="Garamond" w:cs="Garamond"/>
          <w:b/>
          <w:bCs/>
          <w:szCs w:val="22"/>
          <w:lang w:val="en-US"/>
        </w:rPr>
        <w:t>Primary Tumor (T)</w:t>
      </w:r>
    </w:p>
    <w:p w:rsidR="00500406" w:rsidRPr="00A854A8" w:rsidRDefault="00500406" w:rsidP="00500406">
      <w:pPr>
        <w:widowControl w:val="0"/>
        <w:rPr>
          <w:rFonts w:ascii="Garamond" w:hAnsi="Garamond" w:cs="Garamond"/>
          <w:szCs w:val="22"/>
          <w:lang w:val="en-US"/>
        </w:rPr>
      </w:pPr>
      <w:r w:rsidRPr="00A854A8">
        <w:rPr>
          <w:rFonts w:ascii="Garamond" w:hAnsi="Garamond" w:cs="Garamond"/>
          <w:b/>
          <w:bCs/>
          <w:szCs w:val="22"/>
          <w:lang w:val="en-US"/>
        </w:rPr>
        <w:t>TX:</w:t>
      </w:r>
      <w:r w:rsidRPr="00A854A8">
        <w:rPr>
          <w:rFonts w:ascii="Garamond" w:hAnsi="Garamond" w:cs="Garamond"/>
          <w:b/>
          <w:bCs/>
          <w:szCs w:val="22"/>
          <w:lang w:val="en-US"/>
        </w:rPr>
        <w:tab/>
      </w:r>
      <w:r w:rsidRPr="00A854A8">
        <w:rPr>
          <w:rFonts w:ascii="Garamond" w:hAnsi="Garamond" w:cs="Garamond"/>
          <w:szCs w:val="22"/>
          <w:lang w:val="en-US"/>
        </w:rPr>
        <w:t>Primary tumor cannot be assessed, or tumor proven by the presence of malignant cells in sputum or bronchial washings but not visualized by imaging or bronchoscopy</w:t>
      </w:r>
    </w:p>
    <w:p w:rsidR="00500406" w:rsidRPr="004B099A" w:rsidRDefault="00500406" w:rsidP="00500406">
      <w:pPr>
        <w:widowControl w:val="0"/>
        <w:rPr>
          <w:rFonts w:ascii="Garamond" w:hAnsi="Garamond" w:cs="Garamond"/>
          <w:b/>
          <w:bCs/>
          <w:szCs w:val="22"/>
          <w:lang w:val="en-US"/>
        </w:rPr>
      </w:pPr>
      <w:r w:rsidRPr="004B099A">
        <w:rPr>
          <w:rFonts w:ascii="Garamond" w:hAnsi="Garamond" w:cs="Garamond"/>
          <w:b/>
          <w:bCs/>
          <w:szCs w:val="22"/>
          <w:lang w:val="en-US"/>
        </w:rPr>
        <w:t>TX:</w:t>
      </w:r>
      <w:r w:rsidRPr="004B099A">
        <w:rPr>
          <w:rFonts w:ascii="Garamond" w:hAnsi="Garamond" w:cs="Garamond"/>
          <w:b/>
          <w:bCs/>
          <w:szCs w:val="22"/>
          <w:lang w:val="en-US"/>
        </w:rPr>
        <w:tab/>
      </w:r>
      <w:r w:rsidRPr="004B099A">
        <w:rPr>
          <w:rFonts w:ascii="Garamond" w:hAnsi="Garamond" w:cs="Garamond"/>
          <w:szCs w:val="22"/>
          <w:lang w:val="en-US"/>
        </w:rPr>
        <w:t xml:space="preserve">Primary tumor cannot be assessed, or tumor proven by the presence of malignant cells in sputum or bronchial washings but not visualized by imaging or bronchoscopy </w:t>
      </w:r>
    </w:p>
    <w:p w:rsidR="00500406" w:rsidRPr="004B099A" w:rsidRDefault="00500406" w:rsidP="00500406">
      <w:pPr>
        <w:widowControl w:val="0"/>
        <w:rPr>
          <w:rFonts w:ascii="Garamond" w:hAnsi="Garamond" w:cs="Garamond"/>
          <w:b/>
          <w:bCs/>
          <w:szCs w:val="22"/>
          <w:lang w:val="en-US"/>
        </w:rPr>
      </w:pPr>
      <w:r w:rsidRPr="004B099A">
        <w:rPr>
          <w:rFonts w:ascii="Garamond" w:hAnsi="Garamond" w:cs="Garamond"/>
          <w:b/>
          <w:bCs/>
          <w:szCs w:val="22"/>
          <w:lang w:val="en-US"/>
        </w:rPr>
        <w:t>T0:</w:t>
      </w:r>
      <w:r w:rsidRPr="004B099A">
        <w:rPr>
          <w:rFonts w:ascii="Garamond" w:hAnsi="Garamond" w:cs="Garamond"/>
          <w:b/>
          <w:bCs/>
          <w:szCs w:val="22"/>
          <w:lang w:val="en-US"/>
        </w:rPr>
        <w:tab/>
      </w:r>
      <w:r w:rsidRPr="004B099A">
        <w:rPr>
          <w:rFonts w:ascii="Garamond" w:hAnsi="Garamond" w:cs="Garamond"/>
          <w:szCs w:val="22"/>
          <w:lang w:val="en-US"/>
        </w:rPr>
        <w:t>No evidence of primary tumor</w:t>
      </w:r>
      <w:r w:rsidRPr="004B099A">
        <w:rPr>
          <w:rFonts w:ascii="Garamond" w:hAnsi="Garamond" w:cs="Garamond"/>
          <w:b/>
          <w:bCs/>
          <w:szCs w:val="22"/>
          <w:lang w:val="en-US"/>
        </w:rPr>
        <w:t xml:space="preserve"> </w:t>
      </w:r>
    </w:p>
    <w:p w:rsidR="00500406" w:rsidRPr="004B099A" w:rsidRDefault="00500406" w:rsidP="00500406">
      <w:pPr>
        <w:widowControl w:val="0"/>
        <w:rPr>
          <w:b/>
          <w:bCs/>
          <w:szCs w:val="22"/>
          <w:lang w:val="en-US"/>
        </w:rPr>
      </w:pPr>
      <w:r w:rsidRPr="004B099A">
        <w:rPr>
          <w:rFonts w:ascii="Garamond" w:hAnsi="Garamond" w:cs="Garamond"/>
          <w:b/>
          <w:bCs/>
          <w:szCs w:val="22"/>
          <w:lang w:val="en-US"/>
        </w:rPr>
        <w:t>Tis</w:t>
      </w:r>
      <w:r>
        <w:rPr>
          <w:rFonts w:ascii="Garamond" w:hAnsi="Garamond" w:cs="Garamond"/>
          <w:b/>
          <w:bCs/>
          <w:szCs w:val="22"/>
          <w:lang w:val="en-US"/>
        </w:rPr>
        <w:t>:</w:t>
      </w:r>
      <w:r>
        <w:rPr>
          <w:rFonts w:ascii="Garamond" w:hAnsi="Garamond" w:cs="Garamond"/>
          <w:b/>
          <w:bCs/>
          <w:szCs w:val="22"/>
          <w:lang w:val="en-US"/>
        </w:rPr>
        <w:tab/>
      </w:r>
      <w:r w:rsidRPr="004B099A">
        <w:rPr>
          <w:rFonts w:ascii="Garamond" w:hAnsi="Garamond" w:cs="Garamond"/>
          <w:szCs w:val="22"/>
          <w:lang w:val="en-US"/>
        </w:rPr>
        <w:t>Carcinoma in situ</w:t>
      </w:r>
      <w:r w:rsidRPr="004B099A">
        <w:rPr>
          <w:rFonts w:ascii="Garamond" w:hAnsi="Garamond" w:cs="Garamond"/>
          <w:b/>
          <w:bCs/>
          <w:szCs w:val="22"/>
          <w:lang w:val="en-US"/>
        </w:rPr>
        <w:t xml:space="preserve"> </w:t>
      </w:r>
    </w:p>
    <w:p w:rsidR="00500406" w:rsidRPr="004B099A" w:rsidRDefault="00500406" w:rsidP="00500406">
      <w:pPr>
        <w:widowControl w:val="0"/>
        <w:rPr>
          <w:rFonts w:ascii="Garamond" w:hAnsi="Garamond" w:cs="Garamond"/>
          <w:b/>
          <w:bCs/>
          <w:szCs w:val="22"/>
          <w:lang w:val="en-US"/>
        </w:rPr>
      </w:pPr>
      <w:r w:rsidRPr="004B099A">
        <w:rPr>
          <w:rFonts w:ascii="Garamond" w:hAnsi="Garamond" w:cs="Garamond"/>
          <w:b/>
          <w:bCs/>
          <w:szCs w:val="22"/>
          <w:lang w:val="en-US"/>
        </w:rPr>
        <w:t>T1:</w:t>
      </w:r>
      <w:r w:rsidRPr="004B099A">
        <w:rPr>
          <w:rFonts w:ascii="Garamond" w:hAnsi="Garamond" w:cs="Garamond"/>
          <w:b/>
          <w:bCs/>
          <w:szCs w:val="22"/>
          <w:lang w:val="en-US"/>
        </w:rPr>
        <w:tab/>
      </w:r>
      <w:r w:rsidRPr="004B099A">
        <w:rPr>
          <w:rFonts w:ascii="Garamond" w:hAnsi="Garamond" w:cs="Garamond"/>
          <w:szCs w:val="22"/>
          <w:lang w:val="en-US"/>
        </w:rPr>
        <w:t>Tumor 3 cm or less in greatest dimension, surrounded by lung or visceral pleura, without bronchoscopic evidence of invasion more proximal than the lobar bronchus (for example, not in the main bronchus)</w:t>
      </w:r>
      <w:r w:rsidRPr="004B099A">
        <w:rPr>
          <w:rFonts w:ascii="Garamond" w:hAnsi="Garamond" w:cs="Garamond"/>
          <w:szCs w:val="22"/>
          <w:vertAlign w:val="superscript"/>
          <w:lang w:val="en-US"/>
        </w:rPr>
        <w:t>1</w:t>
      </w:r>
      <w:r w:rsidRPr="004B099A">
        <w:rPr>
          <w:rFonts w:ascii="Garamond" w:hAnsi="Garamond" w:cs="Garamond"/>
          <w:b/>
          <w:bCs/>
          <w:szCs w:val="22"/>
          <w:lang w:val="en-US"/>
        </w:rPr>
        <w:t xml:space="preserve"> </w:t>
      </w:r>
    </w:p>
    <w:p w:rsidR="00500406" w:rsidRDefault="00500406" w:rsidP="00500406">
      <w:pPr>
        <w:widowControl w:val="0"/>
        <w:rPr>
          <w:rFonts w:ascii="Garamond" w:hAnsi="Garamond" w:cs="Garamond"/>
          <w:b/>
          <w:bCs/>
          <w:szCs w:val="22"/>
          <w:lang w:val="en-US"/>
        </w:rPr>
      </w:pPr>
      <w:r w:rsidRPr="004B099A">
        <w:rPr>
          <w:rFonts w:ascii="Garamond" w:hAnsi="Garamond" w:cs="Garamond"/>
          <w:b/>
          <w:bCs/>
          <w:szCs w:val="22"/>
          <w:lang w:val="en-US"/>
        </w:rPr>
        <w:t>T1a</w:t>
      </w:r>
      <w:r>
        <w:rPr>
          <w:rFonts w:ascii="Garamond" w:hAnsi="Garamond" w:cs="Garamond"/>
          <w:b/>
          <w:bCs/>
          <w:szCs w:val="22"/>
          <w:lang w:val="en-US"/>
        </w:rPr>
        <w:t>:</w:t>
      </w:r>
      <w:r>
        <w:rPr>
          <w:rFonts w:ascii="Garamond" w:hAnsi="Garamond" w:cs="Garamond"/>
          <w:b/>
          <w:bCs/>
          <w:szCs w:val="22"/>
          <w:lang w:val="en-US"/>
        </w:rPr>
        <w:tab/>
      </w:r>
      <w:r w:rsidRPr="004B099A">
        <w:rPr>
          <w:rFonts w:ascii="Garamond" w:hAnsi="Garamond" w:cs="Garamond"/>
          <w:szCs w:val="22"/>
          <w:lang w:val="en-US"/>
        </w:rPr>
        <w:t>Tumor 2 cm or less in greatest dimension</w:t>
      </w:r>
      <w:r w:rsidRPr="004B099A">
        <w:rPr>
          <w:rFonts w:ascii="Garamond" w:hAnsi="Garamond" w:cs="Garamond"/>
          <w:b/>
          <w:bCs/>
          <w:szCs w:val="22"/>
          <w:lang w:val="en-US"/>
        </w:rPr>
        <w:t xml:space="preserve"> </w:t>
      </w:r>
    </w:p>
    <w:p w:rsidR="00500406" w:rsidRPr="004B099A" w:rsidRDefault="00500406" w:rsidP="00500406">
      <w:pPr>
        <w:widowControl w:val="0"/>
        <w:rPr>
          <w:rFonts w:ascii="Garamond" w:hAnsi="Garamond" w:cs="Garamond"/>
          <w:b/>
          <w:bCs/>
          <w:szCs w:val="22"/>
          <w:lang w:val="en-US"/>
        </w:rPr>
      </w:pPr>
      <w:r>
        <w:rPr>
          <w:rFonts w:ascii="Garamond" w:hAnsi="Garamond" w:cs="Garamond"/>
          <w:b/>
          <w:bCs/>
          <w:szCs w:val="22"/>
          <w:lang w:val="en-US"/>
        </w:rPr>
        <w:t>T1b:</w:t>
      </w:r>
      <w:r>
        <w:rPr>
          <w:rFonts w:ascii="Garamond" w:hAnsi="Garamond" w:cs="Garamond"/>
          <w:b/>
          <w:bCs/>
          <w:szCs w:val="22"/>
          <w:lang w:val="en-US"/>
        </w:rPr>
        <w:tab/>
      </w:r>
      <w:r w:rsidRPr="004B099A">
        <w:rPr>
          <w:rFonts w:ascii="Garamond" w:hAnsi="Garamond" w:cs="Garamond"/>
          <w:szCs w:val="22"/>
          <w:lang w:val="en-US"/>
        </w:rPr>
        <w:t>Tumor more than 2 cm but 3 cm or less in greatest dimension</w:t>
      </w:r>
      <w:r w:rsidRPr="004B099A">
        <w:rPr>
          <w:rFonts w:ascii="Garamond" w:hAnsi="Garamond" w:cs="Garamond"/>
          <w:b/>
          <w:bCs/>
          <w:szCs w:val="22"/>
          <w:lang w:val="en-US"/>
        </w:rPr>
        <w:t xml:space="preserve"> </w:t>
      </w:r>
    </w:p>
    <w:p w:rsidR="00500406" w:rsidRDefault="00500406" w:rsidP="00500406">
      <w:pPr>
        <w:widowControl w:val="0"/>
        <w:rPr>
          <w:rFonts w:ascii="Garamond" w:hAnsi="Garamond" w:cs="Garamond"/>
          <w:szCs w:val="22"/>
          <w:lang w:val="en-US"/>
        </w:rPr>
      </w:pPr>
      <w:r>
        <w:rPr>
          <w:rFonts w:ascii="Garamond" w:hAnsi="Garamond" w:cs="Garamond"/>
          <w:b/>
          <w:bCs/>
          <w:szCs w:val="22"/>
          <w:lang w:val="en-US"/>
        </w:rPr>
        <w:t>T2:</w:t>
      </w:r>
      <w:r>
        <w:rPr>
          <w:rFonts w:ascii="Garamond" w:hAnsi="Garamond" w:cs="Garamond"/>
          <w:b/>
          <w:bCs/>
          <w:szCs w:val="22"/>
          <w:lang w:val="en-US"/>
        </w:rPr>
        <w:tab/>
      </w:r>
      <w:r w:rsidRPr="004B099A">
        <w:rPr>
          <w:rFonts w:ascii="Garamond" w:hAnsi="Garamond" w:cs="Garamond"/>
          <w:szCs w:val="22"/>
          <w:lang w:val="en-US"/>
        </w:rPr>
        <w:t xml:space="preserve">Tumor more than 3 cm but 7 cm or less or tumor with any of the following features (T2 tumors with these features are classified T2a if 5 cm or less): involves main bronchus, 2 cm or more distal to the carina; invades visceral pleura (PL1 or PL2); associated with atelectasis or obstructive pneumonitis that extends to the hilar region but does not involve the entire lung </w:t>
      </w:r>
    </w:p>
    <w:p w:rsidR="00500406" w:rsidRDefault="00500406" w:rsidP="00500406">
      <w:pPr>
        <w:widowControl w:val="0"/>
        <w:rPr>
          <w:rFonts w:ascii="Garamond" w:hAnsi="Garamond" w:cs="Garamond"/>
          <w:szCs w:val="22"/>
          <w:lang w:val="en-US"/>
        </w:rPr>
      </w:pPr>
      <w:r w:rsidRPr="004B099A">
        <w:rPr>
          <w:rFonts w:ascii="Garamond" w:hAnsi="Garamond" w:cs="Garamond"/>
          <w:b/>
          <w:bCs/>
          <w:szCs w:val="22"/>
          <w:lang w:val="en-US"/>
        </w:rPr>
        <w:t>T2a:</w:t>
      </w:r>
      <w:r>
        <w:rPr>
          <w:rFonts w:ascii="Garamond" w:hAnsi="Garamond" w:cs="Garamond"/>
          <w:szCs w:val="22"/>
          <w:lang w:val="en-US"/>
        </w:rPr>
        <w:tab/>
      </w:r>
      <w:r w:rsidRPr="004B099A">
        <w:rPr>
          <w:rFonts w:ascii="Garamond" w:hAnsi="Garamond" w:cs="Garamond"/>
          <w:szCs w:val="22"/>
          <w:lang w:val="en-US"/>
        </w:rPr>
        <w:t xml:space="preserve">Tumor more than 3 cm but 5 cm or less in greatest dimension </w:t>
      </w:r>
    </w:p>
    <w:p w:rsidR="00500406" w:rsidRPr="004B099A" w:rsidRDefault="00500406" w:rsidP="00500406">
      <w:pPr>
        <w:widowControl w:val="0"/>
        <w:rPr>
          <w:rFonts w:ascii="Garamond" w:hAnsi="Garamond" w:cs="Garamond"/>
          <w:b/>
          <w:bCs/>
          <w:szCs w:val="22"/>
          <w:lang w:val="en-US"/>
        </w:rPr>
      </w:pPr>
      <w:r w:rsidRPr="004B099A">
        <w:rPr>
          <w:rFonts w:ascii="Garamond" w:hAnsi="Garamond" w:cs="Garamond"/>
          <w:b/>
          <w:bCs/>
          <w:szCs w:val="22"/>
          <w:lang w:val="en-US"/>
        </w:rPr>
        <w:t>T2b:</w:t>
      </w:r>
      <w:r>
        <w:rPr>
          <w:rFonts w:ascii="Garamond" w:hAnsi="Garamond" w:cs="Garamond"/>
          <w:szCs w:val="22"/>
          <w:lang w:val="en-US"/>
        </w:rPr>
        <w:tab/>
      </w:r>
      <w:r w:rsidRPr="004B099A">
        <w:rPr>
          <w:rFonts w:ascii="Garamond" w:hAnsi="Garamond" w:cs="Garamond"/>
          <w:szCs w:val="22"/>
          <w:lang w:val="en-US"/>
        </w:rPr>
        <w:t>Tumor more than 5 cm but 7 cm or less in greatest dimension</w:t>
      </w:r>
    </w:p>
    <w:p w:rsidR="00500406" w:rsidRPr="004B099A" w:rsidRDefault="00500406" w:rsidP="00500406">
      <w:pPr>
        <w:widowControl w:val="0"/>
        <w:rPr>
          <w:rFonts w:ascii="Garamond" w:hAnsi="Garamond" w:cs="Garamond"/>
          <w:b/>
          <w:bCs/>
          <w:szCs w:val="22"/>
          <w:lang w:val="en-US"/>
        </w:rPr>
      </w:pPr>
      <w:r>
        <w:rPr>
          <w:rFonts w:ascii="Garamond" w:hAnsi="Garamond" w:cs="Garamond"/>
          <w:b/>
          <w:bCs/>
          <w:szCs w:val="22"/>
          <w:lang w:val="en-US"/>
        </w:rPr>
        <w:t>T3:</w:t>
      </w:r>
      <w:r>
        <w:rPr>
          <w:rFonts w:ascii="Garamond" w:hAnsi="Garamond" w:cs="Garamond"/>
          <w:b/>
          <w:bCs/>
          <w:szCs w:val="22"/>
          <w:lang w:val="en-US"/>
        </w:rPr>
        <w:tab/>
      </w:r>
      <w:r w:rsidRPr="004B099A">
        <w:rPr>
          <w:rFonts w:ascii="Garamond" w:hAnsi="Garamond" w:cs="Garamond"/>
          <w:szCs w:val="22"/>
          <w:lang w:val="en-US"/>
        </w:rPr>
        <w:t>Tumor more than 7 cm or one that directly invades any of the following: parietal pleural (PL3), chest wall (including superior sulcus tumors), diaphragm, phrenic nerve, mediastinal pleura, parietal pericardium; or tumor in the main bronchus less than 2 cm distal to the carina1 but without involvement of the carina; or associated atelectasis or obstructive pneumonitis of the entire lung or separate tumor nodule(s) in the same lobe</w:t>
      </w:r>
      <w:r w:rsidRPr="004B099A">
        <w:rPr>
          <w:rFonts w:ascii="Garamond" w:hAnsi="Garamond" w:cs="Garamond"/>
          <w:b/>
          <w:bCs/>
          <w:szCs w:val="22"/>
          <w:lang w:val="en-US"/>
        </w:rPr>
        <w:t xml:space="preserve"> </w:t>
      </w:r>
    </w:p>
    <w:p w:rsidR="00500406" w:rsidRDefault="00500406" w:rsidP="00500406">
      <w:pPr>
        <w:widowControl w:val="0"/>
        <w:rPr>
          <w:rFonts w:ascii="Garamond" w:hAnsi="Garamond" w:cs="Garamond"/>
          <w:szCs w:val="22"/>
          <w:lang w:val="en-US"/>
        </w:rPr>
      </w:pPr>
      <w:r>
        <w:rPr>
          <w:rFonts w:ascii="Garamond" w:hAnsi="Garamond" w:cs="Garamond"/>
          <w:b/>
          <w:bCs/>
          <w:szCs w:val="22"/>
          <w:lang w:val="en-US"/>
        </w:rPr>
        <w:t>T4:</w:t>
      </w:r>
      <w:r>
        <w:rPr>
          <w:rFonts w:ascii="Garamond" w:hAnsi="Garamond" w:cs="Garamond"/>
          <w:b/>
          <w:bCs/>
          <w:szCs w:val="22"/>
          <w:lang w:val="en-US"/>
        </w:rPr>
        <w:tab/>
      </w:r>
      <w:r w:rsidRPr="004B099A">
        <w:rPr>
          <w:rFonts w:ascii="Garamond" w:hAnsi="Garamond" w:cs="Garamond"/>
          <w:szCs w:val="22"/>
          <w:lang w:val="en-US"/>
        </w:rPr>
        <w:t>Tumor of any size that invades any of the following: mediastinum, heart, great vessels, trachea, recurrent laryngeal nerve, esophagus, vertebral body, carina, separate tumor nodule(s) in a different ipsilateral lobeDistant Metastasis (M) M0 No distant metastasis M1 Distant metastasis M1a Separate tumor nodule(s) in a contralateral lobe, tumor with pleural nodules or malignant pleural (or pericardial) effusion2 M1b Distant metastasis (in extrathoracic organs)</w:t>
      </w:r>
    </w:p>
    <w:p w:rsidR="00500406" w:rsidRPr="00A854A8" w:rsidRDefault="00500406" w:rsidP="00500406">
      <w:pPr>
        <w:widowControl w:val="0"/>
        <w:ind w:left="720" w:hanging="720"/>
        <w:rPr>
          <w:rFonts w:ascii="Garamond" w:hAnsi="Garamond" w:cs="Garamond"/>
          <w:b/>
          <w:bCs/>
          <w:szCs w:val="22"/>
          <w:lang w:val="en-US"/>
        </w:rPr>
      </w:pPr>
      <w:r w:rsidRPr="00A854A8">
        <w:rPr>
          <w:rFonts w:ascii="Garamond" w:hAnsi="Garamond" w:cs="Garamond"/>
          <w:b/>
          <w:bCs/>
          <w:szCs w:val="22"/>
          <w:lang w:val="en-US"/>
        </w:rPr>
        <w:t>Distant Metastasis (M)</w:t>
      </w:r>
    </w:p>
    <w:p w:rsidR="00500406" w:rsidRPr="00544E1E" w:rsidRDefault="00500406" w:rsidP="00500406">
      <w:pPr>
        <w:widowControl w:val="0"/>
        <w:ind w:left="720" w:hanging="720"/>
        <w:rPr>
          <w:rFonts w:ascii="Garamond" w:hAnsi="Garamond" w:cs="Garamond"/>
          <w:b/>
          <w:bCs/>
          <w:szCs w:val="22"/>
          <w:lang w:val="pt-BR"/>
        </w:rPr>
      </w:pPr>
      <w:r w:rsidRPr="005C472D">
        <w:rPr>
          <w:rFonts w:ascii="Garamond" w:hAnsi="Garamond" w:cs="Garamond"/>
          <w:b/>
          <w:bCs/>
          <w:szCs w:val="22"/>
          <w:lang w:val="pt-BR"/>
        </w:rPr>
        <w:t>M0:</w:t>
      </w:r>
      <w:r>
        <w:rPr>
          <w:rFonts w:ascii="Garamond" w:hAnsi="Garamond" w:cs="Garamond"/>
          <w:b/>
          <w:bCs/>
          <w:szCs w:val="22"/>
          <w:lang w:val="pt-BR"/>
        </w:rPr>
        <w:tab/>
      </w:r>
      <w:r w:rsidRPr="005C472D">
        <w:rPr>
          <w:rFonts w:ascii="Garamond" w:hAnsi="Garamond" w:cs="Garamond"/>
          <w:szCs w:val="22"/>
          <w:lang w:val="pt-BR"/>
        </w:rPr>
        <w:t>No distant metastasis</w:t>
      </w:r>
    </w:p>
    <w:p w:rsidR="00500406" w:rsidRPr="00544E1E" w:rsidRDefault="00500406" w:rsidP="00500406">
      <w:pPr>
        <w:widowControl w:val="0"/>
        <w:ind w:left="720" w:hanging="720"/>
        <w:rPr>
          <w:rFonts w:ascii="Garamond" w:hAnsi="Garamond" w:cs="Garamond"/>
          <w:b/>
          <w:bCs/>
          <w:szCs w:val="22"/>
          <w:lang w:val="pt-BR"/>
        </w:rPr>
      </w:pPr>
      <w:r w:rsidRPr="005C472D">
        <w:rPr>
          <w:rFonts w:ascii="Garamond" w:hAnsi="Garamond" w:cs="Garamond"/>
          <w:b/>
          <w:bCs/>
          <w:szCs w:val="22"/>
          <w:lang w:val="pt-BR"/>
        </w:rPr>
        <w:t>M1:</w:t>
      </w:r>
      <w:r>
        <w:rPr>
          <w:rFonts w:ascii="Garamond" w:hAnsi="Garamond" w:cs="Garamond"/>
          <w:b/>
          <w:bCs/>
          <w:szCs w:val="22"/>
          <w:lang w:val="pt-BR"/>
        </w:rPr>
        <w:tab/>
      </w:r>
      <w:r w:rsidRPr="005C472D">
        <w:rPr>
          <w:rFonts w:ascii="Garamond" w:hAnsi="Garamond" w:cs="Garamond"/>
          <w:szCs w:val="22"/>
          <w:lang w:val="pt-BR"/>
        </w:rPr>
        <w:t>Distant metastasis present</w:t>
      </w:r>
    </w:p>
    <w:p w:rsidR="00500406" w:rsidRDefault="00500406" w:rsidP="00500406">
      <w:pPr>
        <w:widowControl w:val="0"/>
        <w:ind w:left="720" w:hanging="720"/>
        <w:rPr>
          <w:rFonts w:ascii="Garamond" w:hAnsi="Garamond" w:cs="Garamond"/>
          <w:b/>
          <w:bCs/>
          <w:szCs w:val="22"/>
          <w:lang w:val="en-US"/>
        </w:rPr>
      </w:pPr>
      <w:r>
        <w:rPr>
          <w:rFonts w:ascii="Garamond" w:hAnsi="Garamond" w:cs="Garamond"/>
          <w:b/>
          <w:bCs/>
          <w:szCs w:val="22"/>
          <w:lang w:val="en-US"/>
        </w:rPr>
        <w:t>M1a:</w:t>
      </w:r>
      <w:r>
        <w:rPr>
          <w:rFonts w:ascii="Garamond" w:hAnsi="Garamond" w:cs="Garamond"/>
          <w:b/>
          <w:bCs/>
          <w:szCs w:val="22"/>
          <w:lang w:val="en-US"/>
        </w:rPr>
        <w:tab/>
        <w:t>Separate tumor nodule(s) in a contralateral lobe, tumor with pleural nodules or malignant pleural (or pericardial) effision</w:t>
      </w:r>
      <w:r w:rsidRPr="00AA311D">
        <w:rPr>
          <w:rFonts w:ascii="Garamond" w:hAnsi="Garamond" w:cs="Garamond"/>
          <w:b/>
          <w:bCs/>
          <w:szCs w:val="22"/>
          <w:vertAlign w:val="superscript"/>
          <w:lang w:val="en-US"/>
        </w:rPr>
        <w:t>2</w:t>
      </w:r>
    </w:p>
    <w:p w:rsidR="00500406" w:rsidRDefault="00500406" w:rsidP="00500406">
      <w:pPr>
        <w:widowControl w:val="0"/>
        <w:ind w:left="720" w:hanging="720"/>
        <w:rPr>
          <w:rFonts w:ascii="Garamond" w:hAnsi="Garamond" w:cs="Garamond"/>
          <w:b/>
          <w:bCs/>
          <w:szCs w:val="22"/>
          <w:lang w:val="en-US"/>
        </w:rPr>
      </w:pPr>
      <w:r>
        <w:rPr>
          <w:rFonts w:ascii="Garamond" w:hAnsi="Garamond" w:cs="Garamond"/>
          <w:b/>
          <w:bCs/>
          <w:szCs w:val="22"/>
          <w:lang w:val="en-US"/>
        </w:rPr>
        <w:t>M1b:</w:t>
      </w:r>
      <w:r>
        <w:rPr>
          <w:rFonts w:ascii="Garamond" w:hAnsi="Garamond" w:cs="Garamond"/>
          <w:b/>
          <w:bCs/>
          <w:szCs w:val="22"/>
          <w:lang w:val="en-US"/>
        </w:rPr>
        <w:tab/>
        <w:t>Distant metastasis (in extrathoracic organs)</w:t>
      </w:r>
    </w:p>
    <w:p w:rsidR="00500406" w:rsidRPr="00A854A8" w:rsidRDefault="00500406" w:rsidP="00500406">
      <w:pPr>
        <w:widowControl w:val="0"/>
        <w:ind w:left="1440" w:hanging="1440"/>
        <w:rPr>
          <w:rFonts w:ascii="Garamond" w:hAnsi="Garamond" w:cs="Garamond"/>
          <w:szCs w:val="22"/>
          <w:lang w:val="en-US"/>
        </w:rPr>
      </w:pPr>
      <w:r w:rsidRPr="008C269B">
        <w:rPr>
          <w:rFonts w:ascii="Garamond" w:hAnsi="Garamond" w:cs="Garamond"/>
          <w:szCs w:val="22"/>
          <w:vertAlign w:val="superscript"/>
          <w:lang w:val="en-US"/>
        </w:rPr>
        <w:t>1</w:t>
      </w:r>
      <w:r>
        <w:rPr>
          <w:rFonts w:ascii="Garamond" w:hAnsi="Garamond" w:cs="Garamond"/>
          <w:szCs w:val="22"/>
          <w:lang w:val="en-US"/>
        </w:rPr>
        <w:t xml:space="preserve"> N</w:t>
      </w:r>
      <w:r w:rsidRPr="00A854A8">
        <w:rPr>
          <w:rFonts w:ascii="Garamond" w:hAnsi="Garamond" w:cs="Garamond"/>
          <w:szCs w:val="22"/>
          <w:lang w:val="en-US"/>
        </w:rPr>
        <w:t>ote:</w:t>
      </w:r>
      <w:r w:rsidRPr="00A854A8">
        <w:rPr>
          <w:rFonts w:ascii="Garamond" w:hAnsi="Garamond" w:cs="Garamond"/>
          <w:szCs w:val="22"/>
          <w:lang w:val="en-US"/>
        </w:rPr>
        <w:tab/>
      </w:r>
      <w:r w:rsidRPr="008C269B">
        <w:rPr>
          <w:rFonts w:ascii="Garamond" w:hAnsi="Garamond" w:cs="Garamond"/>
          <w:szCs w:val="22"/>
          <w:lang w:val="en-US"/>
        </w:rPr>
        <w:t>The uncommon superficial spreading tumor of any size with its invasive component limited to the bronchial wall, which may extend proximally to the main bronchus, is also classified as T1a</w:t>
      </w:r>
      <w:r>
        <w:rPr>
          <w:rFonts w:ascii="Garamond" w:hAnsi="Garamond" w:cs="Garamond"/>
          <w:szCs w:val="22"/>
          <w:lang w:val="en-US"/>
        </w:rPr>
        <w:t>.</w:t>
      </w:r>
    </w:p>
    <w:p w:rsidR="00500406" w:rsidRPr="00A854A8" w:rsidRDefault="00500406" w:rsidP="00500406">
      <w:pPr>
        <w:widowControl w:val="0"/>
        <w:ind w:left="1440" w:hanging="1440"/>
        <w:rPr>
          <w:rFonts w:ascii="Garamond" w:hAnsi="Garamond" w:cs="Garamond"/>
          <w:szCs w:val="22"/>
          <w:lang w:val="en-US"/>
        </w:rPr>
      </w:pPr>
      <w:r w:rsidRPr="008C269B">
        <w:rPr>
          <w:rFonts w:ascii="Garamond" w:hAnsi="Garamond" w:cs="Garamond"/>
          <w:szCs w:val="22"/>
          <w:vertAlign w:val="superscript"/>
          <w:lang w:val="en-US"/>
        </w:rPr>
        <w:t>2</w:t>
      </w:r>
      <w:r>
        <w:rPr>
          <w:rFonts w:ascii="Garamond" w:hAnsi="Garamond" w:cs="Garamond"/>
          <w:szCs w:val="22"/>
          <w:lang w:val="en-US"/>
        </w:rPr>
        <w:t xml:space="preserve"> </w:t>
      </w:r>
      <w:r w:rsidRPr="00A854A8">
        <w:rPr>
          <w:rFonts w:ascii="Garamond" w:hAnsi="Garamond" w:cs="Garamond"/>
          <w:szCs w:val="22"/>
          <w:lang w:val="en-US"/>
        </w:rPr>
        <w:t>Note:</w:t>
      </w:r>
      <w:r w:rsidRPr="00A854A8">
        <w:rPr>
          <w:rFonts w:ascii="Garamond" w:hAnsi="Garamond" w:cs="Garamond"/>
          <w:szCs w:val="22"/>
          <w:lang w:val="en-US"/>
        </w:rPr>
        <w:tab/>
      </w:r>
      <w:r w:rsidRPr="00B40ED4">
        <w:rPr>
          <w:rFonts w:ascii="Garamond" w:hAnsi="Garamond" w:cs="Garamond"/>
          <w:szCs w:val="22"/>
          <w:lang w:val="en-US"/>
        </w:rPr>
        <w:t>Most pleural (and pericardial) effusions with lung cancer are due to tumor. In a few patients, however, multiple cytopathologic examinations of pleural (pericardial) fluid are negative for tumor, and the fluid is nonbloody and is not an exudate. Where these elements and clinical judgment dictate that the effusion is not related to the tumor, the effusion should be excluded as a staging element and the patient should be classified as M0.</w:t>
      </w:r>
    </w:p>
    <w:p w:rsidR="00500406" w:rsidRPr="00A854A8" w:rsidRDefault="00500406" w:rsidP="00500406">
      <w:pPr>
        <w:widowControl w:val="0"/>
        <w:ind w:left="1440" w:hanging="1440"/>
        <w:rPr>
          <w:rFonts w:ascii="Garamond" w:hAnsi="Garamond" w:cs="Garamond"/>
          <w:b/>
          <w:bCs/>
          <w:szCs w:val="22"/>
          <w:lang w:val="en-US"/>
        </w:rPr>
      </w:pPr>
      <w:r w:rsidRPr="00A854A8">
        <w:rPr>
          <w:rFonts w:ascii="Garamond" w:hAnsi="Garamond" w:cs="Garamond"/>
          <w:b/>
          <w:bCs/>
          <w:szCs w:val="22"/>
          <w:lang w:val="en-US"/>
        </w:rPr>
        <w:t>Regional Lymph Nodes (N)</w:t>
      </w:r>
    </w:p>
    <w:p w:rsidR="00500406" w:rsidRPr="00A854A8" w:rsidRDefault="00500406" w:rsidP="00500406">
      <w:pPr>
        <w:widowControl w:val="0"/>
        <w:ind w:left="1440" w:hanging="1440"/>
        <w:rPr>
          <w:rFonts w:ascii="Garamond" w:hAnsi="Garamond" w:cs="Garamond"/>
          <w:szCs w:val="22"/>
          <w:lang w:val="en-US"/>
        </w:rPr>
      </w:pPr>
      <w:r w:rsidRPr="00A854A8">
        <w:rPr>
          <w:rFonts w:ascii="Garamond" w:hAnsi="Garamond" w:cs="Garamond"/>
          <w:szCs w:val="22"/>
          <w:lang w:val="en-US"/>
        </w:rPr>
        <w:t>The regional lymph nodes are the intrathoracic, scalene and supraclavicular nodes</w:t>
      </w:r>
    </w:p>
    <w:p w:rsidR="00500406" w:rsidRPr="00A854A8" w:rsidRDefault="00500406" w:rsidP="00500406">
      <w:pPr>
        <w:widowControl w:val="0"/>
        <w:ind w:left="720" w:hanging="720"/>
        <w:rPr>
          <w:rFonts w:ascii="Garamond" w:hAnsi="Garamond" w:cs="Garamond"/>
          <w:szCs w:val="22"/>
          <w:lang w:val="en-US"/>
        </w:rPr>
      </w:pPr>
      <w:r w:rsidRPr="00A854A8">
        <w:rPr>
          <w:rFonts w:ascii="Garamond" w:hAnsi="Garamond" w:cs="Garamond"/>
          <w:b/>
          <w:bCs/>
          <w:szCs w:val="22"/>
          <w:lang w:val="en-US"/>
        </w:rPr>
        <w:lastRenderedPageBreak/>
        <w:t>NX:</w:t>
      </w:r>
      <w:r w:rsidRPr="00A854A8">
        <w:rPr>
          <w:rFonts w:ascii="Garamond" w:hAnsi="Garamond" w:cs="Garamond"/>
          <w:b/>
          <w:bCs/>
          <w:szCs w:val="22"/>
          <w:lang w:val="en-US"/>
        </w:rPr>
        <w:tab/>
      </w:r>
      <w:r w:rsidRPr="00A854A8">
        <w:rPr>
          <w:rFonts w:ascii="Garamond" w:hAnsi="Garamond" w:cs="Garamond"/>
          <w:szCs w:val="22"/>
          <w:lang w:val="en-US"/>
        </w:rPr>
        <w:t>Regional lymph nodes cannot be assessed</w:t>
      </w:r>
    </w:p>
    <w:p w:rsidR="00500406" w:rsidRPr="00544E1E" w:rsidRDefault="00500406" w:rsidP="00500406">
      <w:pPr>
        <w:widowControl w:val="0"/>
        <w:ind w:left="720" w:hanging="720"/>
        <w:rPr>
          <w:rFonts w:ascii="Garamond" w:hAnsi="Garamond" w:cs="Garamond"/>
          <w:szCs w:val="22"/>
          <w:lang w:val="pt-BR"/>
        </w:rPr>
      </w:pPr>
      <w:r w:rsidRPr="005C472D">
        <w:rPr>
          <w:rFonts w:ascii="Garamond" w:hAnsi="Garamond" w:cs="Garamond"/>
          <w:b/>
          <w:bCs/>
          <w:szCs w:val="22"/>
          <w:lang w:val="pt-BR"/>
        </w:rPr>
        <w:t>N0:</w:t>
      </w:r>
      <w:r>
        <w:rPr>
          <w:rFonts w:ascii="Garamond" w:hAnsi="Garamond" w:cs="Garamond"/>
          <w:b/>
          <w:bCs/>
          <w:szCs w:val="22"/>
          <w:lang w:val="pt-BR"/>
        </w:rPr>
        <w:tab/>
      </w:r>
      <w:r w:rsidRPr="005C472D">
        <w:rPr>
          <w:rFonts w:ascii="Garamond" w:hAnsi="Garamond" w:cs="Garamond"/>
          <w:szCs w:val="22"/>
          <w:lang w:val="pt-BR"/>
        </w:rPr>
        <w:t>No regional lymph node metastasis</w:t>
      </w:r>
    </w:p>
    <w:p w:rsidR="00500406" w:rsidRPr="00A854A8" w:rsidRDefault="00500406" w:rsidP="00500406">
      <w:pPr>
        <w:widowControl w:val="0"/>
        <w:ind w:left="720" w:hanging="720"/>
        <w:rPr>
          <w:rFonts w:ascii="Garamond" w:hAnsi="Garamond" w:cs="Garamond"/>
          <w:szCs w:val="22"/>
          <w:lang w:val="en-US"/>
        </w:rPr>
      </w:pPr>
      <w:r w:rsidRPr="00A854A8">
        <w:rPr>
          <w:rFonts w:ascii="Garamond" w:hAnsi="Garamond" w:cs="Garamond"/>
          <w:b/>
          <w:bCs/>
          <w:szCs w:val="22"/>
          <w:lang w:val="en-US"/>
        </w:rPr>
        <w:t>N1:</w:t>
      </w:r>
      <w:r w:rsidRPr="00A854A8">
        <w:rPr>
          <w:rFonts w:ascii="Garamond" w:hAnsi="Garamond" w:cs="Garamond"/>
          <w:szCs w:val="22"/>
          <w:lang w:val="en-US"/>
        </w:rPr>
        <w:tab/>
        <w:t>Metastasis in ipsilateral peribronchial and/or ipsilateral hilar lymph nodes and intrapulmonary nodes</w:t>
      </w:r>
      <w:r>
        <w:rPr>
          <w:rFonts w:ascii="Garamond" w:hAnsi="Garamond" w:cs="Garamond"/>
          <w:szCs w:val="22"/>
          <w:lang w:val="en-US"/>
        </w:rPr>
        <w:t>,</w:t>
      </w:r>
      <w:r w:rsidRPr="00A854A8">
        <w:rPr>
          <w:rFonts w:ascii="Garamond" w:hAnsi="Garamond" w:cs="Garamond"/>
          <w:szCs w:val="22"/>
          <w:lang w:val="en-US"/>
        </w:rPr>
        <w:t xml:space="preserve"> including involvement by direct extension</w:t>
      </w:r>
    </w:p>
    <w:p w:rsidR="00500406" w:rsidRPr="00A854A8" w:rsidRDefault="00500406" w:rsidP="00500406">
      <w:pPr>
        <w:widowControl w:val="0"/>
        <w:ind w:left="720" w:hanging="720"/>
        <w:rPr>
          <w:rFonts w:ascii="Garamond" w:hAnsi="Garamond" w:cs="Garamond"/>
          <w:szCs w:val="22"/>
          <w:lang w:val="en-US"/>
        </w:rPr>
      </w:pPr>
      <w:r w:rsidRPr="00A854A8">
        <w:rPr>
          <w:rFonts w:ascii="Garamond" w:hAnsi="Garamond" w:cs="Garamond"/>
          <w:b/>
          <w:bCs/>
          <w:szCs w:val="22"/>
          <w:lang w:val="en-US"/>
        </w:rPr>
        <w:t>N2:</w:t>
      </w:r>
      <w:r w:rsidRPr="00A854A8">
        <w:rPr>
          <w:rFonts w:ascii="Garamond" w:hAnsi="Garamond" w:cs="Garamond"/>
          <w:szCs w:val="22"/>
          <w:lang w:val="en-US"/>
        </w:rPr>
        <w:tab/>
        <w:t>Metastasis in ipsilateral mediastinal and/or subcranial lymph node(s)</w:t>
      </w:r>
    </w:p>
    <w:p w:rsidR="00500406" w:rsidRPr="00A854A8" w:rsidRDefault="00500406" w:rsidP="00500406">
      <w:pPr>
        <w:widowControl w:val="0"/>
        <w:ind w:left="720" w:hanging="720"/>
        <w:rPr>
          <w:rFonts w:ascii="Garamond" w:hAnsi="Garamond" w:cs="Garamond"/>
          <w:szCs w:val="22"/>
          <w:lang w:val="en-US"/>
        </w:rPr>
      </w:pPr>
      <w:r w:rsidRPr="00A854A8">
        <w:rPr>
          <w:rFonts w:ascii="Garamond" w:hAnsi="Garamond" w:cs="Garamond"/>
          <w:b/>
          <w:bCs/>
          <w:szCs w:val="22"/>
          <w:lang w:val="en-US"/>
        </w:rPr>
        <w:t>N3:</w:t>
      </w:r>
      <w:r w:rsidRPr="00A854A8">
        <w:rPr>
          <w:rFonts w:ascii="Garamond" w:hAnsi="Garamond" w:cs="Garamond"/>
          <w:szCs w:val="22"/>
          <w:lang w:val="en-US"/>
        </w:rPr>
        <w:tab/>
        <w:t>Metastasis in contralateral mediastinal, contralateral hilar, ipsilateral or contralateral scalene</w:t>
      </w:r>
      <w:r>
        <w:rPr>
          <w:rFonts w:ascii="Garamond" w:hAnsi="Garamond" w:cs="Garamond"/>
          <w:szCs w:val="22"/>
          <w:lang w:val="en-US"/>
        </w:rPr>
        <w:t>,</w:t>
      </w:r>
      <w:r w:rsidRPr="00A854A8">
        <w:rPr>
          <w:rFonts w:ascii="Garamond" w:hAnsi="Garamond" w:cs="Garamond"/>
          <w:szCs w:val="22"/>
          <w:lang w:val="en-US"/>
        </w:rPr>
        <w:t xml:space="preserve"> or supraclavicular lymph node(s)</w:t>
      </w:r>
    </w:p>
    <w:p w:rsidR="00500406" w:rsidRDefault="00500406" w:rsidP="00500406">
      <w:pPr>
        <w:keepNext/>
        <w:widowControl w:val="0"/>
        <w:ind w:left="720" w:hanging="720"/>
        <w:rPr>
          <w:rFonts w:ascii="Garamond" w:hAnsi="Garamond" w:cs="Garamond"/>
          <w:b/>
          <w:bCs/>
          <w:szCs w:val="22"/>
          <w:lang w:val="en-US"/>
        </w:rPr>
      </w:pPr>
      <w:r w:rsidRPr="00A854A8">
        <w:rPr>
          <w:rFonts w:ascii="Garamond" w:hAnsi="Garamond" w:cs="Garamond"/>
          <w:b/>
          <w:bCs/>
          <w:szCs w:val="22"/>
          <w:lang w:val="en-US"/>
        </w:rPr>
        <w:t>AJCC Stage Groupings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80"/>
        <w:gridCol w:w="1002"/>
        <w:gridCol w:w="1002"/>
        <w:gridCol w:w="1004"/>
      </w:tblGrid>
      <w:tr w:rsidR="00500406" w:rsidTr="006A5A7F">
        <w:trPr>
          <w:trHeight w:hRule="exact" w:val="284"/>
        </w:trPr>
        <w:tc>
          <w:tcPr>
            <w:tcW w:w="4787" w:type="dxa"/>
            <w:gridSpan w:val="4"/>
            <w:vAlign w:val="center"/>
          </w:tcPr>
          <w:p w:rsidR="00500406" w:rsidRPr="003B77D5" w:rsidRDefault="00500406" w:rsidP="006A5A7F">
            <w:pPr>
              <w:keepNext/>
              <w:jc w:val="center"/>
              <w:rPr>
                <w:color w:val="000000"/>
                <w:sz w:val="19"/>
                <w:szCs w:val="19"/>
                <w:lang w:val="en-US"/>
              </w:rPr>
            </w:pPr>
            <w:r w:rsidRPr="003B77D5">
              <w:rPr>
                <w:b/>
                <w:color w:val="000000"/>
                <w:sz w:val="19"/>
                <w:szCs w:val="19"/>
                <w:lang w:val="en-US"/>
              </w:rPr>
              <w:t>ANATOMIC STAGE / PROGNOSTIC GROUPS</w:t>
            </w:r>
          </w:p>
        </w:tc>
      </w:tr>
      <w:tr w:rsidR="00500406" w:rsidTr="006A5A7F">
        <w:trPr>
          <w:trHeight w:hRule="exact" w:val="284"/>
        </w:trPr>
        <w:tc>
          <w:tcPr>
            <w:tcW w:w="1780" w:type="dxa"/>
            <w:vAlign w:val="center"/>
          </w:tcPr>
          <w:p w:rsidR="00500406" w:rsidRPr="003B77D5" w:rsidRDefault="00500406" w:rsidP="006A5A7F">
            <w:pPr>
              <w:keepNext/>
              <w:rPr>
                <w:color w:val="000000"/>
                <w:sz w:val="19"/>
                <w:szCs w:val="19"/>
                <w:lang w:val="en-US"/>
              </w:rPr>
            </w:pPr>
            <w:r w:rsidRPr="003B77D5">
              <w:rPr>
                <w:color w:val="000000"/>
                <w:sz w:val="19"/>
                <w:szCs w:val="19"/>
                <w:lang w:val="en-US"/>
              </w:rPr>
              <w:t>Occult carcinoma</w:t>
            </w:r>
          </w:p>
        </w:tc>
        <w:tc>
          <w:tcPr>
            <w:tcW w:w="1002" w:type="dxa"/>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TX</w:t>
            </w:r>
          </w:p>
        </w:tc>
        <w:tc>
          <w:tcPr>
            <w:tcW w:w="1002" w:type="dxa"/>
            <w:vAlign w:val="center"/>
          </w:tcPr>
          <w:p w:rsidR="00500406" w:rsidRPr="003B77D5" w:rsidRDefault="00500406" w:rsidP="006A5A7F">
            <w:pPr>
              <w:keepNext/>
              <w:rPr>
                <w:color w:val="000000"/>
                <w:sz w:val="19"/>
                <w:szCs w:val="19"/>
                <w:lang w:val="en-US"/>
              </w:rPr>
            </w:pPr>
            <w:r w:rsidRPr="003B77D5">
              <w:rPr>
                <w:color w:val="000000"/>
                <w:sz w:val="19"/>
                <w:szCs w:val="19"/>
                <w:lang w:val="en-US"/>
              </w:rPr>
              <w:t>N0</w:t>
            </w:r>
          </w:p>
        </w:tc>
        <w:tc>
          <w:tcPr>
            <w:tcW w:w="1004" w:type="dxa"/>
            <w:vAlign w:val="center"/>
          </w:tcPr>
          <w:p w:rsidR="00500406" w:rsidRPr="003B77D5" w:rsidRDefault="00500406" w:rsidP="006A5A7F">
            <w:pPr>
              <w:keepNext/>
              <w:rPr>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bottom w:val="single" w:sz="4" w:space="0" w:color="000000"/>
            </w:tcBorders>
            <w:vAlign w:val="center"/>
          </w:tcPr>
          <w:p w:rsidR="00500406" w:rsidRPr="003B77D5" w:rsidRDefault="00500406" w:rsidP="006A5A7F">
            <w:pPr>
              <w:keepNext/>
              <w:rPr>
                <w:color w:val="000000"/>
                <w:sz w:val="19"/>
                <w:szCs w:val="19"/>
                <w:lang w:val="en-US"/>
              </w:rPr>
            </w:pPr>
            <w:r w:rsidRPr="003B77D5">
              <w:rPr>
                <w:color w:val="000000"/>
                <w:sz w:val="19"/>
                <w:szCs w:val="19"/>
                <w:lang w:val="en-US"/>
              </w:rPr>
              <w:t>Stage 0</w:t>
            </w:r>
          </w:p>
        </w:tc>
        <w:tc>
          <w:tcPr>
            <w:tcW w:w="1002" w:type="dxa"/>
            <w:tcBorders>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Tis</w:t>
            </w:r>
          </w:p>
        </w:tc>
        <w:tc>
          <w:tcPr>
            <w:tcW w:w="1002" w:type="dxa"/>
            <w:tcBorders>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N0</w:t>
            </w:r>
          </w:p>
        </w:tc>
        <w:tc>
          <w:tcPr>
            <w:tcW w:w="1004" w:type="dxa"/>
            <w:tcBorders>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bottom w:val="nil"/>
            </w:tcBorders>
            <w:vAlign w:val="center"/>
          </w:tcPr>
          <w:p w:rsidR="00500406" w:rsidRPr="003B77D5" w:rsidRDefault="00500406" w:rsidP="006A5A7F">
            <w:pPr>
              <w:keepNext/>
              <w:rPr>
                <w:color w:val="000000"/>
                <w:sz w:val="19"/>
                <w:szCs w:val="19"/>
                <w:lang w:val="en-US"/>
              </w:rPr>
            </w:pPr>
            <w:r w:rsidRPr="003B77D5">
              <w:rPr>
                <w:color w:val="000000"/>
                <w:sz w:val="19"/>
                <w:szCs w:val="19"/>
                <w:lang w:val="en-US"/>
              </w:rPr>
              <w:t>Stage 1A</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T1a</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N0</w:t>
            </w:r>
          </w:p>
        </w:tc>
        <w:tc>
          <w:tcPr>
            <w:tcW w:w="1004"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T1b</w:t>
            </w:r>
          </w:p>
        </w:tc>
        <w:tc>
          <w:tcPr>
            <w:tcW w:w="1002" w:type="dxa"/>
            <w:tcBorders>
              <w:top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N0</w:t>
            </w:r>
          </w:p>
        </w:tc>
        <w:tc>
          <w:tcPr>
            <w:tcW w:w="1004" w:type="dxa"/>
            <w:tcBorders>
              <w:top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bottom w:val="single" w:sz="4" w:space="0" w:color="000000"/>
            </w:tcBorders>
            <w:vAlign w:val="center"/>
          </w:tcPr>
          <w:p w:rsidR="00500406" w:rsidRPr="003B77D5" w:rsidRDefault="00500406" w:rsidP="006A5A7F">
            <w:pPr>
              <w:keepNext/>
              <w:rPr>
                <w:color w:val="000000"/>
                <w:sz w:val="19"/>
                <w:szCs w:val="19"/>
                <w:lang w:val="en-US"/>
              </w:rPr>
            </w:pPr>
            <w:r w:rsidRPr="003B77D5">
              <w:rPr>
                <w:color w:val="000000"/>
                <w:sz w:val="19"/>
                <w:szCs w:val="19"/>
                <w:lang w:val="en-US"/>
              </w:rPr>
              <w:t>Stage 1B</w:t>
            </w:r>
          </w:p>
        </w:tc>
        <w:tc>
          <w:tcPr>
            <w:tcW w:w="1002" w:type="dxa"/>
            <w:tcBorders>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T2a</w:t>
            </w:r>
          </w:p>
        </w:tc>
        <w:tc>
          <w:tcPr>
            <w:tcW w:w="1002" w:type="dxa"/>
            <w:tcBorders>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N0</w:t>
            </w:r>
          </w:p>
        </w:tc>
        <w:tc>
          <w:tcPr>
            <w:tcW w:w="1004" w:type="dxa"/>
            <w:tcBorders>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bottom w:val="nil"/>
            </w:tcBorders>
            <w:vAlign w:val="center"/>
          </w:tcPr>
          <w:p w:rsidR="00500406" w:rsidRPr="003B77D5" w:rsidRDefault="00500406" w:rsidP="006A5A7F">
            <w:pPr>
              <w:keepNext/>
              <w:rPr>
                <w:color w:val="000000"/>
                <w:sz w:val="19"/>
                <w:szCs w:val="19"/>
                <w:lang w:val="en-US"/>
              </w:rPr>
            </w:pPr>
            <w:r w:rsidRPr="003B77D5">
              <w:rPr>
                <w:color w:val="000000"/>
                <w:sz w:val="19"/>
                <w:szCs w:val="19"/>
                <w:lang w:val="en-US"/>
              </w:rPr>
              <w:t>Stage IIA</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T2b</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N0</w:t>
            </w:r>
          </w:p>
        </w:tc>
        <w:tc>
          <w:tcPr>
            <w:tcW w:w="1004"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T1a</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N1</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T1b</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N1</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single" w:sz="4" w:space="0" w:color="000000"/>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T2a</w:t>
            </w:r>
          </w:p>
        </w:tc>
        <w:tc>
          <w:tcPr>
            <w:tcW w:w="1002"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N1</w:t>
            </w:r>
          </w:p>
        </w:tc>
        <w:tc>
          <w:tcPr>
            <w:tcW w:w="1004"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bottom w:val="nil"/>
            </w:tcBorders>
            <w:vAlign w:val="center"/>
          </w:tcPr>
          <w:p w:rsidR="00500406" w:rsidRPr="003B77D5" w:rsidRDefault="00500406" w:rsidP="006A5A7F">
            <w:pPr>
              <w:keepNext/>
              <w:rPr>
                <w:color w:val="000000"/>
                <w:sz w:val="19"/>
                <w:szCs w:val="19"/>
                <w:lang w:val="en-US"/>
              </w:rPr>
            </w:pPr>
            <w:r w:rsidRPr="003B77D5">
              <w:rPr>
                <w:color w:val="000000"/>
                <w:sz w:val="19"/>
                <w:szCs w:val="19"/>
                <w:lang w:val="en-US"/>
              </w:rPr>
              <w:t>Stage IIB</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T2b</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N1</w:t>
            </w:r>
          </w:p>
        </w:tc>
        <w:tc>
          <w:tcPr>
            <w:tcW w:w="1004"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single" w:sz="4" w:space="0" w:color="000000"/>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T3</w:t>
            </w:r>
          </w:p>
        </w:tc>
        <w:tc>
          <w:tcPr>
            <w:tcW w:w="1002"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N0</w:t>
            </w:r>
          </w:p>
        </w:tc>
        <w:tc>
          <w:tcPr>
            <w:tcW w:w="1004"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bottom w:val="nil"/>
            </w:tcBorders>
            <w:vAlign w:val="center"/>
          </w:tcPr>
          <w:p w:rsidR="00500406" w:rsidRPr="003B77D5" w:rsidRDefault="00500406" w:rsidP="006A5A7F">
            <w:pPr>
              <w:keepNext/>
              <w:rPr>
                <w:color w:val="000000"/>
                <w:sz w:val="19"/>
                <w:szCs w:val="19"/>
                <w:lang w:val="en-US"/>
              </w:rPr>
            </w:pPr>
            <w:r w:rsidRPr="003B77D5">
              <w:rPr>
                <w:color w:val="000000"/>
                <w:sz w:val="19"/>
                <w:szCs w:val="19"/>
                <w:lang w:val="en-US"/>
              </w:rPr>
              <w:t>Stage IIIA</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T1a</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N2</w:t>
            </w:r>
          </w:p>
        </w:tc>
        <w:tc>
          <w:tcPr>
            <w:tcW w:w="1004"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T1b</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N2</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T2a</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N2</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T2b</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N2</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T3</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N1</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T3</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N2</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T4</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N0</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top w:val="nil"/>
              <w:bottom w:val="single" w:sz="4" w:space="0" w:color="000000"/>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T4</w:t>
            </w:r>
          </w:p>
        </w:tc>
        <w:tc>
          <w:tcPr>
            <w:tcW w:w="1002"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N1</w:t>
            </w:r>
          </w:p>
        </w:tc>
        <w:tc>
          <w:tcPr>
            <w:tcW w:w="1004"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M0</w:t>
            </w:r>
          </w:p>
        </w:tc>
      </w:tr>
      <w:tr w:rsidR="00500406" w:rsidTr="006A5A7F">
        <w:trPr>
          <w:trHeight w:hRule="exact" w:val="284"/>
        </w:trPr>
        <w:tc>
          <w:tcPr>
            <w:tcW w:w="1780" w:type="dxa"/>
            <w:tcBorders>
              <w:bottom w:val="nil"/>
            </w:tcBorders>
            <w:vAlign w:val="center"/>
          </w:tcPr>
          <w:p w:rsidR="00500406" w:rsidRPr="003B77D5" w:rsidRDefault="00500406" w:rsidP="006A5A7F">
            <w:pPr>
              <w:keepNext/>
              <w:rPr>
                <w:color w:val="000000"/>
                <w:sz w:val="19"/>
                <w:szCs w:val="19"/>
                <w:lang w:val="en-US"/>
              </w:rPr>
            </w:pPr>
            <w:r w:rsidRPr="003B77D5">
              <w:rPr>
                <w:color w:val="000000"/>
                <w:sz w:val="19"/>
                <w:szCs w:val="19"/>
                <w:lang w:val="en-US"/>
              </w:rPr>
              <w:t>Stage IIIB</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T1a</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N3</w:t>
            </w:r>
          </w:p>
        </w:tc>
        <w:tc>
          <w:tcPr>
            <w:tcW w:w="1004" w:type="dxa"/>
            <w:tcBorders>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T1b</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N3</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T2a</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N3</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T2b</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N3</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T3</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N3</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M0</w:t>
            </w:r>
          </w:p>
        </w:tc>
      </w:tr>
      <w:tr w:rsidR="00500406" w:rsidTr="006A5A7F">
        <w:trPr>
          <w:trHeight w:hRule="exact" w:val="284"/>
        </w:trPr>
        <w:tc>
          <w:tcPr>
            <w:tcW w:w="1780" w:type="dxa"/>
            <w:tcBorders>
              <w:top w:val="nil"/>
              <w:bottom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T4</w:t>
            </w:r>
          </w:p>
        </w:tc>
        <w:tc>
          <w:tcPr>
            <w:tcW w:w="1002"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N2</w:t>
            </w:r>
          </w:p>
        </w:tc>
        <w:tc>
          <w:tcPr>
            <w:tcW w:w="1004" w:type="dxa"/>
            <w:tcBorders>
              <w:top w:val="dashSmallGap" w:sz="4" w:space="0" w:color="auto"/>
              <w:bottom w:val="dashSmallGap" w:sz="4" w:space="0" w:color="auto"/>
            </w:tcBorders>
            <w:vAlign w:val="center"/>
          </w:tcPr>
          <w:p w:rsidR="00500406" w:rsidRPr="003B77D5" w:rsidRDefault="00500406" w:rsidP="006A5A7F">
            <w:pPr>
              <w:keepNext/>
              <w:rPr>
                <w:rFonts w:cs="Cambria"/>
                <w:b/>
                <w:bCs/>
              </w:rPr>
            </w:pPr>
            <w:r w:rsidRPr="003B77D5">
              <w:rPr>
                <w:color w:val="000000"/>
                <w:sz w:val="19"/>
                <w:szCs w:val="19"/>
                <w:lang w:val="en-US"/>
              </w:rPr>
              <w:t>M0</w:t>
            </w:r>
          </w:p>
        </w:tc>
      </w:tr>
      <w:tr w:rsidR="00500406" w:rsidTr="006A5A7F">
        <w:trPr>
          <w:trHeight w:hRule="exact" w:val="284"/>
        </w:trPr>
        <w:tc>
          <w:tcPr>
            <w:tcW w:w="1780" w:type="dxa"/>
            <w:tcBorders>
              <w:top w:val="nil"/>
              <w:bottom w:val="single" w:sz="4" w:space="0" w:color="000000"/>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bottom w:val="single" w:sz="4" w:space="0" w:color="000000"/>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T4</w:t>
            </w:r>
          </w:p>
        </w:tc>
        <w:tc>
          <w:tcPr>
            <w:tcW w:w="1002" w:type="dxa"/>
            <w:tcBorders>
              <w:top w:val="dashSmallGap" w:sz="4" w:space="0" w:color="auto"/>
              <w:bottom w:val="single" w:sz="4" w:space="0" w:color="000000"/>
            </w:tcBorders>
            <w:vAlign w:val="center"/>
          </w:tcPr>
          <w:p w:rsidR="00500406" w:rsidRPr="003B77D5" w:rsidRDefault="00500406" w:rsidP="006A5A7F">
            <w:pPr>
              <w:keepNext/>
              <w:rPr>
                <w:rFonts w:cs="Cambria"/>
                <w:b/>
                <w:bCs/>
              </w:rPr>
            </w:pPr>
            <w:r w:rsidRPr="003B77D5">
              <w:rPr>
                <w:color w:val="000000"/>
                <w:sz w:val="19"/>
                <w:szCs w:val="19"/>
                <w:lang w:val="en-US"/>
              </w:rPr>
              <w:t>N3</w:t>
            </w:r>
          </w:p>
        </w:tc>
        <w:tc>
          <w:tcPr>
            <w:tcW w:w="1004" w:type="dxa"/>
            <w:tcBorders>
              <w:top w:val="dashSmallGap" w:sz="4" w:space="0" w:color="auto"/>
              <w:bottom w:val="single" w:sz="4" w:space="0" w:color="000000"/>
            </w:tcBorders>
            <w:vAlign w:val="center"/>
          </w:tcPr>
          <w:p w:rsidR="00500406" w:rsidRPr="003B77D5" w:rsidRDefault="00500406" w:rsidP="006A5A7F">
            <w:pPr>
              <w:keepNext/>
              <w:rPr>
                <w:rFonts w:cs="Cambria"/>
                <w:b/>
                <w:bCs/>
              </w:rPr>
            </w:pPr>
            <w:r w:rsidRPr="003B77D5">
              <w:rPr>
                <w:color w:val="000000"/>
                <w:sz w:val="19"/>
                <w:szCs w:val="19"/>
                <w:lang w:val="en-US"/>
              </w:rPr>
              <w:t>M0</w:t>
            </w:r>
          </w:p>
        </w:tc>
      </w:tr>
      <w:tr w:rsidR="00500406" w:rsidTr="006A5A7F">
        <w:trPr>
          <w:trHeight w:hRule="exact" w:val="284"/>
        </w:trPr>
        <w:tc>
          <w:tcPr>
            <w:tcW w:w="1780" w:type="dxa"/>
            <w:tcBorders>
              <w:bottom w:val="nil"/>
            </w:tcBorders>
            <w:vAlign w:val="center"/>
          </w:tcPr>
          <w:p w:rsidR="00500406" w:rsidRPr="003B77D5" w:rsidRDefault="00500406" w:rsidP="006A5A7F">
            <w:pPr>
              <w:keepNext/>
              <w:rPr>
                <w:color w:val="000000"/>
                <w:sz w:val="19"/>
                <w:szCs w:val="19"/>
                <w:lang w:val="en-US"/>
              </w:rPr>
            </w:pPr>
            <w:r w:rsidRPr="003B77D5">
              <w:rPr>
                <w:color w:val="000000"/>
                <w:sz w:val="19"/>
                <w:szCs w:val="19"/>
                <w:lang w:val="en-US"/>
              </w:rPr>
              <w:t>Stage IV</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Any T</w:t>
            </w:r>
          </w:p>
        </w:tc>
        <w:tc>
          <w:tcPr>
            <w:tcW w:w="1002"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 xml:space="preserve">Any </w:t>
            </w:r>
            <w:r>
              <w:rPr>
                <w:color w:val="000000"/>
                <w:sz w:val="19"/>
                <w:szCs w:val="19"/>
                <w:lang w:val="en-US"/>
              </w:rPr>
              <w:t>N</w:t>
            </w:r>
          </w:p>
        </w:tc>
        <w:tc>
          <w:tcPr>
            <w:tcW w:w="1004" w:type="dxa"/>
            <w:tcBorders>
              <w:bottom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M1a</w:t>
            </w:r>
          </w:p>
        </w:tc>
      </w:tr>
      <w:tr w:rsidR="00500406" w:rsidTr="006A5A7F">
        <w:trPr>
          <w:trHeight w:hRule="exact" w:val="284"/>
        </w:trPr>
        <w:tc>
          <w:tcPr>
            <w:tcW w:w="1780" w:type="dxa"/>
            <w:tcBorders>
              <w:top w:val="nil"/>
            </w:tcBorders>
            <w:vAlign w:val="center"/>
          </w:tcPr>
          <w:p w:rsidR="00500406" w:rsidRPr="003B77D5" w:rsidRDefault="00500406" w:rsidP="006A5A7F">
            <w:pPr>
              <w:keepNext/>
              <w:rPr>
                <w:color w:val="000000"/>
                <w:sz w:val="19"/>
                <w:szCs w:val="19"/>
                <w:lang w:val="en-US"/>
              </w:rPr>
            </w:pPr>
          </w:p>
        </w:tc>
        <w:tc>
          <w:tcPr>
            <w:tcW w:w="1002" w:type="dxa"/>
            <w:tcBorders>
              <w:top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Any T</w:t>
            </w:r>
          </w:p>
        </w:tc>
        <w:tc>
          <w:tcPr>
            <w:tcW w:w="1002" w:type="dxa"/>
            <w:tcBorders>
              <w:top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 xml:space="preserve">Any </w:t>
            </w:r>
            <w:r>
              <w:rPr>
                <w:color w:val="000000"/>
                <w:sz w:val="19"/>
                <w:szCs w:val="19"/>
                <w:lang w:val="en-US"/>
              </w:rPr>
              <w:t>N</w:t>
            </w:r>
          </w:p>
        </w:tc>
        <w:tc>
          <w:tcPr>
            <w:tcW w:w="1004" w:type="dxa"/>
            <w:tcBorders>
              <w:top w:val="dashSmallGap" w:sz="4" w:space="0" w:color="auto"/>
            </w:tcBorders>
            <w:vAlign w:val="center"/>
          </w:tcPr>
          <w:p w:rsidR="00500406" w:rsidRPr="003B77D5" w:rsidRDefault="00500406" w:rsidP="006A5A7F">
            <w:pPr>
              <w:keepNext/>
              <w:rPr>
                <w:rFonts w:cs="Cambria"/>
                <w:b/>
                <w:bCs/>
                <w:color w:val="000000"/>
                <w:sz w:val="19"/>
                <w:szCs w:val="19"/>
                <w:lang w:val="en-US"/>
              </w:rPr>
            </w:pPr>
            <w:r w:rsidRPr="003B77D5">
              <w:rPr>
                <w:color w:val="000000"/>
                <w:sz w:val="19"/>
                <w:szCs w:val="19"/>
                <w:lang w:val="en-US"/>
              </w:rPr>
              <w:t>M1b</w:t>
            </w:r>
          </w:p>
        </w:tc>
      </w:tr>
    </w:tbl>
    <w:p w:rsidR="00500406" w:rsidRDefault="00500406" w:rsidP="00500406">
      <w:pPr>
        <w:widowControl w:val="0"/>
        <w:ind w:left="720" w:hanging="720"/>
        <w:rPr>
          <w:rFonts w:ascii="Garamond" w:hAnsi="Garamond" w:cs="Garamond"/>
          <w:szCs w:val="22"/>
          <w:lang w:val="en-US"/>
        </w:rPr>
      </w:pPr>
    </w:p>
    <w:p w:rsidR="00500406" w:rsidRDefault="00500406" w:rsidP="006A5A7F">
      <w:pPr>
        <w:pStyle w:val="2"/>
        <w:rPr>
          <w:lang w:val="en-US"/>
        </w:rPr>
      </w:pPr>
      <w:r w:rsidRPr="00A854A8">
        <w:rPr>
          <w:lang w:val="en-US"/>
        </w:rPr>
        <w:br w:type="page"/>
      </w:r>
      <w:bookmarkStart w:id="141" w:name="Appendix4"/>
      <w:bookmarkStart w:id="142" w:name="_Toc127850173"/>
      <w:bookmarkStart w:id="143" w:name="_Toc128976793"/>
      <w:bookmarkStart w:id="144" w:name="_Toc135721966"/>
      <w:bookmarkStart w:id="145" w:name="_Toc183493376"/>
      <w:bookmarkStart w:id="146" w:name="_Toc187727195"/>
      <w:bookmarkStart w:id="147" w:name="_Toc424560768"/>
      <w:bookmarkStart w:id="148" w:name="_Ref443402180"/>
      <w:bookmarkStart w:id="149" w:name="_Toc461617891"/>
      <w:r w:rsidRPr="00A854A8">
        <w:rPr>
          <w:lang w:val="en-US"/>
        </w:rPr>
        <w:lastRenderedPageBreak/>
        <w:t xml:space="preserve">Appendix </w:t>
      </w:r>
      <w:bookmarkEnd w:id="141"/>
      <w:r w:rsidR="00A460EE">
        <w:rPr>
          <w:lang w:val="en-US"/>
        </w:rPr>
        <w:t>5</w:t>
      </w:r>
      <w:r w:rsidRPr="00A854A8">
        <w:rPr>
          <w:lang w:val="en-US"/>
        </w:rPr>
        <w:t>: ECOG Performance Status</w:t>
      </w:r>
      <w:bookmarkEnd w:id="142"/>
      <w:bookmarkEnd w:id="143"/>
      <w:bookmarkEnd w:id="144"/>
      <w:bookmarkEnd w:id="145"/>
      <w:bookmarkEnd w:id="146"/>
      <w:bookmarkEnd w:id="147"/>
      <w:bookmarkEnd w:id="148"/>
      <w:bookmarkEnd w:id="149"/>
    </w:p>
    <w:p w:rsidR="00500406" w:rsidRPr="00A47E9B" w:rsidRDefault="00500406" w:rsidP="0050040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8028"/>
      </w:tblGrid>
      <w:tr w:rsidR="00500406" w:rsidRPr="00A854A8" w:rsidTr="006A5A7F">
        <w:tc>
          <w:tcPr>
            <w:tcW w:w="828" w:type="dxa"/>
          </w:tcPr>
          <w:p w:rsidR="00500406" w:rsidRPr="00A854A8" w:rsidRDefault="00500406" w:rsidP="006A5A7F">
            <w:pPr>
              <w:pStyle w:val="tabletextNS"/>
              <w:widowControl w:val="0"/>
              <w:rPr>
                <w:rFonts w:ascii="Garamond" w:hAnsi="Garamond" w:cs="Garamond"/>
                <w:b/>
                <w:bCs/>
                <w:lang w:val="en-US"/>
              </w:rPr>
            </w:pPr>
            <w:bookmarkStart w:id="150" w:name="_Hlt83546531"/>
            <w:bookmarkEnd w:id="150"/>
            <w:r w:rsidRPr="00A854A8">
              <w:rPr>
                <w:rFonts w:ascii="Garamond" w:hAnsi="Garamond" w:cs="Garamond"/>
                <w:b/>
                <w:bCs/>
                <w:sz w:val="22"/>
                <w:szCs w:val="22"/>
                <w:lang w:val="en-US"/>
              </w:rPr>
              <w:t>Grade</w:t>
            </w:r>
          </w:p>
        </w:tc>
        <w:tc>
          <w:tcPr>
            <w:tcW w:w="8028" w:type="dxa"/>
          </w:tcPr>
          <w:p w:rsidR="00500406" w:rsidRPr="00A854A8" w:rsidRDefault="00500406" w:rsidP="006A5A7F">
            <w:pPr>
              <w:pStyle w:val="tabletextNS"/>
              <w:widowControl w:val="0"/>
              <w:rPr>
                <w:rFonts w:ascii="Garamond" w:hAnsi="Garamond" w:cs="Garamond"/>
                <w:b/>
                <w:bCs/>
                <w:lang w:val="en-US"/>
              </w:rPr>
            </w:pPr>
            <w:r w:rsidRPr="00A854A8">
              <w:rPr>
                <w:rFonts w:ascii="Garamond" w:hAnsi="Garamond" w:cs="Garamond"/>
                <w:b/>
                <w:bCs/>
                <w:sz w:val="22"/>
                <w:szCs w:val="22"/>
                <w:lang w:val="en-US"/>
              </w:rPr>
              <w:t>Eastern Cooperative Oncology Group (ECOG)</w:t>
            </w:r>
          </w:p>
        </w:tc>
      </w:tr>
      <w:tr w:rsidR="00500406" w:rsidRPr="00A854A8" w:rsidTr="006A5A7F">
        <w:tc>
          <w:tcPr>
            <w:tcW w:w="8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0</w:t>
            </w:r>
          </w:p>
        </w:tc>
        <w:tc>
          <w:tcPr>
            <w:tcW w:w="80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Fully active, able to carry on all pre-disease performance without restriction</w:t>
            </w:r>
          </w:p>
        </w:tc>
      </w:tr>
      <w:tr w:rsidR="00500406" w:rsidRPr="00A854A8" w:rsidTr="006A5A7F">
        <w:tc>
          <w:tcPr>
            <w:tcW w:w="8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1</w:t>
            </w:r>
          </w:p>
        </w:tc>
        <w:tc>
          <w:tcPr>
            <w:tcW w:w="80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 xml:space="preserve">Restricted in physically strenuous activity, but ambulatory and able to carry out work of a light or sedentary nature, </w:t>
            </w:r>
            <w:r w:rsidRPr="005551C4">
              <w:rPr>
                <w:rFonts w:ascii="Garamond" w:hAnsi="Garamond" w:cs="Garamond"/>
                <w:i/>
                <w:sz w:val="22"/>
                <w:szCs w:val="22"/>
                <w:lang w:val="en-US"/>
              </w:rPr>
              <w:t>e.g.</w:t>
            </w:r>
            <w:r w:rsidRPr="00A854A8">
              <w:rPr>
                <w:rFonts w:ascii="Garamond" w:hAnsi="Garamond" w:cs="Garamond"/>
                <w:sz w:val="22"/>
                <w:szCs w:val="22"/>
                <w:lang w:val="en-US"/>
              </w:rPr>
              <w:t>, light house work, office work</w:t>
            </w:r>
          </w:p>
        </w:tc>
      </w:tr>
      <w:tr w:rsidR="00500406" w:rsidRPr="00A854A8" w:rsidTr="006A5A7F">
        <w:tc>
          <w:tcPr>
            <w:tcW w:w="8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2</w:t>
            </w:r>
          </w:p>
        </w:tc>
        <w:tc>
          <w:tcPr>
            <w:tcW w:w="80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Ambulatory and capable of all selfcare, but unable to carry out any work activities. Up and about more than 50% of waking hours</w:t>
            </w:r>
          </w:p>
        </w:tc>
      </w:tr>
      <w:tr w:rsidR="00500406" w:rsidRPr="00A854A8" w:rsidTr="006A5A7F">
        <w:tc>
          <w:tcPr>
            <w:tcW w:w="8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3</w:t>
            </w:r>
          </w:p>
        </w:tc>
        <w:tc>
          <w:tcPr>
            <w:tcW w:w="80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Capable of only limited self-care, confined to bed or chair more than 50% of waking hours</w:t>
            </w:r>
          </w:p>
        </w:tc>
      </w:tr>
      <w:tr w:rsidR="00500406" w:rsidRPr="00A854A8" w:rsidTr="006A5A7F">
        <w:tc>
          <w:tcPr>
            <w:tcW w:w="8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4</w:t>
            </w:r>
          </w:p>
        </w:tc>
        <w:tc>
          <w:tcPr>
            <w:tcW w:w="80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Completely disabled. Cannot carry on any self-care. Totally confined to bed or chair</w:t>
            </w:r>
          </w:p>
        </w:tc>
      </w:tr>
      <w:tr w:rsidR="00500406" w:rsidRPr="00A854A8" w:rsidTr="006A5A7F">
        <w:tc>
          <w:tcPr>
            <w:tcW w:w="8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5</w:t>
            </w:r>
          </w:p>
        </w:tc>
        <w:tc>
          <w:tcPr>
            <w:tcW w:w="8028" w:type="dxa"/>
          </w:tcPr>
          <w:p w:rsidR="00500406" w:rsidRPr="00A854A8" w:rsidRDefault="00500406" w:rsidP="006A5A7F">
            <w:pPr>
              <w:pStyle w:val="tabletextNS"/>
              <w:widowControl w:val="0"/>
              <w:rPr>
                <w:rFonts w:ascii="Garamond" w:hAnsi="Garamond" w:cs="Garamond"/>
                <w:lang w:val="en-US"/>
              </w:rPr>
            </w:pPr>
            <w:r w:rsidRPr="00A854A8">
              <w:rPr>
                <w:rFonts w:ascii="Garamond" w:hAnsi="Garamond" w:cs="Garamond"/>
                <w:sz w:val="22"/>
                <w:szCs w:val="22"/>
                <w:lang w:val="en-US"/>
              </w:rPr>
              <w:t>Dead</w:t>
            </w:r>
          </w:p>
        </w:tc>
      </w:tr>
    </w:tbl>
    <w:p w:rsidR="00500406" w:rsidRPr="00A854A8" w:rsidRDefault="00500406" w:rsidP="00500406">
      <w:pPr>
        <w:pStyle w:val="listssp"/>
        <w:widowControl w:val="0"/>
        <w:rPr>
          <w:rFonts w:ascii="Garamond" w:hAnsi="Garamond" w:cs="Garamond"/>
          <w:sz w:val="22"/>
          <w:szCs w:val="22"/>
          <w:lang w:val="en-US"/>
        </w:rPr>
      </w:pPr>
    </w:p>
    <w:p w:rsidR="00500406" w:rsidRPr="00A854A8" w:rsidRDefault="00500406" w:rsidP="00500406">
      <w:pPr>
        <w:widowControl w:val="0"/>
        <w:rPr>
          <w:rFonts w:ascii="Garamond" w:hAnsi="Garamond" w:cs="Garamond"/>
          <w:szCs w:val="22"/>
          <w:lang w:val="en-US"/>
        </w:rPr>
      </w:pPr>
      <w:r w:rsidRPr="00A854A8">
        <w:rPr>
          <w:rFonts w:ascii="Garamond" w:hAnsi="Garamond" w:cs="Garamond"/>
          <w:szCs w:val="22"/>
          <w:lang w:val="en-US"/>
        </w:rPr>
        <w:t>Oken et al. 1982</w:t>
      </w:r>
    </w:p>
    <w:p w:rsidR="00500406" w:rsidRPr="00A854A8" w:rsidRDefault="00500406" w:rsidP="006A5A7F">
      <w:pPr>
        <w:pStyle w:val="2"/>
        <w:rPr>
          <w:lang w:val="en-US"/>
        </w:rPr>
      </w:pPr>
      <w:bookmarkStart w:id="151" w:name="_Toc519583771"/>
      <w:bookmarkStart w:id="152" w:name="_Toc522942051"/>
      <w:r w:rsidRPr="00A854A8">
        <w:rPr>
          <w:lang w:val="en-US"/>
        </w:rPr>
        <w:br w:type="page"/>
      </w:r>
      <w:bookmarkStart w:id="153" w:name="_Toc125091234"/>
      <w:bookmarkStart w:id="154" w:name="_Toc125091735"/>
      <w:bookmarkStart w:id="155" w:name="_Toc135721967"/>
      <w:bookmarkStart w:id="156" w:name="_Toc183493377"/>
      <w:bookmarkStart w:id="157" w:name="_Toc187727196"/>
      <w:bookmarkStart w:id="158" w:name="_Toc424560769"/>
      <w:bookmarkStart w:id="159" w:name="_Ref443402530"/>
      <w:bookmarkStart w:id="160" w:name="_Toc461617892"/>
      <w:bookmarkStart w:id="161" w:name="_Toc52791120"/>
      <w:bookmarkStart w:id="162" w:name="_Toc52791398"/>
      <w:bookmarkStart w:id="163" w:name="_Toc55132980"/>
      <w:bookmarkEnd w:id="151"/>
      <w:bookmarkEnd w:id="152"/>
      <w:r w:rsidRPr="00A854A8">
        <w:rPr>
          <w:lang w:val="en-US"/>
        </w:rPr>
        <w:lastRenderedPageBreak/>
        <w:t xml:space="preserve">Appendix </w:t>
      </w:r>
      <w:r w:rsidR="00A460EE">
        <w:rPr>
          <w:lang w:val="en-US"/>
        </w:rPr>
        <w:t>6</w:t>
      </w:r>
      <w:r w:rsidRPr="00A854A8">
        <w:rPr>
          <w:lang w:val="en-US"/>
        </w:rPr>
        <w:t>: Revised RECIST guideline (version 1.1)</w:t>
      </w:r>
      <w:bookmarkEnd w:id="153"/>
      <w:bookmarkEnd w:id="154"/>
      <w:bookmarkEnd w:id="155"/>
      <w:bookmarkEnd w:id="156"/>
      <w:bookmarkEnd w:id="157"/>
      <w:bookmarkEnd w:id="158"/>
      <w:bookmarkEnd w:id="159"/>
      <w:bookmarkEnd w:id="160"/>
    </w:p>
    <w:p w:rsidR="00500406" w:rsidRPr="00544E1E" w:rsidRDefault="00500406" w:rsidP="00500406">
      <w:pPr>
        <w:widowControl w:val="0"/>
        <w:spacing w:line="360" w:lineRule="auto"/>
        <w:rPr>
          <w:rFonts w:ascii="Garamond" w:hAnsi="Garamond" w:cs="Garamond"/>
          <w:szCs w:val="22"/>
          <w:lang w:val="de-DE"/>
        </w:rPr>
      </w:pPr>
      <w:r w:rsidRPr="005C472D">
        <w:rPr>
          <w:rFonts w:ascii="Garamond" w:hAnsi="Garamond" w:cs="Garamond"/>
          <w:szCs w:val="22"/>
          <w:lang w:val="de-DE"/>
        </w:rPr>
        <w:t xml:space="preserve">(Eisenhauer E.A. </w:t>
      </w:r>
      <w:r w:rsidRPr="005C472D">
        <w:rPr>
          <w:rFonts w:ascii="Garamond" w:hAnsi="Garamond" w:cs="Garamond"/>
          <w:i/>
          <w:iCs/>
          <w:szCs w:val="22"/>
          <w:lang w:val="de-DE"/>
        </w:rPr>
        <w:t>et al</w:t>
      </w:r>
      <w:r w:rsidRPr="005C472D">
        <w:rPr>
          <w:rFonts w:ascii="Garamond" w:hAnsi="Garamond" w:cs="Garamond"/>
          <w:szCs w:val="22"/>
          <w:lang w:val="de-DE"/>
        </w:rPr>
        <w:t>., 2009)</w:t>
      </w:r>
    </w:p>
    <w:p w:rsidR="00500406" w:rsidRPr="00A854A8" w:rsidRDefault="00500406" w:rsidP="00500406">
      <w:pPr>
        <w:widowControl w:val="0"/>
        <w:spacing w:line="360" w:lineRule="auto"/>
        <w:rPr>
          <w:rFonts w:ascii="Garamond" w:hAnsi="Garamond" w:cs="Garamond"/>
          <w:b/>
          <w:bCs/>
          <w:szCs w:val="22"/>
          <w:lang w:val="en-US"/>
        </w:rPr>
      </w:pPr>
      <w:bookmarkStart w:id="164" w:name="_Toc125091235"/>
      <w:r w:rsidRPr="00A854A8">
        <w:rPr>
          <w:rFonts w:ascii="Garamond" w:hAnsi="Garamond" w:cs="Garamond"/>
          <w:b/>
          <w:bCs/>
          <w:szCs w:val="22"/>
          <w:lang w:val="en-US"/>
        </w:rPr>
        <w:t>I.</w:t>
      </w:r>
      <w:r w:rsidRPr="00A854A8">
        <w:rPr>
          <w:rFonts w:ascii="Garamond" w:hAnsi="Garamond" w:cs="Garamond"/>
          <w:b/>
          <w:bCs/>
          <w:szCs w:val="22"/>
          <w:lang w:val="en-US"/>
        </w:rPr>
        <w:tab/>
        <w:t>Definition of Measurable and Non-Measurable Disease</w:t>
      </w:r>
      <w:bookmarkEnd w:id="164"/>
    </w:p>
    <w:p w:rsidR="00500406" w:rsidRPr="00A854A8" w:rsidRDefault="00500406" w:rsidP="00500406">
      <w:pPr>
        <w:pStyle w:val="listbull"/>
        <w:widowControl w:val="0"/>
        <w:tabs>
          <w:tab w:val="clear" w:pos="552"/>
          <w:tab w:val="num" w:pos="432"/>
        </w:tabs>
        <w:spacing w:after="0" w:line="360" w:lineRule="auto"/>
        <w:ind w:left="432" w:hanging="431"/>
        <w:rPr>
          <w:rFonts w:ascii="Garamond" w:hAnsi="Garamond" w:cs="Garamond"/>
          <w:sz w:val="22"/>
          <w:szCs w:val="22"/>
          <w:lang w:val="en-US"/>
        </w:rPr>
      </w:pPr>
      <w:r w:rsidRPr="00A854A8">
        <w:rPr>
          <w:rFonts w:ascii="Garamond" w:hAnsi="Garamond" w:cs="Garamond"/>
          <w:b/>
          <w:bCs/>
          <w:sz w:val="22"/>
          <w:szCs w:val="22"/>
          <w:lang w:val="en-US"/>
        </w:rPr>
        <w:t>Measurable disease:</w:t>
      </w:r>
      <w:r w:rsidRPr="00A854A8">
        <w:rPr>
          <w:rFonts w:ascii="Garamond" w:hAnsi="Garamond" w:cs="Garamond"/>
          <w:sz w:val="22"/>
          <w:szCs w:val="22"/>
          <w:lang w:val="en-US"/>
        </w:rPr>
        <w:t xml:space="preserve"> Presence of at least one measurable lesion</w:t>
      </w:r>
    </w:p>
    <w:p w:rsidR="00500406" w:rsidRPr="00A854A8" w:rsidRDefault="00500406" w:rsidP="00500406">
      <w:pPr>
        <w:pStyle w:val="listbull"/>
        <w:widowControl w:val="0"/>
        <w:tabs>
          <w:tab w:val="clear" w:pos="552"/>
          <w:tab w:val="num" w:pos="432"/>
        </w:tabs>
        <w:spacing w:after="0" w:line="360" w:lineRule="auto"/>
        <w:ind w:left="432" w:hanging="431"/>
        <w:jc w:val="both"/>
        <w:rPr>
          <w:rFonts w:ascii="Garamond" w:hAnsi="Garamond" w:cs="Garamond"/>
          <w:sz w:val="22"/>
          <w:szCs w:val="22"/>
          <w:lang w:val="en-US"/>
        </w:rPr>
      </w:pPr>
      <w:r w:rsidRPr="00A854A8">
        <w:rPr>
          <w:rFonts w:ascii="Garamond" w:hAnsi="Garamond" w:cs="Garamond"/>
          <w:b/>
          <w:bCs/>
          <w:sz w:val="22"/>
          <w:szCs w:val="22"/>
          <w:lang w:val="en-US"/>
        </w:rPr>
        <w:t>Measurable lesion (non-nodal):</w:t>
      </w:r>
      <w:r w:rsidRPr="00A854A8">
        <w:rPr>
          <w:rFonts w:ascii="Garamond" w:hAnsi="Garamond" w:cs="Garamond"/>
          <w:sz w:val="22"/>
          <w:szCs w:val="22"/>
          <w:lang w:val="en-US"/>
        </w:rPr>
        <w:t xml:space="preserve"> A lesion that can be accurately measured in at least one dimension (longest diameter; LD) with a </w:t>
      </w:r>
      <w:r w:rsidRPr="00A854A8">
        <w:rPr>
          <w:rFonts w:ascii="Garamond" w:hAnsi="Garamond" w:cs="Garamond"/>
          <w:sz w:val="22"/>
          <w:szCs w:val="22"/>
          <w:u w:val="single"/>
          <w:lang w:val="en-US"/>
        </w:rPr>
        <w:t>minimum</w:t>
      </w:r>
      <w:r w:rsidRPr="00A854A8">
        <w:rPr>
          <w:rFonts w:ascii="Garamond" w:hAnsi="Garamond" w:cs="Garamond"/>
          <w:sz w:val="22"/>
          <w:szCs w:val="22"/>
          <w:lang w:val="en-US"/>
        </w:rPr>
        <w:t xml:space="preserve"> size of:</w:t>
      </w:r>
    </w:p>
    <w:p w:rsidR="00500406" w:rsidRPr="00A854A8" w:rsidRDefault="00500406" w:rsidP="00500406">
      <w:pPr>
        <w:pStyle w:val="listbull"/>
        <w:widowControl w:val="0"/>
        <w:tabs>
          <w:tab w:val="clear" w:pos="552"/>
          <w:tab w:val="num" w:pos="864"/>
        </w:tabs>
        <w:spacing w:after="0" w:line="360" w:lineRule="auto"/>
        <w:ind w:left="864" w:hanging="431"/>
        <w:rPr>
          <w:rFonts w:ascii="Garamond" w:hAnsi="Garamond" w:cs="Garamond"/>
          <w:sz w:val="22"/>
          <w:szCs w:val="22"/>
          <w:lang w:val="en-US"/>
        </w:rPr>
      </w:pPr>
      <w:r w:rsidRPr="00A854A8">
        <w:rPr>
          <w:rFonts w:ascii="Garamond" w:hAnsi="Garamond" w:cs="Garamond"/>
          <w:sz w:val="22"/>
          <w:szCs w:val="22"/>
          <w:lang w:val="en-US"/>
        </w:rPr>
        <w:t xml:space="preserve">≥10 mm by CT scan (assuming CT slice thickness is no greater than 5 mm). If CT slice thickness is greater than 5 mm, the minimum size of the lesion should be twice the slice thickness. </w:t>
      </w:r>
    </w:p>
    <w:p w:rsidR="00500406" w:rsidRPr="00A854A8" w:rsidRDefault="00500406" w:rsidP="00500406">
      <w:pPr>
        <w:pStyle w:val="listbull"/>
        <w:widowControl w:val="0"/>
        <w:tabs>
          <w:tab w:val="clear" w:pos="552"/>
          <w:tab w:val="num" w:pos="864"/>
        </w:tabs>
        <w:spacing w:after="0" w:line="360" w:lineRule="auto"/>
        <w:ind w:left="864" w:hanging="431"/>
        <w:rPr>
          <w:rFonts w:ascii="Garamond" w:hAnsi="Garamond" w:cs="Garamond"/>
          <w:sz w:val="22"/>
          <w:szCs w:val="22"/>
          <w:lang w:val="en-US"/>
        </w:rPr>
      </w:pPr>
      <w:r w:rsidRPr="00A854A8">
        <w:rPr>
          <w:rFonts w:ascii="Garamond" w:hAnsi="Garamond" w:cs="Garamond"/>
          <w:sz w:val="22"/>
          <w:szCs w:val="22"/>
          <w:lang w:val="en-US"/>
        </w:rPr>
        <w:t>10 mm measurable with calipers by clinical exam (if lesions cannot be accurately measured with calipers they should be recorded as non-measurable)</w:t>
      </w:r>
    </w:p>
    <w:p w:rsidR="00500406" w:rsidRPr="00A854A8" w:rsidRDefault="00500406" w:rsidP="00500406">
      <w:pPr>
        <w:pStyle w:val="listbull"/>
        <w:widowControl w:val="0"/>
        <w:tabs>
          <w:tab w:val="clear" w:pos="552"/>
          <w:tab w:val="num" w:pos="864"/>
        </w:tabs>
        <w:spacing w:after="0" w:line="360" w:lineRule="auto"/>
        <w:ind w:left="864" w:hanging="431"/>
        <w:rPr>
          <w:rFonts w:ascii="Garamond" w:hAnsi="Garamond" w:cs="Garamond"/>
          <w:sz w:val="22"/>
          <w:szCs w:val="22"/>
          <w:lang w:val="en-US"/>
        </w:rPr>
      </w:pPr>
      <w:r w:rsidRPr="00A854A8">
        <w:rPr>
          <w:rFonts w:ascii="Garamond" w:hAnsi="Garamond" w:cs="Garamond"/>
          <w:sz w:val="22"/>
          <w:szCs w:val="22"/>
          <w:lang w:val="en-US"/>
        </w:rPr>
        <w:t>20 mm by chest X-ray</w:t>
      </w:r>
    </w:p>
    <w:p w:rsidR="00500406" w:rsidRPr="00A854A8" w:rsidRDefault="00500406" w:rsidP="00500406">
      <w:pPr>
        <w:pStyle w:val="listbull"/>
        <w:widowControl w:val="0"/>
        <w:numPr>
          <w:ilvl w:val="0"/>
          <w:numId w:val="0"/>
        </w:numPr>
        <w:spacing w:line="360" w:lineRule="auto"/>
        <w:ind w:left="432"/>
        <w:rPr>
          <w:rFonts w:ascii="Garamond" w:hAnsi="Garamond" w:cs="Garamond"/>
          <w:sz w:val="22"/>
          <w:szCs w:val="22"/>
          <w:lang w:val="en-US"/>
        </w:rPr>
      </w:pPr>
    </w:p>
    <w:p w:rsidR="00500406" w:rsidRPr="00A854A8" w:rsidRDefault="00500406" w:rsidP="00500406">
      <w:pPr>
        <w:pStyle w:val="listbull"/>
        <w:widowControl w:val="0"/>
        <w:tabs>
          <w:tab w:val="clear" w:pos="552"/>
          <w:tab w:val="num" w:pos="0"/>
        </w:tabs>
        <w:spacing w:after="0" w:line="360" w:lineRule="auto"/>
        <w:ind w:left="540" w:hanging="540"/>
        <w:rPr>
          <w:rFonts w:ascii="Garamond" w:hAnsi="Garamond" w:cs="Garamond"/>
          <w:sz w:val="22"/>
          <w:szCs w:val="22"/>
          <w:lang w:val="en-US"/>
        </w:rPr>
      </w:pPr>
      <w:r w:rsidRPr="00A854A8">
        <w:rPr>
          <w:rFonts w:ascii="Garamond" w:hAnsi="Garamond" w:cs="Garamond"/>
          <w:b/>
          <w:bCs/>
          <w:sz w:val="22"/>
          <w:szCs w:val="22"/>
          <w:lang w:val="en-US"/>
        </w:rPr>
        <w:t xml:space="preserve">Lymph nodes: </w:t>
      </w:r>
      <w:r w:rsidRPr="00A854A8">
        <w:rPr>
          <w:rFonts w:ascii="Garamond" w:hAnsi="Garamond" w:cs="Garamond"/>
          <w:sz w:val="22"/>
          <w:szCs w:val="22"/>
          <w:lang w:val="en-US"/>
        </w:rPr>
        <w:t xml:space="preserve">measured in </w:t>
      </w:r>
      <w:r w:rsidRPr="00A854A8">
        <w:rPr>
          <w:rFonts w:ascii="Garamond" w:hAnsi="Garamond" w:cs="Garamond"/>
          <w:sz w:val="22"/>
          <w:szCs w:val="22"/>
          <w:u w:val="single"/>
          <w:lang w:val="en-US"/>
        </w:rPr>
        <w:t>short</w:t>
      </w:r>
      <w:r w:rsidRPr="00A854A8">
        <w:rPr>
          <w:rFonts w:ascii="Garamond" w:hAnsi="Garamond" w:cs="Garamond"/>
          <w:sz w:val="22"/>
          <w:szCs w:val="22"/>
          <w:lang w:val="en-US"/>
        </w:rPr>
        <w:t xml:space="preserve"> axis </w:t>
      </w:r>
    </w:p>
    <w:p w:rsidR="00500406" w:rsidRPr="00A854A8" w:rsidRDefault="00500406" w:rsidP="00500406">
      <w:pPr>
        <w:pStyle w:val="listbull"/>
        <w:widowControl w:val="0"/>
        <w:tabs>
          <w:tab w:val="clear" w:pos="552"/>
          <w:tab w:val="num" w:pos="984"/>
        </w:tabs>
        <w:spacing w:after="0" w:line="360" w:lineRule="auto"/>
        <w:ind w:left="972" w:hanging="540"/>
        <w:rPr>
          <w:rFonts w:ascii="Garamond" w:hAnsi="Garamond" w:cs="Garamond"/>
          <w:sz w:val="22"/>
          <w:szCs w:val="22"/>
          <w:lang w:val="en-US"/>
        </w:rPr>
      </w:pPr>
      <w:r w:rsidRPr="00A854A8">
        <w:rPr>
          <w:rFonts w:ascii="Garamond" w:hAnsi="Garamond" w:cs="Garamond"/>
          <w:sz w:val="22"/>
          <w:szCs w:val="22"/>
          <w:lang w:val="en-US"/>
        </w:rPr>
        <w:t>Target lesions: to be considered pathologically enlarged and measurable, lymph nodes should be ≥15 mm in short axis as assessed by CT scan (CT slice thickness no greater than 5mm)</w:t>
      </w:r>
    </w:p>
    <w:p w:rsidR="00500406" w:rsidRPr="00A854A8" w:rsidRDefault="00500406" w:rsidP="00500406">
      <w:pPr>
        <w:pStyle w:val="listbull"/>
        <w:widowControl w:val="0"/>
        <w:tabs>
          <w:tab w:val="clear" w:pos="552"/>
          <w:tab w:val="num" w:pos="984"/>
        </w:tabs>
        <w:spacing w:after="0" w:line="360" w:lineRule="auto"/>
        <w:ind w:left="972" w:hanging="540"/>
        <w:rPr>
          <w:rFonts w:ascii="Garamond" w:hAnsi="Garamond" w:cs="Garamond"/>
          <w:sz w:val="22"/>
          <w:szCs w:val="22"/>
          <w:lang w:val="en-US"/>
        </w:rPr>
      </w:pPr>
      <w:r w:rsidRPr="00A854A8">
        <w:rPr>
          <w:rFonts w:ascii="Garamond" w:hAnsi="Garamond" w:cs="Garamond"/>
          <w:sz w:val="22"/>
          <w:szCs w:val="22"/>
          <w:lang w:val="en-US"/>
        </w:rPr>
        <w:t xml:space="preserve">Non-target lesions: pathological nodes with short axis ≥10 mm but &lt;15 mm </w:t>
      </w:r>
    </w:p>
    <w:p w:rsidR="00500406" w:rsidRPr="00A854A8" w:rsidRDefault="00500406" w:rsidP="00500406">
      <w:pPr>
        <w:pStyle w:val="listbull"/>
        <w:widowControl w:val="0"/>
        <w:tabs>
          <w:tab w:val="clear" w:pos="552"/>
          <w:tab w:val="num" w:pos="984"/>
        </w:tabs>
        <w:spacing w:after="0" w:line="360" w:lineRule="auto"/>
        <w:ind w:left="972" w:hanging="540"/>
        <w:rPr>
          <w:rFonts w:ascii="Garamond" w:hAnsi="Garamond" w:cs="Garamond"/>
          <w:sz w:val="22"/>
          <w:szCs w:val="22"/>
          <w:lang w:val="en-US"/>
        </w:rPr>
      </w:pPr>
      <w:r w:rsidRPr="00A854A8">
        <w:rPr>
          <w:rFonts w:ascii="Garamond" w:hAnsi="Garamond" w:cs="Garamond"/>
          <w:sz w:val="22"/>
          <w:szCs w:val="22"/>
          <w:lang w:val="en-US"/>
        </w:rPr>
        <w:t>Non-pathological: nodes with short axis &lt;10 mm</w:t>
      </w:r>
    </w:p>
    <w:p w:rsidR="00500406" w:rsidRPr="00A854A8" w:rsidRDefault="00500406" w:rsidP="00500406">
      <w:pPr>
        <w:pStyle w:val="listindentbull"/>
        <w:widowControl w:val="0"/>
        <w:tabs>
          <w:tab w:val="clear" w:pos="864"/>
        </w:tabs>
        <w:spacing w:after="0" w:line="360" w:lineRule="auto"/>
        <w:rPr>
          <w:rFonts w:ascii="Garamond" w:hAnsi="Garamond" w:cs="Garamond"/>
          <w:sz w:val="22"/>
          <w:szCs w:val="22"/>
          <w:lang w:val="en-US"/>
        </w:rPr>
      </w:pPr>
    </w:p>
    <w:p w:rsidR="00500406" w:rsidRPr="00A854A8" w:rsidRDefault="00500406" w:rsidP="00500406">
      <w:pPr>
        <w:pStyle w:val="listbull"/>
        <w:widowControl w:val="0"/>
        <w:tabs>
          <w:tab w:val="clear" w:pos="552"/>
          <w:tab w:val="num" w:pos="432"/>
        </w:tabs>
        <w:spacing w:after="0" w:line="360" w:lineRule="auto"/>
        <w:ind w:left="432"/>
        <w:rPr>
          <w:rFonts w:ascii="Garamond" w:hAnsi="Garamond" w:cs="Garamond"/>
          <w:sz w:val="22"/>
          <w:szCs w:val="22"/>
          <w:lang w:val="en-US"/>
        </w:rPr>
      </w:pPr>
      <w:r w:rsidRPr="00A854A8">
        <w:rPr>
          <w:rFonts w:ascii="Garamond" w:hAnsi="Garamond" w:cs="Garamond"/>
          <w:b/>
          <w:bCs/>
          <w:sz w:val="22"/>
          <w:szCs w:val="22"/>
          <w:lang w:val="en-US"/>
        </w:rPr>
        <w:t>Non-measurable lesion:</w:t>
      </w:r>
    </w:p>
    <w:p w:rsidR="00500406" w:rsidRPr="00A854A8" w:rsidRDefault="00500406" w:rsidP="00500406">
      <w:pPr>
        <w:pStyle w:val="listbull"/>
        <w:widowControl w:val="0"/>
        <w:tabs>
          <w:tab w:val="clear" w:pos="552"/>
          <w:tab w:val="num" w:pos="432"/>
        </w:tabs>
        <w:spacing w:after="0" w:line="360" w:lineRule="auto"/>
        <w:ind w:left="864"/>
        <w:rPr>
          <w:rFonts w:ascii="Garamond" w:hAnsi="Garamond" w:cs="Garamond"/>
          <w:b/>
          <w:bCs/>
          <w:sz w:val="22"/>
          <w:szCs w:val="22"/>
          <w:lang w:val="en-US"/>
        </w:rPr>
      </w:pPr>
      <w:r w:rsidRPr="00A854A8">
        <w:rPr>
          <w:rFonts w:ascii="Garamond" w:hAnsi="Garamond" w:cs="Garamond"/>
          <w:sz w:val="22"/>
          <w:szCs w:val="22"/>
          <w:lang w:val="en-US"/>
        </w:rPr>
        <w:t>Small lesions with longest diameter &lt;10 mm</w:t>
      </w:r>
    </w:p>
    <w:p w:rsidR="00500406" w:rsidRPr="00A854A8" w:rsidRDefault="00500406" w:rsidP="00500406">
      <w:pPr>
        <w:pStyle w:val="listbull"/>
        <w:widowControl w:val="0"/>
        <w:tabs>
          <w:tab w:val="clear" w:pos="552"/>
          <w:tab w:val="num" w:pos="432"/>
        </w:tabs>
        <w:spacing w:after="0" w:line="360" w:lineRule="auto"/>
        <w:ind w:left="864"/>
        <w:rPr>
          <w:rFonts w:ascii="Garamond" w:hAnsi="Garamond" w:cs="Garamond"/>
          <w:b/>
          <w:bCs/>
          <w:sz w:val="22"/>
          <w:szCs w:val="22"/>
          <w:lang w:val="en-US"/>
        </w:rPr>
      </w:pPr>
      <w:r w:rsidRPr="00A854A8">
        <w:rPr>
          <w:rFonts w:ascii="Garamond" w:hAnsi="Garamond" w:cs="Garamond"/>
          <w:sz w:val="22"/>
          <w:szCs w:val="22"/>
          <w:lang w:val="en-US"/>
        </w:rPr>
        <w:t>Pathological lymph nodes with ≥10 to &lt;15 mm short axis</w:t>
      </w:r>
    </w:p>
    <w:p w:rsidR="00500406" w:rsidRPr="00A854A8" w:rsidRDefault="00500406" w:rsidP="00500406">
      <w:pPr>
        <w:pStyle w:val="listbull"/>
        <w:widowControl w:val="0"/>
        <w:tabs>
          <w:tab w:val="clear" w:pos="552"/>
          <w:tab w:val="num" w:pos="432"/>
        </w:tabs>
        <w:spacing w:after="0" w:line="360" w:lineRule="auto"/>
        <w:ind w:left="864"/>
        <w:rPr>
          <w:rFonts w:ascii="Garamond" w:hAnsi="Garamond" w:cs="Garamond"/>
          <w:b/>
          <w:bCs/>
          <w:sz w:val="22"/>
          <w:szCs w:val="22"/>
          <w:lang w:val="en-US"/>
        </w:rPr>
      </w:pPr>
      <w:r w:rsidRPr="00A854A8">
        <w:rPr>
          <w:rFonts w:ascii="Garamond" w:hAnsi="Garamond" w:cs="Garamond"/>
          <w:sz w:val="22"/>
          <w:szCs w:val="22"/>
          <w:lang w:val="en-US"/>
        </w:rPr>
        <w:t>Blastic bone lesions</w:t>
      </w:r>
    </w:p>
    <w:p w:rsidR="00500406" w:rsidRPr="00A854A8" w:rsidRDefault="00500406" w:rsidP="00500406">
      <w:pPr>
        <w:pStyle w:val="listbull"/>
        <w:widowControl w:val="0"/>
        <w:tabs>
          <w:tab w:val="clear" w:pos="552"/>
          <w:tab w:val="num" w:pos="432"/>
        </w:tabs>
        <w:spacing w:after="0" w:line="360" w:lineRule="auto"/>
        <w:ind w:left="720" w:hanging="288"/>
        <w:jc w:val="both"/>
        <w:rPr>
          <w:rFonts w:ascii="Garamond" w:hAnsi="Garamond" w:cs="Garamond"/>
          <w:b/>
          <w:bCs/>
          <w:sz w:val="22"/>
          <w:szCs w:val="22"/>
          <w:lang w:val="en-US"/>
        </w:rPr>
      </w:pPr>
      <w:r w:rsidRPr="00A854A8">
        <w:rPr>
          <w:rFonts w:ascii="Garamond" w:hAnsi="Garamond" w:cs="Garamond"/>
          <w:sz w:val="22"/>
          <w:szCs w:val="22"/>
          <w:lang w:val="en-US"/>
        </w:rPr>
        <w:t>Truly non-measurable lesions: include leptomeningeal disease, ascite, pleural or pericardial effusion, inflammatory breast disease, lymphangitic involvement of skin or lung, abdominal masses/abdominal organomegaly identified by physical exam that is not measurable by reproducible imaging techniques.</w:t>
      </w:r>
    </w:p>
    <w:p w:rsidR="00500406" w:rsidRPr="00A854A8" w:rsidRDefault="00500406" w:rsidP="00500406">
      <w:pPr>
        <w:pStyle w:val="listbull"/>
        <w:widowControl w:val="0"/>
        <w:numPr>
          <w:ilvl w:val="0"/>
          <w:numId w:val="0"/>
        </w:numPr>
        <w:spacing w:line="360" w:lineRule="auto"/>
        <w:rPr>
          <w:rFonts w:ascii="Garamond" w:hAnsi="Garamond" w:cs="Garamond"/>
          <w:sz w:val="22"/>
          <w:szCs w:val="22"/>
          <w:lang w:val="en-US"/>
        </w:rPr>
      </w:pPr>
    </w:p>
    <w:p w:rsidR="00500406" w:rsidRPr="00A854A8" w:rsidRDefault="00500406" w:rsidP="00500406">
      <w:pPr>
        <w:widowControl w:val="0"/>
        <w:spacing w:line="360" w:lineRule="auto"/>
        <w:rPr>
          <w:rFonts w:ascii="Garamond" w:hAnsi="Garamond" w:cs="Garamond"/>
          <w:b/>
          <w:bCs/>
          <w:szCs w:val="22"/>
          <w:lang w:val="en-US"/>
        </w:rPr>
      </w:pPr>
      <w:bookmarkStart w:id="165" w:name="_Toc125091236"/>
      <w:r w:rsidRPr="00A854A8">
        <w:rPr>
          <w:rFonts w:ascii="Garamond" w:hAnsi="Garamond" w:cs="Garamond"/>
          <w:b/>
          <w:bCs/>
          <w:szCs w:val="22"/>
          <w:lang w:val="en-US"/>
        </w:rPr>
        <w:t>II.</w:t>
      </w:r>
      <w:r w:rsidRPr="00A854A8">
        <w:rPr>
          <w:rFonts w:ascii="Garamond" w:hAnsi="Garamond" w:cs="Garamond"/>
          <w:b/>
          <w:bCs/>
          <w:szCs w:val="22"/>
          <w:lang w:val="en-US"/>
        </w:rPr>
        <w:tab/>
        <w:t>Methods of Measurement</w:t>
      </w:r>
      <w:bookmarkEnd w:id="165"/>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 xml:space="preserve">The same method of assessment and the same technique should be used to characterize each identified and reported lesion at baseline and during follow-up. </w:t>
      </w:r>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b/>
          <w:bCs/>
          <w:szCs w:val="22"/>
          <w:lang w:val="en-US"/>
        </w:rPr>
        <w:t>Computer Tomography (CT) or Magnetic Resonance Imaging (MRI):</w:t>
      </w:r>
      <w:r w:rsidRPr="00A854A8">
        <w:rPr>
          <w:rFonts w:ascii="Garamond" w:hAnsi="Garamond" w:cs="Garamond"/>
          <w:szCs w:val="22"/>
          <w:lang w:val="en-US"/>
        </w:rPr>
        <w:t xml:space="preserve"> CT is considered the best currently available and reproducible method. Measurability of lesions on CT scans is based on the assumption </w:t>
      </w:r>
      <w:r w:rsidRPr="00A854A8">
        <w:rPr>
          <w:rFonts w:ascii="Garamond" w:hAnsi="Garamond" w:cs="Garamond"/>
          <w:szCs w:val="22"/>
          <w:lang w:val="en-US"/>
        </w:rPr>
        <w:lastRenderedPageBreak/>
        <w:t xml:space="preserve">that CT scans are performed at 5 mm contiguous slice thickness or less. If slice thickness is greater than 5 mm, the measurable lesion should have a minimum size of twice the slice thickness. </w:t>
      </w:r>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MRI can be acceptable in certain situations. When MRI is performed, the technical specification of the scanning sequences used should be optimized for the evaluation of the type and site of disease. The lesions must be measured on the same pulse sequence and the modality used at follow up should be the same as baseline. Ideally, the same scanner should be used and the image acquisition protocol should be followed as closely as possible to prior scans.</w:t>
      </w:r>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Please note the following:</w:t>
      </w:r>
    </w:p>
    <w:p w:rsidR="00500406" w:rsidRPr="00A854A8" w:rsidRDefault="00500406" w:rsidP="00500406">
      <w:pPr>
        <w:pStyle w:val="listbull"/>
        <w:widowControl w:val="0"/>
        <w:tabs>
          <w:tab w:val="clear" w:pos="552"/>
          <w:tab w:val="num" w:pos="432"/>
        </w:tabs>
        <w:spacing w:after="0" w:line="360" w:lineRule="auto"/>
        <w:ind w:left="432"/>
        <w:rPr>
          <w:rFonts w:ascii="Garamond" w:hAnsi="Garamond" w:cs="Garamond"/>
          <w:sz w:val="22"/>
          <w:szCs w:val="22"/>
          <w:lang w:val="en-US"/>
        </w:rPr>
      </w:pPr>
      <w:r w:rsidRPr="00A854A8">
        <w:rPr>
          <w:rFonts w:ascii="Garamond" w:hAnsi="Garamond" w:cs="Garamond"/>
          <w:sz w:val="22"/>
          <w:szCs w:val="22"/>
          <w:lang w:val="en-US"/>
        </w:rPr>
        <w:t>All measurements should be taken and recorded in metric notation, using a ruler or calipers.</w:t>
      </w:r>
    </w:p>
    <w:p w:rsidR="00500406" w:rsidRPr="00A854A8" w:rsidRDefault="00500406" w:rsidP="00500406">
      <w:pPr>
        <w:pStyle w:val="listbull"/>
        <w:widowControl w:val="0"/>
        <w:tabs>
          <w:tab w:val="clear" w:pos="552"/>
          <w:tab w:val="num" w:pos="432"/>
        </w:tabs>
        <w:spacing w:after="0" w:line="360" w:lineRule="auto"/>
        <w:ind w:left="432"/>
        <w:rPr>
          <w:rFonts w:ascii="Garamond" w:hAnsi="Garamond" w:cs="Garamond"/>
          <w:sz w:val="22"/>
          <w:szCs w:val="22"/>
          <w:lang w:val="en-US"/>
        </w:rPr>
      </w:pPr>
      <w:r w:rsidRPr="00A854A8">
        <w:rPr>
          <w:rFonts w:ascii="Garamond" w:hAnsi="Garamond" w:cs="Garamond"/>
          <w:sz w:val="22"/>
          <w:szCs w:val="22"/>
          <w:lang w:val="en-US"/>
        </w:rPr>
        <w:t>Ultrasound is not an acceptable method of measurement.</w:t>
      </w:r>
    </w:p>
    <w:p w:rsidR="00500406" w:rsidRPr="00A854A8" w:rsidRDefault="00500406" w:rsidP="00500406">
      <w:pPr>
        <w:pStyle w:val="listbull"/>
        <w:widowControl w:val="0"/>
        <w:tabs>
          <w:tab w:val="clear" w:pos="552"/>
          <w:tab w:val="num" w:pos="432"/>
        </w:tabs>
        <w:spacing w:after="0" w:line="360" w:lineRule="auto"/>
        <w:ind w:left="432"/>
        <w:rPr>
          <w:rFonts w:ascii="Garamond" w:hAnsi="Garamond" w:cs="Garamond"/>
          <w:sz w:val="22"/>
          <w:szCs w:val="22"/>
          <w:lang w:val="en-US"/>
        </w:rPr>
      </w:pPr>
      <w:r w:rsidRPr="00A854A8">
        <w:rPr>
          <w:rFonts w:ascii="Garamond" w:hAnsi="Garamond" w:cs="Garamond"/>
          <w:sz w:val="22"/>
          <w:szCs w:val="22"/>
          <w:lang w:val="en-US"/>
        </w:rPr>
        <w:t>Tumor markers alone cannot be used to assess objective tumor response.</w:t>
      </w:r>
    </w:p>
    <w:p w:rsidR="00500406" w:rsidRPr="00A854A8" w:rsidRDefault="00500406" w:rsidP="00500406">
      <w:pPr>
        <w:pStyle w:val="listbull"/>
        <w:widowControl w:val="0"/>
        <w:numPr>
          <w:ilvl w:val="0"/>
          <w:numId w:val="0"/>
        </w:numPr>
        <w:spacing w:after="0" w:line="360" w:lineRule="auto"/>
        <w:rPr>
          <w:rFonts w:ascii="Garamond" w:hAnsi="Garamond" w:cs="Garamond"/>
          <w:sz w:val="22"/>
          <w:szCs w:val="22"/>
          <w:lang w:val="en-US"/>
        </w:rPr>
      </w:pPr>
    </w:p>
    <w:p w:rsidR="00500406" w:rsidRPr="00A854A8" w:rsidRDefault="00500406" w:rsidP="00500406">
      <w:pPr>
        <w:widowControl w:val="0"/>
        <w:spacing w:line="360" w:lineRule="auto"/>
        <w:rPr>
          <w:rFonts w:ascii="Garamond" w:hAnsi="Garamond" w:cs="Garamond"/>
          <w:b/>
          <w:bCs/>
          <w:szCs w:val="22"/>
          <w:lang w:val="en-US"/>
        </w:rPr>
      </w:pPr>
      <w:bookmarkStart w:id="166" w:name="_Toc125091237"/>
      <w:r w:rsidRPr="00A854A8">
        <w:rPr>
          <w:rFonts w:ascii="Garamond" w:hAnsi="Garamond" w:cs="Garamond"/>
          <w:b/>
          <w:bCs/>
          <w:szCs w:val="22"/>
          <w:lang w:val="en-US"/>
        </w:rPr>
        <w:t>III.</w:t>
      </w:r>
      <w:r w:rsidRPr="00A854A8">
        <w:rPr>
          <w:rFonts w:ascii="Garamond" w:hAnsi="Garamond" w:cs="Garamond"/>
          <w:b/>
          <w:bCs/>
          <w:szCs w:val="22"/>
          <w:lang w:val="en-US"/>
        </w:rPr>
        <w:tab/>
        <w:t>Baseline Documentation of Target and Non-Target Lesions</w:t>
      </w:r>
      <w:bookmarkEnd w:id="166"/>
    </w:p>
    <w:p w:rsidR="00500406" w:rsidRPr="00A854A8" w:rsidRDefault="00500406" w:rsidP="00500406">
      <w:pPr>
        <w:pStyle w:val="listbull"/>
        <w:widowControl w:val="0"/>
        <w:tabs>
          <w:tab w:val="clear" w:pos="552"/>
          <w:tab w:val="num" w:pos="432"/>
        </w:tabs>
        <w:spacing w:line="360" w:lineRule="auto"/>
        <w:ind w:left="432"/>
        <w:jc w:val="both"/>
        <w:rPr>
          <w:rFonts w:ascii="Garamond" w:hAnsi="Garamond" w:cs="Garamond"/>
          <w:sz w:val="22"/>
          <w:szCs w:val="22"/>
          <w:lang w:val="en-US"/>
        </w:rPr>
      </w:pPr>
      <w:r w:rsidRPr="00A854A8">
        <w:rPr>
          <w:rFonts w:ascii="Garamond" w:hAnsi="Garamond" w:cs="Garamond"/>
          <w:sz w:val="22"/>
          <w:szCs w:val="22"/>
          <w:lang w:val="en-US"/>
        </w:rPr>
        <w:t xml:space="preserve">Target lesions should be selected on the basis of their size (lesions with LD), they should be representative of all involved organs and lend themselves to </w:t>
      </w:r>
      <w:r w:rsidRPr="00A854A8">
        <w:rPr>
          <w:rFonts w:ascii="Garamond" w:hAnsi="Garamond" w:cs="Garamond"/>
          <w:sz w:val="22"/>
          <w:szCs w:val="22"/>
          <w:u w:val="single"/>
          <w:lang w:val="en-US"/>
        </w:rPr>
        <w:t>reproducible</w:t>
      </w:r>
      <w:r w:rsidRPr="00A854A8">
        <w:rPr>
          <w:rFonts w:ascii="Garamond" w:hAnsi="Garamond" w:cs="Garamond"/>
          <w:sz w:val="22"/>
          <w:szCs w:val="22"/>
          <w:lang w:val="en-US"/>
        </w:rPr>
        <w:t xml:space="preserve"> repeated measurements (if largest lesion does not lend itself to reproducible measurement, the next largest which can be measured reproducibly should be selected). All measurable lesions up to a </w:t>
      </w:r>
      <w:r w:rsidRPr="00A854A8">
        <w:rPr>
          <w:rFonts w:ascii="Garamond" w:hAnsi="Garamond" w:cs="Garamond"/>
          <w:b/>
          <w:bCs/>
          <w:sz w:val="22"/>
          <w:szCs w:val="22"/>
          <w:lang w:val="en-US"/>
        </w:rPr>
        <w:t>maximum of 2 lesions per organ and 5 lesions in total, representative of all involved organs</w:t>
      </w:r>
      <w:r w:rsidRPr="00A854A8">
        <w:rPr>
          <w:rFonts w:ascii="Garamond" w:hAnsi="Garamond" w:cs="Garamond"/>
          <w:sz w:val="22"/>
          <w:szCs w:val="22"/>
          <w:lang w:val="en-US"/>
        </w:rPr>
        <w:t>, should be identified as target lesions and measured and recorded at baseline.</w:t>
      </w:r>
    </w:p>
    <w:p w:rsidR="00500406" w:rsidRPr="00A854A8" w:rsidRDefault="00500406" w:rsidP="00500406">
      <w:pPr>
        <w:pStyle w:val="listbull"/>
        <w:widowControl w:val="0"/>
        <w:numPr>
          <w:ilvl w:val="0"/>
          <w:numId w:val="0"/>
        </w:numPr>
        <w:spacing w:line="360" w:lineRule="auto"/>
        <w:ind w:left="432"/>
        <w:jc w:val="both"/>
        <w:rPr>
          <w:rFonts w:ascii="Garamond" w:hAnsi="Garamond" w:cs="Garamond"/>
          <w:sz w:val="22"/>
          <w:szCs w:val="22"/>
          <w:lang w:val="en-US"/>
        </w:rPr>
      </w:pPr>
      <w:r w:rsidRPr="00A854A8">
        <w:rPr>
          <w:rFonts w:ascii="Garamond" w:hAnsi="Garamond" w:cs="Garamond"/>
          <w:b/>
          <w:bCs/>
          <w:sz w:val="22"/>
          <w:szCs w:val="22"/>
          <w:lang w:val="en-US"/>
        </w:rPr>
        <w:t xml:space="preserve">Pathological lymph nodes, defined as measurable and identified as </w:t>
      </w:r>
      <w:r w:rsidRPr="00A854A8">
        <w:rPr>
          <w:rFonts w:ascii="Garamond" w:hAnsi="Garamond" w:cs="Garamond"/>
          <w:sz w:val="22"/>
          <w:szCs w:val="22"/>
          <w:lang w:val="en-US"/>
        </w:rPr>
        <w:t>target lesions should be ≥15 mm in short axis by CT scan. Pathological nodes are considered non-target lesions with short axis ≥10 mm but &lt;15 mm. Non-pathological are nodes with short axis &lt;10 mm and should not be recorded or followed.</w:t>
      </w:r>
    </w:p>
    <w:p w:rsidR="00500406" w:rsidRPr="00A854A8" w:rsidRDefault="00500406" w:rsidP="00500406">
      <w:pPr>
        <w:pStyle w:val="listbull"/>
        <w:widowControl w:val="0"/>
        <w:tabs>
          <w:tab w:val="clear" w:pos="552"/>
          <w:tab w:val="num" w:pos="432"/>
        </w:tabs>
        <w:spacing w:line="360" w:lineRule="auto"/>
        <w:ind w:left="432"/>
        <w:jc w:val="both"/>
        <w:rPr>
          <w:rFonts w:ascii="Garamond" w:hAnsi="Garamond" w:cs="Garamond"/>
          <w:sz w:val="22"/>
          <w:szCs w:val="22"/>
          <w:lang w:val="en-US"/>
        </w:rPr>
      </w:pPr>
      <w:r w:rsidRPr="00A854A8">
        <w:rPr>
          <w:rFonts w:ascii="Garamond" w:hAnsi="Garamond" w:cs="Garamond"/>
          <w:sz w:val="22"/>
          <w:szCs w:val="22"/>
          <w:lang w:val="en-US"/>
        </w:rPr>
        <w:t>A sum of the diameters, longest for non-nodal, short axis for nodal lesions, for all target lesions will be calculated and reported as the baseline sum diameters. For lymph nodes, only the short axis is added into the sum. For PR, SD and PD the actual short axis measurement of the nodes is to be included in the sum of target lesions. The baseline sum diameters will be used as a reference by which to characterize the objective tumor response.</w:t>
      </w:r>
    </w:p>
    <w:p w:rsidR="00500406" w:rsidRPr="00A854A8" w:rsidRDefault="00500406" w:rsidP="00500406">
      <w:pPr>
        <w:pStyle w:val="listbull"/>
        <w:widowControl w:val="0"/>
        <w:tabs>
          <w:tab w:val="clear" w:pos="552"/>
          <w:tab w:val="num" w:pos="432"/>
        </w:tabs>
        <w:spacing w:line="360" w:lineRule="auto"/>
        <w:ind w:left="432"/>
        <w:rPr>
          <w:rFonts w:ascii="Garamond" w:hAnsi="Garamond" w:cs="Garamond"/>
          <w:sz w:val="22"/>
          <w:szCs w:val="22"/>
          <w:lang w:val="en-US"/>
        </w:rPr>
      </w:pPr>
      <w:r w:rsidRPr="00A854A8">
        <w:rPr>
          <w:rFonts w:ascii="Garamond" w:hAnsi="Garamond" w:cs="Garamond"/>
          <w:sz w:val="22"/>
          <w:szCs w:val="22"/>
          <w:lang w:val="en-US"/>
        </w:rPr>
        <w:t xml:space="preserve">All other lesions (or sites of disease) including pathological lymph nodes should be identified as non-target lesions and should also be recorded at baseline. Measurements of these lesions are not required, but they should be followed as “present” or “absent” or in rare cases “unequivocal progression”. In addition, it is possible to record multiple non-target lesions involving the same organ as a single item on the case </w:t>
      </w:r>
      <w:r w:rsidRPr="00A854A8">
        <w:rPr>
          <w:rFonts w:ascii="Garamond" w:hAnsi="Garamond" w:cs="Garamond"/>
          <w:sz w:val="22"/>
          <w:szCs w:val="22"/>
          <w:lang w:val="en-US"/>
        </w:rPr>
        <w:lastRenderedPageBreak/>
        <w:t xml:space="preserve">record form. </w:t>
      </w:r>
    </w:p>
    <w:p w:rsidR="00500406" w:rsidRPr="00A854A8" w:rsidRDefault="00500406" w:rsidP="00500406">
      <w:pPr>
        <w:pStyle w:val="listbull"/>
        <w:widowControl w:val="0"/>
        <w:numPr>
          <w:ilvl w:val="0"/>
          <w:numId w:val="0"/>
        </w:numPr>
        <w:spacing w:line="360" w:lineRule="auto"/>
        <w:jc w:val="both"/>
        <w:rPr>
          <w:rFonts w:ascii="Garamond" w:hAnsi="Garamond" w:cs="Garamond"/>
          <w:sz w:val="22"/>
          <w:szCs w:val="22"/>
          <w:lang w:val="en-US"/>
        </w:rPr>
      </w:pPr>
    </w:p>
    <w:p w:rsidR="00500406" w:rsidRPr="00A854A8" w:rsidRDefault="00500406" w:rsidP="00500406">
      <w:pPr>
        <w:widowControl w:val="0"/>
        <w:spacing w:line="360" w:lineRule="auto"/>
        <w:rPr>
          <w:rFonts w:ascii="Garamond" w:hAnsi="Garamond" w:cs="Garamond"/>
          <w:b/>
          <w:bCs/>
          <w:szCs w:val="22"/>
          <w:lang w:val="en-US"/>
        </w:rPr>
      </w:pPr>
      <w:bookmarkStart w:id="167" w:name="_Toc125091238"/>
      <w:r w:rsidRPr="00A854A8">
        <w:rPr>
          <w:rFonts w:ascii="Garamond" w:hAnsi="Garamond" w:cs="Garamond"/>
          <w:b/>
          <w:bCs/>
          <w:szCs w:val="22"/>
          <w:lang w:val="en-US"/>
        </w:rPr>
        <w:t>IV.</w:t>
      </w:r>
      <w:r w:rsidRPr="00A854A8">
        <w:rPr>
          <w:rFonts w:ascii="Garamond" w:hAnsi="Garamond" w:cs="Garamond"/>
          <w:b/>
          <w:bCs/>
          <w:szCs w:val="22"/>
          <w:lang w:val="en-US"/>
        </w:rPr>
        <w:tab/>
        <w:t>Response Criteria</w:t>
      </w:r>
      <w:bookmarkEnd w:id="167"/>
    </w:p>
    <w:p w:rsidR="00500406" w:rsidRPr="00A854A8" w:rsidRDefault="00500406" w:rsidP="00500406">
      <w:pPr>
        <w:widowControl w:val="0"/>
        <w:spacing w:line="360" w:lineRule="auto"/>
        <w:rPr>
          <w:rFonts w:ascii="Garamond" w:hAnsi="Garamond" w:cs="Garamond"/>
          <w:b/>
          <w:bCs/>
          <w:szCs w:val="22"/>
          <w:lang w:val="en-US"/>
        </w:rPr>
      </w:pPr>
      <w:bookmarkStart w:id="168" w:name="_Toc125091239"/>
      <w:r w:rsidRPr="00A854A8">
        <w:rPr>
          <w:rFonts w:ascii="Garamond" w:hAnsi="Garamond" w:cs="Garamond"/>
          <w:b/>
          <w:bCs/>
          <w:szCs w:val="22"/>
          <w:lang w:val="en-US"/>
        </w:rPr>
        <w:t>Evaluation of Target Lesions</w:t>
      </w:r>
      <w:bookmarkEnd w:id="168"/>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The definitions for assessment of response for target lesion(s) are as follows:</w:t>
      </w:r>
    </w:p>
    <w:p w:rsidR="00500406" w:rsidRPr="00A854A8" w:rsidRDefault="00500406" w:rsidP="00500406">
      <w:pPr>
        <w:pStyle w:val="listbull"/>
        <w:widowControl w:val="0"/>
        <w:tabs>
          <w:tab w:val="clear" w:pos="552"/>
          <w:tab w:val="num" w:pos="432"/>
        </w:tabs>
        <w:spacing w:after="0" w:line="360" w:lineRule="auto"/>
        <w:ind w:left="432"/>
        <w:jc w:val="both"/>
        <w:rPr>
          <w:rFonts w:ascii="Garamond" w:hAnsi="Garamond" w:cs="Garamond"/>
          <w:sz w:val="22"/>
          <w:szCs w:val="22"/>
          <w:lang w:val="en-US"/>
        </w:rPr>
      </w:pPr>
      <w:r w:rsidRPr="00A854A8">
        <w:rPr>
          <w:rFonts w:ascii="Garamond" w:hAnsi="Garamond" w:cs="Garamond"/>
          <w:b/>
          <w:bCs/>
          <w:sz w:val="22"/>
          <w:szCs w:val="22"/>
          <w:lang w:val="en-US"/>
        </w:rPr>
        <w:t>Complete Response (CR)</w:t>
      </w:r>
      <w:r w:rsidRPr="00A854A8">
        <w:rPr>
          <w:rFonts w:ascii="Garamond" w:hAnsi="Garamond" w:cs="Garamond"/>
          <w:sz w:val="22"/>
          <w:szCs w:val="22"/>
          <w:lang w:val="en-US"/>
        </w:rPr>
        <w:t xml:space="preserve"> – disappearance of all target lesions. Any pathological lymph nodes (whether target or non-target) must have reduction in short axis to &lt;10 mm.</w:t>
      </w:r>
    </w:p>
    <w:p w:rsidR="00500406" w:rsidRPr="00A854A8" w:rsidRDefault="00500406" w:rsidP="00500406">
      <w:pPr>
        <w:pStyle w:val="listbull"/>
        <w:widowControl w:val="0"/>
        <w:tabs>
          <w:tab w:val="clear" w:pos="552"/>
          <w:tab w:val="num" w:pos="432"/>
        </w:tabs>
        <w:spacing w:after="0" w:line="360" w:lineRule="auto"/>
        <w:ind w:left="432"/>
        <w:jc w:val="both"/>
        <w:rPr>
          <w:rFonts w:ascii="Garamond" w:hAnsi="Garamond" w:cs="Garamond"/>
          <w:sz w:val="22"/>
          <w:szCs w:val="22"/>
          <w:lang w:val="en-US"/>
        </w:rPr>
      </w:pPr>
      <w:r w:rsidRPr="00A854A8">
        <w:rPr>
          <w:rFonts w:ascii="Garamond" w:hAnsi="Garamond" w:cs="Garamond"/>
          <w:b/>
          <w:bCs/>
          <w:sz w:val="22"/>
          <w:szCs w:val="22"/>
          <w:lang w:val="en-US"/>
        </w:rPr>
        <w:t>Partial Response (PR)</w:t>
      </w:r>
      <w:r w:rsidRPr="00A854A8">
        <w:rPr>
          <w:rFonts w:ascii="Garamond" w:hAnsi="Garamond" w:cs="Garamond"/>
          <w:sz w:val="22"/>
          <w:szCs w:val="22"/>
          <w:lang w:val="en-US"/>
        </w:rPr>
        <w:t xml:space="preserve"> – at least a 30% decrease in the sum of the diameters of target lesions, taking as a reference the baseline sum diameters.</w:t>
      </w:r>
    </w:p>
    <w:p w:rsidR="00500406" w:rsidRPr="00A854A8" w:rsidRDefault="00500406" w:rsidP="00500406">
      <w:pPr>
        <w:pStyle w:val="listbull"/>
        <w:widowControl w:val="0"/>
        <w:tabs>
          <w:tab w:val="clear" w:pos="552"/>
          <w:tab w:val="num" w:pos="432"/>
        </w:tabs>
        <w:spacing w:after="0" w:line="360" w:lineRule="auto"/>
        <w:ind w:left="432"/>
        <w:jc w:val="both"/>
        <w:rPr>
          <w:rFonts w:ascii="Garamond" w:hAnsi="Garamond" w:cs="Garamond"/>
          <w:sz w:val="22"/>
          <w:szCs w:val="22"/>
          <w:lang w:val="en-US"/>
        </w:rPr>
      </w:pPr>
      <w:r w:rsidRPr="00A854A8">
        <w:rPr>
          <w:rFonts w:ascii="Garamond" w:hAnsi="Garamond" w:cs="Garamond"/>
          <w:b/>
          <w:bCs/>
          <w:sz w:val="22"/>
          <w:szCs w:val="22"/>
          <w:lang w:val="en-US"/>
        </w:rPr>
        <w:t>Stable Disease (SD)</w:t>
      </w:r>
      <w:r w:rsidRPr="00A854A8">
        <w:rPr>
          <w:rFonts w:ascii="Garamond" w:hAnsi="Garamond" w:cs="Garamond"/>
          <w:sz w:val="22"/>
          <w:szCs w:val="22"/>
          <w:lang w:val="en-US"/>
        </w:rPr>
        <w:t xml:space="preserve"> – neither sufficient shrinkage to qualify for PR nor sufficient increase to qualify for progressive disease (PD), taking as reference, the smallest sum diameters since the treatment started.</w:t>
      </w:r>
    </w:p>
    <w:p w:rsidR="00500406" w:rsidRPr="00A854A8" w:rsidRDefault="00500406" w:rsidP="00500406">
      <w:pPr>
        <w:pStyle w:val="listbull"/>
        <w:widowControl w:val="0"/>
        <w:tabs>
          <w:tab w:val="clear" w:pos="552"/>
          <w:tab w:val="num" w:pos="432"/>
        </w:tabs>
        <w:spacing w:after="0" w:line="360" w:lineRule="auto"/>
        <w:ind w:left="432"/>
        <w:jc w:val="both"/>
        <w:rPr>
          <w:rFonts w:ascii="Garamond" w:hAnsi="Garamond" w:cs="Garamond"/>
          <w:sz w:val="22"/>
          <w:szCs w:val="22"/>
          <w:lang w:val="en-US"/>
        </w:rPr>
      </w:pPr>
      <w:r w:rsidRPr="00A854A8">
        <w:rPr>
          <w:rFonts w:ascii="Garamond" w:hAnsi="Garamond" w:cs="Garamond"/>
          <w:b/>
          <w:bCs/>
          <w:sz w:val="22"/>
          <w:szCs w:val="22"/>
          <w:lang w:val="en-US"/>
        </w:rPr>
        <w:t>Progressive Disease (PD)</w:t>
      </w:r>
      <w:r w:rsidRPr="00A854A8">
        <w:rPr>
          <w:rFonts w:ascii="Garamond" w:hAnsi="Garamond" w:cs="Garamond"/>
          <w:sz w:val="22"/>
          <w:szCs w:val="22"/>
          <w:lang w:val="en-US"/>
        </w:rPr>
        <w:t xml:space="preserve"> – at least a 20% increase in the sum of diameters of target lesions, taking as a reference, the smallest sum on study (this included the baseline sum if that is the smallest on study). In addition to the relative increase of 20%, the sum must also demonstrate an absolute increase of at least 5 mm. </w:t>
      </w:r>
    </w:p>
    <w:p w:rsidR="00500406" w:rsidRPr="00A854A8" w:rsidRDefault="00500406" w:rsidP="00500406">
      <w:pPr>
        <w:pStyle w:val="listbull"/>
        <w:widowControl w:val="0"/>
        <w:numPr>
          <w:ilvl w:val="0"/>
          <w:numId w:val="0"/>
        </w:numPr>
        <w:spacing w:after="0" w:line="360" w:lineRule="auto"/>
        <w:ind w:firstLine="432"/>
        <w:jc w:val="both"/>
        <w:rPr>
          <w:rFonts w:ascii="Garamond" w:hAnsi="Garamond" w:cs="Garamond"/>
          <w:sz w:val="22"/>
          <w:szCs w:val="22"/>
          <w:lang w:val="en-US"/>
        </w:rPr>
      </w:pPr>
      <w:r w:rsidRPr="00A854A8">
        <w:rPr>
          <w:rFonts w:ascii="Garamond" w:hAnsi="Garamond" w:cs="Garamond"/>
          <w:sz w:val="22"/>
          <w:szCs w:val="22"/>
          <w:lang w:val="en-US"/>
        </w:rPr>
        <w:t>The appearance of one or more new lesions is also considered progression.</w:t>
      </w:r>
    </w:p>
    <w:p w:rsidR="00500406" w:rsidRPr="00A854A8" w:rsidRDefault="00500406" w:rsidP="00500406">
      <w:pPr>
        <w:pStyle w:val="listbull"/>
        <w:widowControl w:val="0"/>
        <w:tabs>
          <w:tab w:val="clear" w:pos="552"/>
          <w:tab w:val="num" w:pos="432"/>
        </w:tabs>
        <w:spacing w:after="0" w:line="360" w:lineRule="auto"/>
        <w:ind w:left="432"/>
        <w:jc w:val="both"/>
        <w:rPr>
          <w:rFonts w:ascii="Garamond" w:hAnsi="Garamond" w:cs="Garamond"/>
          <w:sz w:val="22"/>
          <w:szCs w:val="22"/>
          <w:lang w:val="en-US"/>
        </w:rPr>
      </w:pPr>
      <w:r w:rsidRPr="00A854A8">
        <w:rPr>
          <w:rFonts w:ascii="Garamond" w:hAnsi="Garamond" w:cs="Garamond"/>
          <w:b/>
          <w:bCs/>
          <w:sz w:val="22"/>
          <w:szCs w:val="22"/>
          <w:lang w:val="en-US"/>
        </w:rPr>
        <w:t>Not-evaluated (NE)</w:t>
      </w:r>
      <w:r w:rsidRPr="00A854A8">
        <w:rPr>
          <w:rFonts w:ascii="Garamond" w:hAnsi="Garamond" w:cs="Garamond"/>
          <w:sz w:val="22"/>
          <w:szCs w:val="22"/>
          <w:lang w:val="en-US"/>
        </w:rPr>
        <w:t xml:space="preserve"> – any patient who cannot be classified by any of the above four definitions.</w:t>
      </w:r>
    </w:p>
    <w:p w:rsidR="00500406" w:rsidRPr="00A854A8" w:rsidDel="00E4062D" w:rsidRDefault="00500406" w:rsidP="00500406">
      <w:pPr>
        <w:pStyle w:val="4"/>
        <w:keepNext w:val="0"/>
        <w:widowControl w:val="0"/>
        <w:numPr>
          <w:ilvl w:val="0"/>
          <w:numId w:val="0"/>
        </w:numPr>
        <w:spacing w:line="360" w:lineRule="auto"/>
        <w:jc w:val="both"/>
        <w:rPr>
          <w:rFonts w:ascii="Garamond" w:hAnsi="Garamond" w:cs="Garamond"/>
          <w:lang w:val="en-US"/>
        </w:rPr>
      </w:pPr>
    </w:p>
    <w:p w:rsidR="00500406" w:rsidRPr="00A854A8" w:rsidRDefault="00500406" w:rsidP="00500406">
      <w:pPr>
        <w:widowControl w:val="0"/>
        <w:spacing w:line="360" w:lineRule="auto"/>
        <w:rPr>
          <w:rFonts w:ascii="Garamond" w:hAnsi="Garamond" w:cs="Garamond"/>
          <w:b/>
          <w:bCs/>
          <w:szCs w:val="22"/>
          <w:lang w:val="en-US"/>
        </w:rPr>
      </w:pPr>
      <w:bookmarkStart w:id="169" w:name="_Toc125091240"/>
      <w:r w:rsidRPr="00A854A8">
        <w:rPr>
          <w:rFonts w:ascii="Garamond" w:hAnsi="Garamond" w:cs="Garamond"/>
          <w:b/>
          <w:bCs/>
          <w:szCs w:val="22"/>
          <w:lang w:val="en-US"/>
        </w:rPr>
        <w:t>Evaluation of Non-Target Lesions</w:t>
      </w:r>
      <w:bookmarkEnd w:id="169"/>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The definitions for assessment of objective tumor response for non-target lesions are as follows:</w:t>
      </w:r>
    </w:p>
    <w:p w:rsidR="00500406" w:rsidRPr="00A854A8" w:rsidRDefault="00500406" w:rsidP="00500406">
      <w:pPr>
        <w:pStyle w:val="listbull"/>
        <w:widowControl w:val="0"/>
        <w:tabs>
          <w:tab w:val="clear" w:pos="552"/>
          <w:tab w:val="num" w:pos="432"/>
        </w:tabs>
        <w:spacing w:after="0" w:line="360" w:lineRule="auto"/>
        <w:ind w:left="432"/>
        <w:jc w:val="both"/>
        <w:rPr>
          <w:rFonts w:ascii="Garamond" w:hAnsi="Garamond" w:cs="Garamond"/>
          <w:sz w:val="22"/>
          <w:szCs w:val="22"/>
          <w:lang w:val="en-US"/>
        </w:rPr>
      </w:pPr>
      <w:r w:rsidRPr="00A854A8">
        <w:rPr>
          <w:rFonts w:ascii="Garamond" w:hAnsi="Garamond" w:cs="Garamond"/>
          <w:b/>
          <w:bCs/>
          <w:sz w:val="22"/>
          <w:szCs w:val="22"/>
          <w:lang w:val="en-US"/>
        </w:rPr>
        <w:t>Complete Response (CR)</w:t>
      </w:r>
      <w:r w:rsidRPr="00A854A8">
        <w:rPr>
          <w:rFonts w:ascii="Garamond" w:hAnsi="Garamond" w:cs="Garamond"/>
          <w:sz w:val="22"/>
          <w:szCs w:val="22"/>
          <w:lang w:val="en-US"/>
        </w:rPr>
        <w:t xml:space="preserve"> – the disappearance of all non-target lesions and normalization of tumor marker level. All lymph nodes must be non-pathological in size (&lt;10 mm short axis).</w:t>
      </w:r>
    </w:p>
    <w:p w:rsidR="00500406" w:rsidRPr="00A854A8" w:rsidRDefault="00500406" w:rsidP="00500406">
      <w:pPr>
        <w:pStyle w:val="listbull"/>
        <w:widowControl w:val="0"/>
        <w:tabs>
          <w:tab w:val="clear" w:pos="552"/>
          <w:tab w:val="num" w:pos="432"/>
        </w:tabs>
        <w:spacing w:after="0" w:line="360" w:lineRule="auto"/>
        <w:ind w:left="432"/>
        <w:jc w:val="both"/>
        <w:rPr>
          <w:rFonts w:ascii="Garamond" w:hAnsi="Garamond" w:cs="Garamond"/>
          <w:sz w:val="22"/>
          <w:szCs w:val="22"/>
          <w:lang w:val="en-US"/>
        </w:rPr>
      </w:pPr>
      <w:r w:rsidRPr="00A854A8">
        <w:rPr>
          <w:rFonts w:ascii="Garamond" w:hAnsi="Garamond" w:cs="Garamond"/>
          <w:b/>
          <w:bCs/>
          <w:sz w:val="22"/>
          <w:szCs w:val="22"/>
          <w:lang w:val="en-US"/>
        </w:rPr>
        <w:t>Non-CR/Non-PD</w:t>
      </w:r>
      <w:r w:rsidRPr="00A854A8">
        <w:rPr>
          <w:rFonts w:ascii="Garamond" w:hAnsi="Garamond" w:cs="Garamond"/>
          <w:sz w:val="22"/>
          <w:szCs w:val="22"/>
          <w:lang w:val="en-US"/>
        </w:rPr>
        <w:t xml:space="preserve"> – the persistence of one or more non-target lesion(s) and/or maintenance of tumor marker level above the normal limits.</w:t>
      </w:r>
    </w:p>
    <w:p w:rsidR="00500406" w:rsidRPr="00A854A8" w:rsidRDefault="00500406" w:rsidP="00500406">
      <w:pPr>
        <w:pStyle w:val="listbull"/>
        <w:widowControl w:val="0"/>
        <w:tabs>
          <w:tab w:val="clear" w:pos="552"/>
          <w:tab w:val="num" w:pos="432"/>
        </w:tabs>
        <w:spacing w:after="0" w:line="360" w:lineRule="auto"/>
        <w:ind w:left="432"/>
        <w:jc w:val="both"/>
        <w:rPr>
          <w:rFonts w:ascii="Garamond" w:hAnsi="Garamond" w:cs="Garamond"/>
          <w:sz w:val="22"/>
          <w:szCs w:val="22"/>
          <w:lang w:val="en-US"/>
        </w:rPr>
      </w:pPr>
      <w:r w:rsidRPr="00A854A8">
        <w:rPr>
          <w:rFonts w:ascii="Garamond" w:hAnsi="Garamond" w:cs="Garamond"/>
          <w:b/>
          <w:bCs/>
          <w:sz w:val="22"/>
          <w:szCs w:val="22"/>
          <w:lang w:val="en-US"/>
        </w:rPr>
        <w:t>Progressive Disease (PD)</w:t>
      </w:r>
      <w:r w:rsidRPr="00A854A8">
        <w:rPr>
          <w:rFonts w:ascii="Garamond" w:hAnsi="Garamond" w:cs="Garamond"/>
          <w:sz w:val="22"/>
          <w:szCs w:val="22"/>
          <w:lang w:val="en-US"/>
        </w:rPr>
        <w:t xml:space="preserve"> – Unequivocal progression of existing non-target lesions. The appearance of one or more new lesions is also considered progression. </w:t>
      </w:r>
    </w:p>
    <w:p w:rsidR="00500406" w:rsidRPr="00A854A8" w:rsidRDefault="00500406" w:rsidP="00500406">
      <w:pPr>
        <w:widowControl w:val="0"/>
        <w:spacing w:line="360" w:lineRule="auto"/>
        <w:rPr>
          <w:rFonts w:ascii="Garamond" w:hAnsi="Garamond" w:cs="Garamond"/>
          <w:szCs w:val="22"/>
          <w:lang w:val="en-US"/>
        </w:rPr>
      </w:pPr>
      <w:bookmarkStart w:id="170" w:name="_Toc125091241"/>
      <w:bookmarkStart w:id="171" w:name="_Toc125091736"/>
      <w:r w:rsidRPr="00A854A8">
        <w:rPr>
          <w:rFonts w:ascii="Garamond" w:hAnsi="Garamond" w:cs="Garamond"/>
          <w:szCs w:val="22"/>
          <w:lang w:val="en-US"/>
        </w:rPr>
        <w:t>Note: “Unequivocal progression” on the basis of non-target disease when the patient also has measurable disease, indicates an overall level of substantial worsening in non-target disease such that even in presence of SD or PR in target disease, the overall tumor burden has increased sufficiently and therapy should be stopped. A modest increase in the size of one or more non-target lesions is usually non-sufficient.</w:t>
      </w:r>
      <w:bookmarkEnd w:id="170"/>
      <w:bookmarkEnd w:id="171"/>
      <w:r w:rsidRPr="00A854A8">
        <w:rPr>
          <w:rFonts w:ascii="Garamond" w:hAnsi="Garamond" w:cs="Garamond"/>
          <w:szCs w:val="22"/>
          <w:lang w:val="en-US"/>
        </w:rPr>
        <w:t xml:space="preserve"> </w:t>
      </w:r>
    </w:p>
    <w:p w:rsidR="00500406" w:rsidRPr="00A854A8" w:rsidRDefault="00500406" w:rsidP="00500406">
      <w:pPr>
        <w:widowControl w:val="0"/>
        <w:spacing w:line="360" w:lineRule="auto"/>
        <w:rPr>
          <w:rFonts w:ascii="Garamond" w:hAnsi="Garamond" w:cs="Garamond"/>
          <w:szCs w:val="22"/>
          <w:lang w:val="en-US"/>
        </w:rPr>
      </w:pPr>
    </w:p>
    <w:p w:rsidR="00500406" w:rsidRPr="00A854A8" w:rsidRDefault="00500406" w:rsidP="00500406">
      <w:pPr>
        <w:widowControl w:val="0"/>
        <w:spacing w:line="360" w:lineRule="auto"/>
        <w:rPr>
          <w:rFonts w:ascii="Garamond" w:hAnsi="Garamond" w:cs="Garamond"/>
          <w:b/>
          <w:bCs/>
          <w:szCs w:val="22"/>
          <w:lang w:val="en-US"/>
        </w:rPr>
      </w:pPr>
      <w:bookmarkStart w:id="172" w:name="_Toc125091242"/>
      <w:r w:rsidRPr="00A854A8">
        <w:rPr>
          <w:rFonts w:ascii="Garamond" w:hAnsi="Garamond" w:cs="Garamond"/>
          <w:b/>
          <w:bCs/>
          <w:szCs w:val="22"/>
          <w:lang w:val="en-US"/>
        </w:rPr>
        <w:t>Evaluation of new lesions</w:t>
      </w:r>
      <w:bookmarkEnd w:id="172"/>
    </w:p>
    <w:p w:rsidR="00500406" w:rsidRDefault="00500406" w:rsidP="00500406">
      <w:pPr>
        <w:widowControl w:val="0"/>
        <w:numPr>
          <w:ilvl w:val="0"/>
          <w:numId w:val="51"/>
        </w:numPr>
        <w:tabs>
          <w:tab w:val="clear" w:pos="720"/>
          <w:tab w:val="num" w:pos="360"/>
        </w:tabs>
        <w:spacing w:line="360" w:lineRule="auto"/>
        <w:ind w:left="360"/>
        <w:rPr>
          <w:rFonts w:ascii="Garamond" w:hAnsi="Garamond" w:cs="Garamond"/>
          <w:szCs w:val="22"/>
          <w:lang w:val="en-US"/>
        </w:rPr>
      </w:pPr>
      <w:r w:rsidRPr="00A854A8">
        <w:rPr>
          <w:rFonts w:ascii="Garamond" w:hAnsi="Garamond" w:cs="Garamond"/>
          <w:szCs w:val="22"/>
          <w:lang w:val="en-US"/>
        </w:rPr>
        <w:lastRenderedPageBreak/>
        <w:t xml:space="preserve">The finding of a new lesion should be unequivocal, </w:t>
      </w:r>
      <w:r w:rsidRPr="00E022D9">
        <w:rPr>
          <w:rFonts w:ascii="Garamond" w:hAnsi="Garamond" w:cs="Garamond"/>
          <w:i/>
          <w:szCs w:val="22"/>
          <w:lang w:val="en-US"/>
        </w:rPr>
        <w:t>i.e.</w:t>
      </w:r>
      <w:r w:rsidRPr="00A854A8">
        <w:rPr>
          <w:rFonts w:ascii="Garamond" w:hAnsi="Garamond" w:cs="Garamond"/>
          <w:szCs w:val="22"/>
          <w:lang w:val="en-US"/>
        </w:rPr>
        <w:t xml:space="preserve"> not attributable to different scanning technique or findings thought to represent something other tan tumor.</w:t>
      </w:r>
    </w:p>
    <w:p w:rsidR="00500406" w:rsidRDefault="00500406" w:rsidP="00500406">
      <w:pPr>
        <w:widowControl w:val="0"/>
        <w:numPr>
          <w:ilvl w:val="0"/>
          <w:numId w:val="51"/>
        </w:numPr>
        <w:tabs>
          <w:tab w:val="clear" w:pos="720"/>
          <w:tab w:val="num" w:pos="360"/>
        </w:tabs>
        <w:spacing w:line="360" w:lineRule="auto"/>
        <w:ind w:left="360"/>
        <w:rPr>
          <w:rFonts w:ascii="Garamond" w:hAnsi="Garamond" w:cs="Garamond"/>
          <w:szCs w:val="22"/>
          <w:lang w:val="en-US"/>
        </w:rPr>
      </w:pPr>
      <w:r w:rsidRPr="00A854A8">
        <w:rPr>
          <w:rFonts w:ascii="Garamond" w:hAnsi="Garamond" w:cs="Garamond"/>
          <w:szCs w:val="22"/>
          <w:lang w:val="en-US"/>
        </w:rPr>
        <w:t>When the lesion is equivocal, therapy should be continued and follow-up evaluation will clarify if it represents truly new disease (if yes progression has the date of the initial scan).</w:t>
      </w:r>
    </w:p>
    <w:p w:rsidR="00500406" w:rsidRDefault="00500406" w:rsidP="00500406">
      <w:pPr>
        <w:widowControl w:val="0"/>
        <w:numPr>
          <w:ilvl w:val="0"/>
          <w:numId w:val="51"/>
        </w:numPr>
        <w:tabs>
          <w:tab w:val="clear" w:pos="720"/>
          <w:tab w:val="num" w:pos="360"/>
        </w:tabs>
        <w:spacing w:line="360" w:lineRule="auto"/>
        <w:ind w:left="360"/>
        <w:rPr>
          <w:rFonts w:ascii="Garamond" w:hAnsi="Garamond" w:cs="Garamond"/>
          <w:szCs w:val="22"/>
          <w:lang w:val="en-US"/>
        </w:rPr>
      </w:pPr>
      <w:r w:rsidRPr="00A854A8">
        <w:rPr>
          <w:rFonts w:ascii="Garamond" w:hAnsi="Garamond" w:cs="Garamond"/>
          <w:szCs w:val="22"/>
          <w:lang w:val="en-US"/>
        </w:rPr>
        <w:t xml:space="preserve">If a new lesion is identified in an anatomical location that was not scanned at baseline, it is considered a new lesion and indicates disease progression. </w:t>
      </w:r>
    </w:p>
    <w:p w:rsidR="00500406" w:rsidRPr="00A854A8" w:rsidRDefault="00500406" w:rsidP="00500406">
      <w:pPr>
        <w:widowControl w:val="0"/>
        <w:spacing w:line="360" w:lineRule="auto"/>
        <w:rPr>
          <w:rFonts w:ascii="Garamond" w:hAnsi="Garamond" w:cs="Garamond"/>
          <w:szCs w:val="22"/>
          <w:lang w:val="en-US"/>
        </w:rPr>
      </w:pPr>
    </w:p>
    <w:p w:rsidR="00500406" w:rsidRPr="00A854A8" w:rsidRDefault="00500406" w:rsidP="00500406">
      <w:pPr>
        <w:widowControl w:val="0"/>
        <w:spacing w:line="360" w:lineRule="auto"/>
        <w:rPr>
          <w:rFonts w:ascii="Garamond" w:hAnsi="Garamond" w:cs="Garamond"/>
          <w:b/>
          <w:bCs/>
          <w:szCs w:val="22"/>
          <w:lang w:val="en-US"/>
        </w:rPr>
      </w:pPr>
      <w:bookmarkStart w:id="173" w:name="_Toc125091243"/>
      <w:r w:rsidRPr="00A854A8">
        <w:rPr>
          <w:rFonts w:ascii="Garamond" w:hAnsi="Garamond" w:cs="Garamond"/>
          <w:b/>
          <w:bCs/>
          <w:szCs w:val="22"/>
          <w:lang w:val="en-US"/>
        </w:rPr>
        <w:t>Evaluation of Overall Response</w:t>
      </w:r>
      <w:bookmarkEnd w:id="173"/>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 xml:space="preserve">The following tables provide a summary of the overall response status calculation at each time point for patients who have measurable disease at baseline and non-measurable disease only. </w:t>
      </w:r>
    </w:p>
    <w:p w:rsidR="00500406" w:rsidRPr="00A854A8" w:rsidRDefault="00500406" w:rsidP="00500406">
      <w:pPr>
        <w:pStyle w:val="captiontable"/>
        <w:keepNext w:val="0"/>
        <w:widowControl w:val="0"/>
        <w:rPr>
          <w:rFonts w:ascii="Garamond" w:hAnsi="Garamond" w:cs="Garamond"/>
          <w:lang w:val="en-US"/>
        </w:rPr>
      </w:pPr>
      <w:r w:rsidRPr="00A854A8">
        <w:rPr>
          <w:rFonts w:ascii="Garamond" w:hAnsi="Garamond" w:cs="Garamond"/>
          <w:lang w:val="en-US"/>
        </w:rPr>
        <w:t>Table 1: Time point response: patients with target (+/- non-target) disease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0"/>
        <w:gridCol w:w="2520"/>
        <w:gridCol w:w="1860"/>
        <w:gridCol w:w="2100"/>
      </w:tblGrid>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b/>
                <w:bCs/>
                <w:lang w:val="en-US"/>
              </w:rPr>
            </w:pPr>
            <w:r w:rsidRPr="00A854A8">
              <w:rPr>
                <w:rFonts w:ascii="Garamond" w:hAnsi="Garamond" w:cs="Garamond"/>
                <w:b/>
                <w:bCs/>
                <w:sz w:val="22"/>
                <w:szCs w:val="22"/>
                <w:lang w:val="en-US"/>
              </w:rPr>
              <w:t>Target Lesions</w:t>
            </w:r>
          </w:p>
        </w:tc>
        <w:tc>
          <w:tcPr>
            <w:tcW w:w="2520" w:type="dxa"/>
          </w:tcPr>
          <w:p w:rsidR="00500406" w:rsidRPr="00A854A8" w:rsidRDefault="00500406" w:rsidP="006A5A7F">
            <w:pPr>
              <w:pStyle w:val="tabletextNS"/>
              <w:widowControl w:val="0"/>
              <w:jc w:val="center"/>
              <w:rPr>
                <w:rFonts w:ascii="Garamond" w:hAnsi="Garamond" w:cs="Garamond"/>
                <w:b/>
                <w:bCs/>
                <w:lang w:val="en-US"/>
              </w:rPr>
            </w:pPr>
            <w:r w:rsidRPr="00A854A8">
              <w:rPr>
                <w:rFonts w:ascii="Garamond" w:hAnsi="Garamond" w:cs="Garamond"/>
                <w:b/>
                <w:bCs/>
                <w:sz w:val="22"/>
                <w:szCs w:val="22"/>
                <w:lang w:val="en-US"/>
              </w:rPr>
              <w:t>Non-Target Lesions</w:t>
            </w:r>
          </w:p>
        </w:tc>
        <w:tc>
          <w:tcPr>
            <w:tcW w:w="1860" w:type="dxa"/>
          </w:tcPr>
          <w:p w:rsidR="00500406" w:rsidRPr="00A854A8" w:rsidRDefault="00500406" w:rsidP="006A5A7F">
            <w:pPr>
              <w:pStyle w:val="tabletextNS"/>
              <w:widowControl w:val="0"/>
              <w:jc w:val="center"/>
              <w:rPr>
                <w:rFonts w:ascii="Garamond" w:hAnsi="Garamond" w:cs="Garamond"/>
                <w:b/>
                <w:bCs/>
                <w:lang w:val="en-US"/>
              </w:rPr>
            </w:pPr>
            <w:r w:rsidRPr="00A854A8">
              <w:rPr>
                <w:rFonts w:ascii="Garamond" w:hAnsi="Garamond" w:cs="Garamond"/>
                <w:b/>
                <w:bCs/>
                <w:sz w:val="22"/>
                <w:szCs w:val="22"/>
                <w:lang w:val="en-US"/>
              </w:rPr>
              <w:t>New Lesions</w:t>
            </w:r>
          </w:p>
        </w:tc>
        <w:tc>
          <w:tcPr>
            <w:tcW w:w="2100" w:type="dxa"/>
          </w:tcPr>
          <w:p w:rsidR="00500406" w:rsidRPr="00A854A8" w:rsidRDefault="00500406" w:rsidP="006A5A7F">
            <w:pPr>
              <w:pStyle w:val="tabletextNS"/>
              <w:widowControl w:val="0"/>
              <w:jc w:val="center"/>
              <w:rPr>
                <w:rFonts w:ascii="Garamond" w:hAnsi="Garamond" w:cs="Garamond"/>
                <w:b/>
                <w:bCs/>
                <w:lang w:val="en-US"/>
              </w:rPr>
            </w:pPr>
            <w:r w:rsidRPr="00A854A8">
              <w:rPr>
                <w:rFonts w:ascii="Garamond" w:hAnsi="Garamond" w:cs="Garamond"/>
                <w:b/>
                <w:bCs/>
                <w:sz w:val="22"/>
                <w:szCs w:val="22"/>
                <w:lang w:val="en-US"/>
              </w:rPr>
              <w:t>Overall Response</w:t>
            </w:r>
          </w:p>
        </w:tc>
      </w:tr>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CR</w:t>
            </w:r>
          </w:p>
        </w:tc>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CR</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CR</w:t>
            </w:r>
          </w:p>
        </w:tc>
      </w:tr>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CR</w:t>
            </w:r>
          </w:p>
        </w:tc>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Non-CR/non-PD</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PR</w:t>
            </w:r>
          </w:p>
        </w:tc>
      </w:tr>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CR</w:t>
            </w:r>
          </w:p>
        </w:tc>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Not evaluated</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PR</w:t>
            </w:r>
          </w:p>
        </w:tc>
      </w:tr>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PR</w:t>
            </w:r>
          </w:p>
        </w:tc>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Non-PD or not all evaluated</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PR</w:t>
            </w:r>
          </w:p>
        </w:tc>
      </w:tr>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SD</w:t>
            </w:r>
          </w:p>
        </w:tc>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Non-PD or not all evaluated</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SD</w:t>
            </w:r>
          </w:p>
        </w:tc>
      </w:tr>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Not all evaluated</w:t>
            </w:r>
          </w:p>
        </w:tc>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Non-PD</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NE</w:t>
            </w:r>
          </w:p>
        </w:tc>
      </w:tr>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PD</w:t>
            </w:r>
          </w:p>
        </w:tc>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Any</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Yes or 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PD</w:t>
            </w:r>
          </w:p>
        </w:tc>
      </w:tr>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Any</w:t>
            </w:r>
          </w:p>
        </w:tc>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PD</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Yes or 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PD</w:t>
            </w:r>
          </w:p>
        </w:tc>
      </w:tr>
      <w:tr w:rsidR="00500406" w:rsidRPr="00A854A8" w:rsidTr="006A5A7F">
        <w:tc>
          <w:tcPr>
            <w:tcW w:w="19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Any</w:t>
            </w:r>
          </w:p>
        </w:tc>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Any</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Yes</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PD</w:t>
            </w:r>
          </w:p>
        </w:tc>
      </w:tr>
    </w:tbl>
    <w:p w:rsidR="00500406" w:rsidRPr="00A854A8" w:rsidRDefault="00500406" w:rsidP="00500406">
      <w:pPr>
        <w:widowControl w:val="0"/>
        <w:rPr>
          <w:rFonts w:ascii="Garamond" w:hAnsi="Garamond" w:cs="Garamond"/>
          <w:szCs w:val="22"/>
          <w:lang w:val="en-US"/>
        </w:rPr>
      </w:pPr>
    </w:p>
    <w:p w:rsidR="00500406" w:rsidRPr="00A854A8" w:rsidRDefault="00500406" w:rsidP="00500406">
      <w:pPr>
        <w:pStyle w:val="captiontable"/>
        <w:keepNext w:val="0"/>
        <w:widowControl w:val="0"/>
        <w:rPr>
          <w:rFonts w:ascii="Garamond" w:hAnsi="Garamond" w:cs="Garamond"/>
          <w:lang w:val="en-US"/>
        </w:rPr>
      </w:pPr>
      <w:r w:rsidRPr="00A854A8">
        <w:rPr>
          <w:rFonts w:ascii="Garamond" w:hAnsi="Garamond" w:cs="Garamond"/>
          <w:lang w:val="en-US"/>
        </w:rPr>
        <w:t>Table 2: Time point response: patients with non target disease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1860"/>
        <w:gridCol w:w="2100"/>
      </w:tblGrid>
      <w:tr w:rsidR="00500406" w:rsidRPr="00A854A8" w:rsidTr="006A5A7F">
        <w:tc>
          <w:tcPr>
            <w:tcW w:w="2520" w:type="dxa"/>
          </w:tcPr>
          <w:p w:rsidR="00500406" w:rsidRPr="00A854A8" w:rsidRDefault="00500406" w:rsidP="006A5A7F">
            <w:pPr>
              <w:pStyle w:val="tabletextNS"/>
              <w:widowControl w:val="0"/>
              <w:jc w:val="center"/>
              <w:rPr>
                <w:rFonts w:ascii="Garamond" w:hAnsi="Garamond" w:cs="Garamond"/>
                <w:b/>
                <w:bCs/>
                <w:lang w:val="en-US"/>
              </w:rPr>
            </w:pPr>
            <w:r w:rsidRPr="00A854A8">
              <w:rPr>
                <w:rFonts w:ascii="Garamond" w:hAnsi="Garamond" w:cs="Garamond"/>
                <w:b/>
                <w:bCs/>
                <w:sz w:val="22"/>
                <w:szCs w:val="22"/>
                <w:lang w:val="en-US"/>
              </w:rPr>
              <w:t>Non-Target Lesions</w:t>
            </w:r>
          </w:p>
        </w:tc>
        <w:tc>
          <w:tcPr>
            <w:tcW w:w="1860" w:type="dxa"/>
          </w:tcPr>
          <w:p w:rsidR="00500406" w:rsidRPr="00A854A8" w:rsidRDefault="00500406" w:rsidP="006A5A7F">
            <w:pPr>
              <w:pStyle w:val="tabletextNS"/>
              <w:widowControl w:val="0"/>
              <w:jc w:val="center"/>
              <w:rPr>
                <w:rFonts w:ascii="Garamond" w:hAnsi="Garamond" w:cs="Garamond"/>
                <w:b/>
                <w:bCs/>
                <w:lang w:val="en-US"/>
              </w:rPr>
            </w:pPr>
            <w:r w:rsidRPr="00A854A8">
              <w:rPr>
                <w:rFonts w:ascii="Garamond" w:hAnsi="Garamond" w:cs="Garamond"/>
                <w:b/>
                <w:bCs/>
                <w:sz w:val="22"/>
                <w:szCs w:val="22"/>
                <w:lang w:val="en-US"/>
              </w:rPr>
              <w:t>New Lesions</w:t>
            </w:r>
          </w:p>
        </w:tc>
        <w:tc>
          <w:tcPr>
            <w:tcW w:w="2100" w:type="dxa"/>
          </w:tcPr>
          <w:p w:rsidR="00500406" w:rsidRPr="00A854A8" w:rsidRDefault="00500406" w:rsidP="006A5A7F">
            <w:pPr>
              <w:pStyle w:val="tabletextNS"/>
              <w:widowControl w:val="0"/>
              <w:jc w:val="center"/>
              <w:rPr>
                <w:rFonts w:ascii="Garamond" w:hAnsi="Garamond" w:cs="Garamond"/>
                <w:b/>
                <w:bCs/>
                <w:lang w:val="en-US"/>
              </w:rPr>
            </w:pPr>
            <w:r w:rsidRPr="00A854A8">
              <w:rPr>
                <w:rFonts w:ascii="Garamond" w:hAnsi="Garamond" w:cs="Garamond"/>
                <w:b/>
                <w:bCs/>
                <w:sz w:val="22"/>
                <w:szCs w:val="22"/>
                <w:lang w:val="en-US"/>
              </w:rPr>
              <w:t>Overall Response</w:t>
            </w:r>
          </w:p>
        </w:tc>
      </w:tr>
      <w:tr w:rsidR="00500406" w:rsidRPr="00A854A8" w:rsidTr="006A5A7F">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CR</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CR</w:t>
            </w:r>
          </w:p>
        </w:tc>
      </w:tr>
      <w:tr w:rsidR="00500406" w:rsidRPr="00A854A8" w:rsidTr="006A5A7F">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Non-CR/non-PD</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Non-CR/non-PD</w:t>
            </w:r>
          </w:p>
        </w:tc>
      </w:tr>
      <w:tr w:rsidR="00500406" w:rsidRPr="00A854A8" w:rsidTr="006A5A7F">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Not all evaluated</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NE</w:t>
            </w:r>
          </w:p>
        </w:tc>
      </w:tr>
      <w:tr w:rsidR="00500406" w:rsidRPr="00A854A8" w:rsidTr="006A5A7F">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Unequivocal PD</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Yes or No</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PD</w:t>
            </w:r>
          </w:p>
        </w:tc>
      </w:tr>
      <w:tr w:rsidR="00500406" w:rsidRPr="00A854A8" w:rsidTr="006A5A7F">
        <w:tc>
          <w:tcPr>
            <w:tcW w:w="252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Any</w:t>
            </w:r>
          </w:p>
        </w:tc>
        <w:tc>
          <w:tcPr>
            <w:tcW w:w="186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Yes</w:t>
            </w:r>
          </w:p>
        </w:tc>
        <w:tc>
          <w:tcPr>
            <w:tcW w:w="2100" w:type="dxa"/>
          </w:tcPr>
          <w:p w:rsidR="00500406" w:rsidRPr="00A854A8" w:rsidRDefault="00500406" w:rsidP="006A5A7F">
            <w:pPr>
              <w:pStyle w:val="tabletextNS"/>
              <w:widowControl w:val="0"/>
              <w:jc w:val="center"/>
              <w:rPr>
                <w:rFonts w:ascii="Garamond" w:hAnsi="Garamond" w:cs="Garamond"/>
                <w:lang w:val="en-US"/>
              </w:rPr>
            </w:pPr>
            <w:r w:rsidRPr="00A854A8">
              <w:rPr>
                <w:rFonts w:ascii="Garamond" w:hAnsi="Garamond" w:cs="Garamond"/>
                <w:sz w:val="22"/>
                <w:szCs w:val="22"/>
                <w:lang w:val="en-US"/>
              </w:rPr>
              <w:t>PD</w:t>
            </w:r>
          </w:p>
        </w:tc>
      </w:tr>
    </w:tbl>
    <w:p w:rsidR="00500406" w:rsidRPr="00A854A8" w:rsidRDefault="00500406" w:rsidP="00500406">
      <w:pPr>
        <w:widowControl w:val="0"/>
        <w:rPr>
          <w:rFonts w:ascii="Garamond" w:hAnsi="Garamond" w:cs="Garamond"/>
          <w:szCs w:val="22"/>
          <w:lang w:val="en-US"/>
        </w:rPr>
      </w:pPr>
      <w:r w:rsidRPr="00A854A8">
        <w:rPr>
          <w:rFonts w:ascii="Garamond" w:hAnsi="Garamond" w:cs="Garamond"/>
          <w:szCs w:val="22"/>
          <w:lang w:val="en-US"/>
        </w:rPr>
        <w:t>CR=complete response, PR=partial response, SD =stable disease, PD=progressive disease, NE=inevaluable</w:t>
      </w:r>
    </w:p>
    <w:p w:rsidR="00500406" w:rsidRPr="00A854A8" w:rsidRDefault="00500406" w:rsidP="00500406">
      <w:pPr>
        <w:widowControl w:val="0"/>
        <w:spacing w:line="360" w:lineRule="auto"/>
        <w:rPr>
          <w:rFonts w:ascii="Garamond" w:hAnsi="Garamond" w:cs="Garamond"/>
          <w:szCs w:val="22"/>
          <w:lang w:val="en-US"/>
        </w:rPr>
      </w:pPr>
    </w:p>
    <w:p w:rsidR="00500406" w:rsidRPr="00A854A8" w:rsidRDefault="00500406" w:rsidP="00500406">
      <w:pPr>
        <w:widowControl w:val="0"/>
        <w:spacing w:line="360" w:lineRule="auto"/>
        <w:rPr>
          <w:rFonts w:ascii="Garamond" w:hAnsi="Garamond" w:cs="Garamond"/>
          <w:b/>
          <w:bCs/>
          <w:szCs w:val="22"/>
          <w:lang w:val="en-US"/>
        </w:rPr>
      </w:pPr>
      <w:bookmarkStart w:id="174" w:name="_Toc125091244"/>
      <w:r w:rsidRPr="00A854A8">
        <w:rPr>
          <w:rFonts w:ascii="Garamond" w:hAnsi="Garamond" w:cs="Garamond"/>
          <w:b/>
          <w:bCs/>
          <w:szCs w:val="22"/>
          <w:lang w:val="en-US"/>
        </w:rPr>
        <w:t>Evaluation of Best Overall Response</w:t>
      </w:r>
      <w:bookmarkEnd w:id="174"/>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The best overall response is the best response recorded from the start of treatment until disease progression/recurrence (taking as reference for PD, the smallest measurements recorded since treatment was initiated). In general, the patient's best overall response assignment will depend on the achievement of both measurement and confirmation criteria. If no confirmation of complete or partial response is required, best response is defined as the best response across all time points.</w:t>
      </w:r>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lastRenderedPageBreak/>
        <w:t>Patients with a global deterioration of health status requiring discontinuation of treatment without objective evidence of disease progression at that time should be classified as having "symptomatic deterioration." Every effort should be made to document the objective progression by evaluation of target and non-target disease, even after discontinuation of treatment.</w:t>
      </w:r>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In some circumstances, it may be difficult to distinguish residual disease from normal tissue. When the evaluation of complete response depends on this determination, it is recommended that the residual lesion be investigated (fine needle aspirate/biopsy) to confirm the complete response status.</w:t>
      </w:r>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 xml:space="preserve">For equivocal findings on progression, treatment may continue until the next scheduled assessment. If progression is confirmed at the next assessment, the date of progression should be the earlier date when progression was suspected. </w:t>
      </w:r>
    </w:p>
    <w:p w:rsidR="00500406" w:rsidRPr="00A854A8" w:rsidRDefault="00500406" w:rsidP="00500406">
      <w:pPr>
        <w:widowControl w:val="0"/>
        <w:spacing w:line="360" w:lineRule="auto"/>
        <w:rPr>
          <w:rFonts w:ascii="Garamond" w:hAnsi="Garamond" w:cs="Garamond"/>
          <w:b/>
          <w:bCs/>
          <w:szCs w:val="22"/>
          <w:lang w:val="en-US"/>
        </w:rPr>
      </w:pPr>
      <w:r w:rsidRPr="00A854A8">
        <w:rPr>
          <w:rFonts w:ascii="Garamond" w:hAnsi="Garamond" w:cs="Garamond"/>
          <w:b/>
          <w:bCs/>
          <w:szCs w:val="22"/>
          <w:lang w:val="en-US"/>
        </w:rPr>
        <w:t>Confirmation criteria</w:t>
      </w:r>
    </w:p>
    <w:p w:rsidR="00500406" w:rsidRPr="00A854A8" w:rsidRDefault="00500406" w:rsidP="00500406">
      <w:pPr>
        <w:pStyle w:val="listbull"/>
        <w:widowControl w:val="0"/>
        <w:numPr>
          <w:ilvl w:val="0"/>
          <w:numId w:val="0"/>
        </w:numPr>
        <w:spacing w:line="360" w:lineRule="auto"/>
        <w:jc w:val="both"/>
        <w:rPr>
          <w:rFonts w:ascii="Garamond" w:hAnsi="Garamond" w:cs="Garamond"/>
          <w:sz w:val="22"/>
          <w:szCs w:val="22"/>
          <w:lang w:val="en-US"/>
        </w:rPr>
      </w:pPr>
      <w:r w:rsidRPr="00A854A8">
        <w:rPr>
          <w:rFonts w:ascii="Garamond" w:hAnsi="Garamond" w:cs="Garamond"/>
          <w:sz w:val="22"/>
          <w:szCs w:val="22"/>
          <w:lang w:val="en-US"/>
        </w:rPr>
        <w:t xml:space="preserve">Confirmation is only required in studies where objective response rate is the primary end-point. In all other circumstances, confirmation of response is not required. </w:t>
      </w:r>
    </w:p>
    <w:p w:rsidR="00500406" w:rsidRPr="00A854A8" w:rsidRDefault="00500406" w:rsidP="00500406">
      <w:pPr>
        <w:widowControl w:val="0"/>
        <w:spacing w:line="360" w:lineRule="auto"/>
        <w:rPr>
          <w:rFonts w:ascii="Garamond" w:hAnsi="Garamond" w:cs="Garamond"/>
          <w:lang w:val="en-US"/>
        </w:rPr>
      </w:pPr>
      <w:r w:rsidRPr="00A854A8">
        <w:rPr>
          <w:rFonts w:ascii="Garamond" w:hAnsi="Garamond" w:cs="Garamond"/>
          <w:szCs w:val="22"/>
          <w:lang w:val="en-US"/>
        </w:rPr>
        <w:br w:type="page"/>
      </w:r>
    </w:p>
    <w:p w:rsidR="00500406" w:rsidRPr="00A854A8" w:rsidRDefault="00500406" w:rsidP="00A460EE">
      <w:pPr>
        <w:pStyle w:val="2"/>
        <w:rPr>
          <w:lang w:val="en-US"/>
        </w:rPr>
      </w:pPr>
      <w:bookmarkStart w:id="175" w:name="_Toc135721968"/>
      <w:bookmarkStart w:id="176" w:name="_Toc183493378"/>
      <w:bookmarkStart w:id="177" w:name="_Toc187727197"/>
      <w:bookmarkStart w:id="178" w:name="_Toc424560770"/>
      <w:bookmarkStart w:id="179" w:name="_Ref443402389"/>
      <w:bookmarkStart w:id="180" w:name="_Toc461617893"/>
      <w:bookmarkStart w:id="181" w:name="_Toc80674587"/>
      <w:bookmarkStart w:id="182" w:name="_Toc83009376"/>
      <w:bookmarkStart w:id="183" w:name="_Toc83437042"/>
      <w:bookmarkStart w:id="184" w:name="_Toc83615695"/>
      <w:bookmarkStart w:id="185" w:name="_Toc84307844"/>
      <w:bookmarkStart w:id="186" w:name="_Toc84308147"/>
      <w:bookmarkStart w:id="187" w:name="_Toc84308449"/>
      <w:bookmarkStart w:id="188" w:name="_Toc84310521"/>
      <w:bookmarkStart w:id="189" w:name="_Toc84310747"/>
      <w:bookmarkStart w:id="190" w:name="_Toc84313497"/>
      <w:bookmarkStart w:id="191" w:name="Appendix5"/>
      <w:bookmarkStart w:id="192" w:name="_Toc127850174"/>
      <w:bookmarkStart w:id="193" w:name="_Toc128976794"/>
      <w:r w:rsidRPr="00A854A8">
        <w:rPr>
          <w:lang w:val="en-US"/>
        </w:rPr>
        <w:lastRenderedPageBreak/>
        <w:t xml:space="preserve">Appendix </w:t>
      </w:r>
      <w:r w:rsidR="00A460EE">
        <w:rPr>
          <w:lang w:val="en-US"/>
        </w:rPr>
        <w:t>7</w:t>
      </w:r>
      <w:r w:rsidRPr="00A854A8">
        <w:rPr>
          <w:lang w:val="en-US"/>
        </w:rPr>
        <w:t>: U.S. National Cancer Institute (NCI) Common Terminology Criteria for Adverse Events (CTCAE)</w:t>
      </w:r>
      <w:bookmarkEnd w:id="175"/>
      <w:bookmarkEnd w:id="176"/>
      <w:bookmarkEnd w:id="177"/>
      <w:bookmarkEnd w:id="178"/>
      <w:bookmarkEnd w:id="179"/>
      <w:bookmarkEnd w:id="180"/>
    </w:p>
    <w:p w:rsidR="00500406" w:rsidRPr="00A854A8" w:rsidRDefault="00500406" w:rsidP="00500406">
      <w:pPr>
        <w:widowControl w:val="0"/>
        <w:spacing w:line="360" w:lineRule="auto"/>
        <w:rPr>
          <w:rFonts w:ascii="Garamond" w:hAnsi="Garamond" w:cs="Garamond"/>
          <w:szCs w:val="22"/>
          <w:lang w:val="en-US"/>
        </w:rPr>
      </w:pPr>
      <w:r w:rsidRPr="00A854A8">
        <w:rPr>
          <w:rFonts w:ascii="Garamond" w:hAnsi="Garamond" w:cs="Garamond"/>
          <w:szCs w:val="22"/>
          <w:lang w:val="en-US"/>
        </w:rPr>
        <w:t xml:space="preserve">The severity of adverse events will be assessed using the Common Terminology Criteria for Adverse Events (CTCAE), version </w:t>
      </w:r>
      <w:r>
        <w:rPr>
          <w:rFonts w:ascii="Garamond" w:hAnsi="Garamond" w:cs="Garamond"/>
          <w:szCs w:val="22"/>
          <w:lang w:val="en-US"/>
        </w:rPr>
        <w:t>4</w:t>
      </w:r>
      <w:r w:rsidRPr="00A854A8">
        <w:rPr>
          <w:rFonts w:ascii="Garamond" w:hAnsi="Garamond" w:cs="Garamond"/>
          <w:szCs w:val="22"/>
          <w:lang w:val="en-US"/>
        </w:rPr>
        <w:t>.0. A copy can be downloaded from the internet web site:</w:t>
      </w:r>
    </w:p>
    <w:p w:rsidR="00BB2280" w:rsidRPr="00191141" w:rsidRDefault="00500406" w:rsidP="00500406">
      <w:r w:rsidRPr="00077ADE">
        <w:rPr>
          <w:rFonts w:ascii="Garamond" w:hAnsi="Garamond" w:cs="Garamond"/>
          <w:szCs w:val="22"/>
          <w:lang w:val="en-US"/>
        </w:rPr>
        <w:t>http://ctep.cancer.gov/forms/CT</w:t>
      </w:r>
      <w:r w:rsidR="00A460EE">
        <w:rPr>
          <w:rFonts w:ascii="Garamond" w:hAnsi="Garamond" w:cs="Garamond"/>
          <w:szCs w:val="22"/>
          <w:lang w:val="en-US"/>
        </w:rPr>
        <w:t>C</w:t>
      </w:r>
      <w:bookmarkEnd w:id="161"/>
      <w:bookmarkEnd w:id="162"/>
      <w:bookmarkEnd w:id="163"/>
      <w:bookmarkEnd w:id="181"/>
      <w:bookmarkEnd w:id="182"/>
      <w:bookmarkEnd w:id="183"/>
      <w:bookmarkEnd w:id="184"/>
      <w:bookmarkEnd w:id="185"/>
      <w:bookmarkEnd w:id="186"/>
      <w:bookmarkEnd w:id="187"/>
      <w:bookmarkEnd w:id="188"/>
      <w:bookmarkEnd w:id="189"/>
      <w:bookmarkEnd w:id="190"/>
      <w:bookmarkEnd w:id="191"/>
      <w:bookmarkEnd w:id="192"/>
      <w:bookmarkEnd w:id="193"/>
    </w:p>
    <w:sectPr w:rsidR="00BB2280" w:rsidRPr="00191141" w:rsidSect="00061435">
      <w:headerReference w:type="first" r:id="rId14"/>
      <w:pgSz w:w="11907" w:h="16839" w:code="9"/>
      <w:pgMar w:top="1701" w:right="851" w:bottom="2268" w:left="1588" w:header="1134"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77C" w:rsidRDefault="00E7177C">
      <w:r>
        <w:separator/>
      </w:r>
    </w:p>
  </w:endnote>
  <w:endnote w:type="continuationSeparator" w:id="1">
    <w:p w:rsidR="00E7177C" w:rsidRDefault="00E717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Garamond">
    <w:panose1 w:val="02020404030301010803"/>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Century Schoolbook">
    <w:panose1 w:val="0204060405050502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TimesNewRomanPSMT">
    <w:altName w:val="Times New Roman"/>
    <w:panose1 w:val="00000000000000000000"/>
    <w:charset w:val="4D"/>
    <w:family w:val="roman"/>
    <w:notTrueType/>
    <w:pitch w:val="default"/>
    <w:sig w:usb0="03000000"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8F1" w:rsidRDefault="00FF5BA3">
    <w:pPr>
      <w:pStyle w:val="a5"/>
      <w:tabs>
        <w:tab w:val="right" w:pos="8930"/>
      </w:tabs>
    </w:pPr>
    <w:r>
      <w:rPr>
        <w:rStyle w:val="a4"/>
      </w:rPr>
      <w:fldChar w:fldCharType="begin"/>
    </w:r>
    <w:r w:rsidR="007C78F1">
      <w:rPr>
        <w:rStyle w:val="a4"/>
      </w:rPr>
      <w:instrText xml:space="preserve"> PAGE </w:instrText>
    </w:r>
    <w:r>
      <w:rPr>
        <w:rStyle w:val="a4"/>
      </w:rPr>
      <w:fldChar w:fldCharType="separate"/>
    </w:r>
    <w:r w:rsidR="007C78F1">
      <w:rPr>
        <w:rStyle w:val="a4"/>
        <w:noProof/>
      </w:rPr>
      <w:t>1</w:t>
    </w:r>
    <w:r>
      <w:rPr>
        <w:rStyle w:val="a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8" w:type="dxa"/>
      <w:tblLook w:val="0000"/>
    </w:tblPr>
    <w:tblGrid>
      <w:gridCol w:w="6549"/>
      <w:gridCol w:w="3099"/>
    </w:tblGrid>
    <w:tr w:rsidR="007C78F1" w:rsidTr="007152F7">
      <w:tc>
        <w:tcPr>
          <w:tcW w:w="6549" w:type="dxa"/>
          <w:vAlign w:val="center"/>
        </w:tcPr>
        <w:p w:rsidR="007C78F1" w:rsidRPr="0046177E" w:rsidRDefault="00FF5BA3" w:rsidP="00A504EB">
          <w:pPr>
            <w:pStyle w:val="a5"/>
            <w:rPr>
              <w:lang w:val="fr-FR"/>
            </w:rPr>
          </w:pPr>
          <w:r>
            <w:rPr>
              <w:lang w:val="fr-FR"/>
            </w:rPr>
            <w:fldChar w:fldCharType="begin"/>
          </w:r>
          <w:r w:rsidR="007C78F1" w:rsidRPr="0046177E">
            <w:rPr>
              <w:lang w:val="fr-FR"/>
            </w:rPr>
            <w:instrText xml:space="preserve"> FILENAME </w:instrText>
          </w:r>
          <w:r>
            <w:rPr>
              <w:lang w:val="fr-FR"/>
            </w:rPr>
            <w:fldChar w:fldCharType="separate"/>
          </w:r>
          <w:r w:rsidR="007C78F1">
            <w:rPr>
              <w:noProof/>
              <w:lang w:val="fr-FR"/>
            </w:rPr>
            <w:t>VP0056_SAP_v3.0_2016_09_14_Final</w:t>
          </w:r>
          <w:r>
            <w:rPr>
              <w:lang w:val="fr-FR"/>
            </w:rPr>
            <w:fldChar w:fldCharType="end"/>
          </w:r>
        </w:p>
      </w:tc>
      <w:tc>
        <w:tcPr>
          <w:tcW w:w="3099" w:type="dxa"/>
        </w:tcPr>
        <w:p w:rsidR="007C78F1" w:rsidRDefault="007C78F1" w:rsidP="00AF3917">
          <w:pPr>
            <w:pStyle w:val="a5"/>
            <w:jc w:val="right"/>
            <w:rPr>
              <w:lang w:val="fr-FR"/>
            </w:rPr>
          </w:pPr>
          <w:r>
            <w:rPr>
              <w:lang w:val="fr-FR"/>
            </w:rPr>
            <w:t xml:space="preserve">Page </w:t>
          </w:r>
          <w:r w:rsidR="00FF5BA3">
            <w:fldChar w:fldCharType="begin"/>
          </w:r>
          <w:r>
            <w:instrText xml:space="preserve"> PAGE </w:instrText>
          </w:r>
          <w:r w:rsidR="00FF5BA3">
            <w:fldChar w:fldCharType="separate"/>
          </w:r>
          <w:r w:rsidR="006A5023">
            <w:rPr>
              <w:noProof/>
            </w:rPr>
            <w:t>56</w:t>
          </w:r>
          <w:r w:rsidR="00FF5BA3">
            <w:fldChar w:fldCharType="end"/>
          </w:r>
          <w:r>
            <w:t>/</w:t>
          </w:r>
          <w:r w:rsidR="00FF5BA3">
            <w:fldChar w:fldCharType="begin"/>
          </w:r>
          <w:r>
            <w:instrText xml:space="preserve"> NUMPAGES </w:instrText>
          </w:r>
          <w:r w:rsidR="00FF5BA3">
            <w:fldChar w:fldCharType="separate"/>
          </w:r>
          <w:r w:rsidR="006A5023">
            <w:rPr>
              <w:noProof/>
            </w:rPr>
            <w:t>56</w:t>
          </w:r>
          <w:r w:rsidR="00FF5BA3">
            <w:fldChar w:fldCharType="end"/>
          </w:r>
        </w:p>
      </w:tc>
    </w:tr>
  </w:tbl>
  <w:p w:rsidR="007C78F1" w:rsidRDefault="007C78F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77C" w:rsidRDefault="00E7177C">
      <w:r>
        <w:separator/>
      </w:r>
    </w:p>
  </w:footnote>
  <w:footnote w:type="continuationSeparator" w:id="1">
    <w:p w:rsidR="00E7177C" w:rsidRDefault="00E717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8F1" w:rsidRDefault="007C78F1">
    <w:pPr>
      <w:pStyle w:val="a3"/>
      <w:tabs>
        <w:tab w:val="right" w:pos="9000"/>
      </w:tabs>
      <w:rPr>
        <w:sz w:val="22"/>
      </w:rPr>
    </w:pPr>
    <w:r>
      <w:rPr>
        <w:sz w:val="22"/>
      </w:rPr>
      <w:t>Clinical Study Protocol</w:t>
    </w:r>
    <w:r>
      <w:rPr>
        <w:sz w:val="22"/>
      </w:rPr>
      <w:tab/>
      <w:t>XXX 2000</w:t>
    </w:r>
  </w:p>
  <w:p w:rsidR="007C78F1" w:rsidRDefault="007C78F1">
    <w:pPr>
      <w:pStyle w:val="a3"/>
      <w:tabs>
        <w:tab w:val="right" w:pos="9000"/>
      </w:tabs>
    </w:pPr>
    <w:r>
      <w:rPr>
        <w:sz w:val="22"/>
      </w:rPr>
      <w:t>Instructions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8" w:type="dxa"/>
      <w:tblLook w:val="0000"/>
    </w:tblPr>
    <w:tblGrid>
      <w:gridCol w:w="4608"/>
      <w:gridCol w:w="5040"/>
    </w:tblGrid>
    <w:tr w:rsidR="007C78F1">
      <w:tc>
        <w:tcPr>
          <w:tcW w:w="4608" w:type="dxa"/>
          <w:vAlign w:val="center"/>
        </w:tcPr>
        <w:p w:rsidR="007C78F1" w:rsidRDefault="007C78F1">
          <w:pPr>
            <w:pStyle w:val="a3"/>
            <w:tabs>
              <w:tab w:val="center" w:pos="9720"/>
            </w:tabs>
            <w:rPr>
              <w:rStyle w:val="Instruction"/>
            </w:rPr>
          </w:pPr>
          <w:r w:rsidRPr="005A34E5">
            <w:rPr>
              <w:rFonts w:cs="Arial"/>
              <w:caps/>
              <w:sz w:val="21"/>
              <w:szCs w:val="21"/>
            </w:rPr>
            <w:t>Vaxon Biotech</w:t>
          </w:r>
        </w:p>
      </w:tc>
      <w:tc>
        <w:tcPr>
          <w:tcW w:w="5040" w:type="dxa"/>
          <w:vAlign w:val="center"/>
        </w:tcPr>
        <w:p w:rsidR="007C78F1" w:rsidRDefault="007C78F1" w:rsidP="001D44B7">
          <w:pPr>
            <w:pStyle w:val="a3"/>
            <w:jc w:val="right"/>
          </w:pPr>
          <w:r>
            <w:t>Venn Life Sciences (VP0056)</w:t>
          </w:r>
        </w:p>
      </w:tc>
    </w:tr>
    <w:tr w:rsidR="007C78F1">
      <w:tc>
        <w:tcPr>
          <w:tcW w:w="4608" w:type="dxa"/>
          <w:vAlign w:val="center"/>
        </w:tcPr>
        <w:p w:rsidR="007C78F1" w:rsidRDefault="007C78F1">
          <w:pPr>
            <w:pStyle w:val="a3"/>
            <w:tabs>
              <w:tab w:val="center" w:pos="9720"/>
            </w:tabs>
            <w:rPr>
              <w:rStyle w:val="Instruction"/>
            </w:rPr>
          </w:pPr>
          <w:r>
            <w:rPr>
              <w:rFonts w:cs="Arial"/>
              <w:sz w:val="21"/>
              <w:szCs w:val="21"/>
            </w:rPr>
            <w:t>Vx-001-201</w:t>
          </w:r>
        </w:p>
      </w:tc>
      <w:tc>
        <w:tcPr>
          <w:tcW w:w="5040" w:type="dxa"/>
          <w:vAlign w:val="center"/>
        </w:tcPr>
        <w:p w:rsidR="007C78F1" w:rsidRDefault="007C78F1">
          <w:pPr>
            <w:pStyle w:val="a3"/>
            <w:jc w:val="right"/>
          </w:pPr>
          <w:r>
            <w:rPr>
              <w:bCs/>
            </w:rPr>
            <w:t>Statistical Analysis Plan</w:t>
          </w:r>
        </w:p>
      </w:tc>
    </w:tr>
    <w:tr w:rsidR="007C78F1">
      <w:tc>
        <w:tcPr>
          <w:tcW w:w="4608" w:type="dxa"/>
          <w:vAlign w:val="center"/>
        </w:tcPr>
        <w:p w:rsidR="007C78F1" w:rsidRDefault="007C78F1" w:rsidP="006A5023">
          <w:pPr>
            <w:pStyle w:val="a3"/>
            <w:tabs>
              <w:tab w:val="center" w:pos="9720"/>
            </w:tabs>
            <w:rPr>
              <w:rStyle w:val="Instruction"/>
            </w:rPr>
          </w:pPr>
          <w:r w:rsidRPr="00B20983">
            <w:rPr>
              <w:bCs/>
            </w:rPr>
            <w:t xml:space="preserve">Printed on: </w:t>
          </w:r>
          <w:r w:rsidR="006A5023">
            <w:rPr>
              <w:bCs/>
            </w:rPr>
            <w:t>3/11/2019</w:t>
          </w:r>
        </w:p>
      </w:tc>
      <w:tc>
        <w:tcPr>
          <w:tcW w:w="5040" w:type="dxa"/>
          <w:vAlign w:val="center"/>
        </w:tcPr>
        <w:p w:rsidR="007C78F1" w:rsidRDefault="007C78F1" w:rsidP="00A504EB">
          <w:pPr>
            <w:pStyle w:val="a3"/>
            <w:jc w:val="right"/>
            <w:rPr>
              <w:bCs/>
            </w:rPr>
          </w:pPr>
          <w:r w:rsidRPr="00F47903">
            <w:rPr>
              <w:bCs/>
              <w:i/>
              <w:iCs/>
            </w:rPr>
            <w:t xml:space="preserve">Version </w:t>
          </w:r>
          <w:r>
            <w:rPr>
              <w:bCs/>
              <w:i/>
              <w:iCs/>
            </w:rPr>
            <w:t>3.0</w:t>
          </w:r>
          <w:r w:rsidRPr="00F47903">
            <w:rPr>
              <w:bCs/>
            </w:rPr>
            <w:t xml:space="preserve">, </w:t>
          </w:r>
          <w:r>
            <w:rPr>
              <w:rStyle w:val="Instruction"/>
              <w:color w:val="auto"/>
            </w:rPr>
            <w:t>14 September</w:t>
          </w:r>
          <w:r w:rsidRPr="00F47903">
            <w:rPr>
              <w:rStyle w:val="Instruction"/>
              <w:color w:val="auto"/>
            </w:rPr>
            <w:t xml:space="preserve"> 201</w:t>
          </w:r>
          <w:r>
            <w:rPr>
              <w:rStyle w:val="Instruction"/>
              <w:color w:val="auto"/>
            </w:rPr>
            <w:t>6</w:t>
          </w:r>
        </w:p>
      </w:tc>
    </w:tr>
  </w:tbl>
  <w:p w:rsidR="007C78F1" w:rsidRDefault="007C78F1">
    <w:pPr>
      <w:pStyle w:val="a3"/>
      <w:tabs>
        <w:tab w:val="right" w:pos="9000"/>
      </w:tabs>
      <w:rPr>
        <w:sz w:val="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8F1" w:rsidRDefault="007C78F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1C6C"/>
    <w:multiLevelType w:val="hybridMultilevel"/>
    <w:tmpl w:val="728281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7733C8"/>
    <w:multiLevelType w:val="hybridMultilevel"/>
    <w:tmpl w:val="9B94F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CF5D02"/>
    <w:multiLevelType w:val="hybridMultilevel"/>
    <w:tmpl w:val="AFC228E6"/>
    <w:lvl w:ilvl="0" w:tplc="2552404E">
      <w:start w:val="1"/>
      <w:numFmt w:val="bullet"/>
      <w:lvlText w:val="-"/>
      <w:lvlJc w:val="left"/>
      <w:pPr>
        <w:tabs>
          <w:tab w:val="num" w:pos="720"/>
        </w:tabs>
        <w:ind w:left="720" w:hanging="360"/>
      </w:pPr>
      <w:rPr>
        <w:rFonts w:ascii="Arial" w:hAnsi="Arial" w:hint="default"/>
        <w:b w:val="0"/>
        <w:i w:val="0"/>
        <w:sz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7DB09F5"/>
    <w:multiLevelType w:val="hybridMultilevel"/>
    <w:tmpl w:val="6E48333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nsid w:val="0941248F"/>
    <w:multiLevelType w:val="hybridMultilevel"/>
    <w:tmpl w:val="87DA37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7360CA"/>
    <w:multiLevelType w:val="hybridMultilevel"/>
    <w:tmpl w:val="40F42786"/>
    <w:lvl w:ilvl="0" w:tplc="04050003">
      <w:start w:val="1"/>
      <w:numFmt w:val="bullet"/>
      <w:lvlText w:val="o"/>
      <w:lvlJc w:val="left"/>
      <w:pPr>
        <w:tabs>
          <w:tab w:val="num" w:pos="780"/>
        </w:tabs>
        <w:ind w:left="780" w:hanging="360"/>
      </w:pPr>
      <w:rPr>
        <w:rFonts w:ascii="Courier New" w:hAnsi="Courier New" w:cs="Courier New"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
    <w:nsid w:val="0F7E0776"/>
    <w:multiLevelType w:val="hybridMultilevel"/>
    <w:tmpl w:val="E82A3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83D1CD9"/>
    <w:multiLevelType w:val="hybridMultilevel"/>
    <w:tmpl w:val="E1AAF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E24473"/>
    <w:multiLevelType w:val="hybridMultilevel"/>
    <w:tmpl w:val="2FF2D8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E0C5C23"/>
    <w:multiLevelType w:val="hybridMultilevel"/>
    <w:tmpl w:val="A2E0E11E"/>
    <w:lvl w:ilvl="0" w:tplc="2552404E">
      <w:start w:val="1"/>
      <w:numFmt w:val="bullet"/>
      <w:lvlText w:val="-"/>
      <w:lvlJc w:val="left"/>
      <w:pPr>
        <w:tabs>
          <w:tab w:val="num" w:pos="720"/>
        </w:tabs>
        <w:ind w:left="720" w:hanging="360"/>
      </w:pPr>
      <w:rPr>
        <w:rFonts w:ascii="Arial" w:hAnsi="Arial" w:hint="default"/>
        <w:b w:val="0"/>
        <w:i w:val="0"/>
        <w:sz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F540008"/>
    <w:multiLevelType w:val="hybridMultilevel"/>
    <w:tmpl w:val="CDE20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04B1C7B"/>
    <w:multiLevelType w:val="hybridMultilevel"/>
    <w:tmpl w:val="A2B21A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24603C3"/>
    <w:multiLevelType w:val="hybridMultilevel"/>
    <w:tmpl w:val="B54A4FAC"/>
    <w:lvl w:ilvl="0" w:tplc="04050003">
      <w:start w:val="1"/>
      <w:numFmt w:val="bullet"/>
      <w:lvlText w:val="o"/>
      <w:lvlJc w:val="left"/>
      <w:pPr>
        <w:tabs>
          <w:tab w:val="num" w:pos="720"/>
        </w:tabs>
        <w:ind w:left="720" w:hanging="360"/>
      </w:pPr>
      <w:rPr>
        <w:rFonts w:ascii="Courier New" w:hAnsi="Courier New" w:cs="Courier New"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5211A2B"/>
    <w:multiLevelType w:val="multilevel"/>
    <w:tmpl w:val="B34A97C0"/>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2280"/>
        </w:tabs>
        <w:ind w:left="228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4">
    <w:nsid w:val="2C0865BE"/>
    <w:multiLevelType w:val="hybridMultilevel"/>
    <w:tmpl w:val="EBC46A3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5D179E"/>
    <w:multiLevelType w:val="hybridMultilevel"/>
    <w:tmpl w:val="38D6E4E8"/>
    <w:lvl w:ilvl="0" w:tplc="2DFC9994">
      <w:start w:val="1"/>
      <w:numFmt w:val="decimal"/>
      <w:pStyle w:val="Number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FD4703"/>
    <w:multiLevelType w:val="hybridMultilevel"/>
    <w:tmpl w:val="F24E4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035190D"/>
    <w:multiLevelType w:val="singleLevel"/>
    <w:tmpl w:val="6EA66680"/>
    <w:lvl w:ilvl="0">
      <w:start w:val="1"/>
      <w:numFmt w:val="bullet"/>
      <w:pStyle w:val="listbull"/>
      <w:lvlText w:val=""/>
      <w:lvlJc w:val="left"/>
      <w:pPr>
        <w:tabs>
          <w:tab w:val="num" w:pos="552"/>
        </w:tabs>
        <w:ind w:left="552" w:hanging="432"/>
      </w:pPr>
      <w:rPr>
        <w:rFonts w:ascii="Symbol" w:hAnsi="Symbol" w:hint="default"/>
      </w:rPr>
    </w:lvl>
  </w:abstractNum>
  <w:abstractNum w:abstractNumId="18">
    <w:nsid w:val="303759A7"/>
    <w:multiLevelType w:val="hybridMultilevel"/>
    <w:tmpl w:val="B23A0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AC2F61"/>
    <w:multiLevelType w:val="hybridMultilevel"/>
    <w:tmpl w:val="BAAE2722"/>
    <w:lvl w:ilvl="0" w:tplc="04050003">
      <w:start w:val="1"/>
      <w:numFmt w:val="bullet"/>
      <w:lvlText w:val="o"/>
      <w:lvlJc w:val="left"/>
      <w:pPr>
        <w:tabs>
          <w:tab w:val="num" w:pos="1440"/>
        </w:tabs>
        <w:ind w:left="144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93726B2"/>
    <w:multiLevelType w:val="hybridMultilevel"/>
    <w:tmpl w:val="59E88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2348E0"/>
    <w:multiLevelType w:val="hybridMultilevel"/>
    <w:tmpl w:val="02ACC7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D813705"/>
    <w:multiLevelType w:val="hybridMultilevel"/>
    <w:tmpl w:val="ED7EB8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6B95780"/>
    <w:multiLevelType w:val="hybridMultilevel"/>
    <w:tmpl w:val="3B0A78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6E9157F"/>
    <w:multiLevelType w:val="hybridMultilevel"/>
    <w:tmpl w:val="C5A01D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7484FB5"/>
    <w:multiLevelType w:val="hybridMultilevel"/>
    <w:tmpl w:val="554E2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B2B03A1"/>
    <w:multiLevelType w:val="hybridMultilevel"/>
    <w:tmpl w:val="F732D9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F664562"/>
    <w:multiLevelType w:val="hybridMultilevel"/>
    <w:tmpl w:val="97807654"/>
    <w:lvl w:ilvl="0" w:tplc="075839D8">
      <w:start w:val="3"/>
      <w:numFmt w:val="bullet"/>
      <w:lvlText w:val="-"/>
      <w:lvlJc w:val="left"/>
      <w:pPr>
        <w:tabs>
          <w:tab w:val="num" w:pos="720"/>
        </w:tabs>
        <w:ind w:left="720" w:hanging="360"/>
      </w:pPr>
      <w:rPr>
        <w:rFonts w:ascii="Garamond" w:eastAsia="Times New Roman" w:hAnsi="Garamond" w:cs="Times New Roman" w:hint="default"/>
      </w:rPr>
    </w:lvl>
    <w:lvl w:ilvl="1" w:tplc="04050003" w:tentative="1">
      <w:start w:val="1"/>
      <w:numFmt w:val="bullet"/>
      <w:lvlText w:val="o"/>
      <w:lvlJc w:val="left"/>
      <w:pPr>
        <w:tabs>
          <w:tab w:val="num" w:pos="1440"/>
        </w:tabs>
        <w:ind w:left="1440" w:hanging="360"/>
      </w:pPr>
      <w:rPr>
        <w:rFonts w:ascii="Courier New" w:hAnsi="Courier New" w:cs="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Wingding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Wingdings"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4F9710B4"/>
    <w:multiLevelType w:val="hybridMultilevel"/>
    <w:tmpl w:val="B40E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7F4C2B"/>
    <w:multiLevelType w:val="hybridMultilevel"/>
    <w:tmpl w:val="12E093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6B06D18"/>
    <w:multiLevelType w:val="hybridMultilevel"/>
    <w:tmpl w:val="DE2CD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97E6F8E"/>
    <w:multiLevelType w:val="hybridMultilevel"/>
    <w:tmpl w:val="E9563B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F336A7A"/>
    <w:multiLevelType w:val="hybridMultilevel"/>
    <w:tmpl w:val="8C60D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F15A08"/>
    <w:multiLevelType w:val="hybridMultilevel"/>
    <w:tmpl w:val="7B82B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114099E"/>
    <w:multiLevelType w:val="hybridMultilevel"/>
    <w:tmpl w:val="F5A09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2F3583D"/>
    <w:multiLevelType w:val="hybridMultilevel"/>
    <w:tmpl w:val="CCA67C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6922BD0"/>
    <w:multiLevelType w:val="hybridMultilevel"/>
    <w:tmpl w:val="F8EC1544"/>
    <w:lvl w:ilvl="0" w:tplc="04050003">
      <w:start w:val="1"/>
      <w:numFmt w:val="bullet"/>
      <w:lvlText w:val="o"/>
      <w:lvlJc w:val="left"/>
      <w:pPr>
        <w:tabs>
          <w:tab w:val="num" w:pos="1429"/>
        </w:tabs>
        <w:ind w:left="1429" w:hanging="360"/>
      </w:pPr>
      <w:rPr>
        <w:rFonts w:ascii="Courier New" w:hAnsi="Courier New" w:cs="Courier New"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37">
    <w:nsid w:val="6A075903"/>
    <w:multiLevelType w:val="hybridMultilevel"/>
    <w:tmpl w:val="350801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D983A03"/>
    <w:multiLevelType w:val="hybridMultilevel"/>
    <w:tmpl w:val="9AEE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1C74014"/>
    <w:multiLevelType w:val="hybridMultilevel"/>
    <w:tmpl w:val="EAD20060"/>
    <w:lvl w:ilvl="0" w:tplc="A2E8264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2057A25"/>
    <w:multiLevelType w:val="hybridMultilevel"/>
    <w:tmpl w:val="5DF26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ED4543"/>
    <w:multiLevelType w:val="hybridMultilevel"/>
    <w:tmpl w:val="BF1E6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8FF15E5"/>
    <w:multiLevelType w:val="hybridMultilevel"/>
    <w:tmpl w:val="4EA22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812989"/>
    <w:multiLevelType w:val="hybridMultilevel"/>
    <w:tmpl w:val="4E30148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4"/>
  </w:num>
  <w:num w:numId="4">
    <w:abstractNumId w:val="31"/>
  </w:num>
  <w:num w:numId="5">
    <w:abstractNumId w:val="11"/>
  </w:num>
  <w:num w:numId="6">
    <w:abstractNumId w:val="22"/>
  </w:num>
  <w:num w:numId="7">
    <w:abstractNumId w:val="8"/>
  </w:num>
  <w:num w:numId="8">
    <w:abstractNumId w:val="43"/>
  </w:num>
  <w:num w:numId="9">
    <w:abstractNumId w:val="26"/>
  </w:num>
  <w:num w:numId="10">
    <w:abstractNumId w:val="16"/>
  </w:num>
  <w:num w:numId="11">
    <w:abstractNumId w:val="29"/>
  </w:num>
  <w:num w:numId="12">
    <w:abstractNumId w:val="7"/>
  </w:num>
  <w:num w:numId="13">
    <w:abstractNumId w:val="1"/>
  </w:num>
  <w:num w:numId="14">
    <w:abstractNumId w:val="6"/>
  </w:num>
  <w:num w:numId="15">
    <w:abstractNumId w:val="41"/>
  </w:num>
  <w:num w:numId="16">
    <w:abstractNumId w:val="24"/>
  </w:num>
  <w:num w:numId="17">
    <w:abstractNumId w:val="23"/>
  </w:num>
  <w:num w:numId="18">
    <w:abstractNumId w:val="3"/>
  </w:num>
  <w:num w:numId="19">
    <w:abstractNumId w:val="21"/>
  </w:num>
  <w:num w:numId="20">
    <w:abstractNumId w:val="39"/>
  </w:num>
  <w:num w:numId="21">
    <w:abstractNumId w:val="35"/>
  </w:num>
  <w:num w:numId="22">
    <w:abstractNumId w:val="42"/>
  </w:num>
  <w:num w:numId="23">
    <w:abstractNumId w:val="34"/>
  </w:num>
  <w:num w:numId="24">
    <w:abstractNumId w:val="37"/>
  </w:num>
  <w:num w:numId="25">
    <w:abstractNumId w:val="33"/>
  </w:num>
  <w:num w:numId="26">
    <w:abstractNumId w:val="28"/>
  </w:num>
  <w:num w:numId="27">
    <w:abstractNumId w:val="32"/>
  </w:num>
  <w:num w:numId="28">
    <w:abstractNumId w:val="2"/>
  </w:num>
  <w:num w:numId="29">
    <w:abstractNumId w:val="40"/>
  </w:num>
  <w:num w:numId="30">
    <w:abstractNumId w:val="10"/>
  </w:num>
  <w:num w:numId="31">
    <w:abstractNumId w:val="4"/>
  </w:num>
  <w:num w:numId="32">
    <w:abstractNumId w:val="5"/>
  </w:num>
  <w:num w:numId="33">
    <w:abstractNumId w:val="36"/>
  </w:num>
  <w:num w:numId="34">
    <w:abstractNumId w:val="18"/>
  </w:num>
  <w:num w:numId="35">
    <w:abstractNumId w:val="20"/>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30"/>
  </w:num>
  <w:num w:numId="42">
    <w:abstractNumId w:val="19"/>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13"/>
  </w:num>
  <w:num w:numId="46">
    <w:abstractNumId w:val="13"/>
  </w:num>
  <w:num w:numId="47">
    <w:abstractNumId w:val="38"/>
  </w:num>
  <w:num w:numId="48">
    <w:abstractNumId w:val="27"/>
  </w:num>
  <w:num w:numId="49">
    <w:abstractNumId w:val="25"/>
  </w:num>
  <w:num w:numId="50">
    <w:abstractNumId w:val="17"/>
  </w:num>
  <w:num w:numId="51">
    <w:abstractNumId w:val="0"/>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noPunctuationKerning/>
  <w:characterSpacingControl w:val="doNotCompress"/>
  <w:hdrShapeDefaults>
    <o:shapedefaults v:ext="edit" spidmax="10242"/>
  </w:hdrShapeDefaults>
  <w:footnotePr>
    <w:footnote w:id="0"/>
    <w:footnote w:id="1"/>
  </w:footnotePr>
  <w:endnotePr>
    <w:endnote w:id="0"/>
    <w:endnote w:id="1"/>
  </w:endnotePr>
  <w:compat/>
  <w:rsids>
    <w:rsidRoot w:val="00602AFA"/>
    <w:rsid w:val="00007B30"/>
    <w:rsid w:val="00011FF8"/>
    <w:rsid w:val="0001282D"/>
    <w:rsid w:val="000231D4"/>
    <w:rsid w:val="00033694"/>
    <w:rsid w:val="00034BD0"/>
    <w:rsid w:val="000374B7"/>
    <w:rsid w:val="000423B4"/>
    <w:rsid w:val="00045DED"/>
    <w:rsid w:val="00061435"/>
    <w:rsid w:val="00064131"/>
    <w:rsid w:val="00064B84"/>
    <w:rsid w:val="00064D22"/>
    <w:rsid w:val="000658EC"/>
    <w:rsid w:val="00065D33"/>
    <w:rsid w:val="0006687F"/>
    <w:rsid w:val="00077985"/>
    <w:rsid w:val="000858B7"/>
    <w:rsid w:val="00094925"/>
    <w:rsid w:val="00095580"/>
    <w:rsid w:val="000B7ECE"/>
    <w:rsid w:val="000D1149"/>
    <w:rsid w:val="000D3C72"/>
    <w:rsid w:val="000D5D9C"/>
    <w:rsid w:val="000E1143"/>
    <w:rsid w:val="000F3CA5"/>
    <w:rsid w:val="000F5CB5"/>
    <w:rsid w:val="0010131C"/>
    <w:rsid w:val="00101440"/>
    <w:rsid w:val="00104A71"/>
    <w:rsid w:val="00117EF1"/>
    <w:rsid w:val="00121CD5"/>
    <w:rsid w:val="00123A54"/>
    <w:rsid w:val="00133EE1"/>
    <w:rsid w:val="00151EB6"/>
    <w:rsid w:val="001559A5"/>
    <w:rsid w:val="00162DF5"/>
    <w:rsid w:val="00165483"/>
    <w:rsid w:val="00166E4A"/>
    <w:rsid w:val="001713A5"/>
    <w:rsid w:val="00171C3B"/>
    <w:rsid w:val="00182787"/>
    <w:rsid w:val="00190881"/>
    <w:rsid w:val="00191141"/>
    <w:rsid w:val="001918E0"/>
    <w:rsid w:val="001A1661"/>
    <w:rsid w:val="001A1F3D"/>
    <w:rsid w:val="001B2F96"/>
    <w:rsid w:val="001D4438"/>
    <w:rsid w:val="001D44B7"/>
    <w:rsid w:val="001E78DA"/>
    <w:rsid w:val="001F310A"/>
    <w:rsid w:val="00206300"/>
    <w:rsid w:val="002077CD"/>
    <w:rsid w:val="002127AE"/>
    <w:rsid w:val="002159F3"/>
    <w:rsid w:val="002214C9"/>
    <w:rsid w:val="00224B8A"/>
    <w:rsid w:val="00224E45"/>
    <w:rsid w:val="002314CA"/>
    <w:rsid w:val="0023378D"/>
    <w:rsid w:val="00233D15"/>
    <w:rsid w:val="00235CFA"/>
    <w:rsid w:val="00242174"/>
    <w:rsid w:val="00243D25"/>
    <w:rsid w:val="002500CD"/>
    <w:rsid w:val="002606D4"/>
    <w:rsid w:val="0026142B"/>
    <w:rsid w:val="0026279B"/>
    <w:rsid w:val="002657E8"/>
    <w:rsid w:val="00270560"/>
    <w:rsid w:val="00271C2B"/>
    <w:rsid w:val="0027257C"/>
    <w:rsid w:val="00274675"/>
    <w:rsid w:val="002763D6"/>
    <w:rsid w:val="002775A6"/>
    <w:rsid w:val="00291405"/>
    <w:rsid w:val="0029315A"/>
    <w:rsid w:val="002A0A86"/>
    <w:rsid w:val="002A40AB"/>
    <w:rsid w:val="002A5F2A"/>
    <w:rsid w:val="002B20F2"/>
    <w:rsid w:val="002B5D62"/>
    <w:rsid w:val="002C3C39"/>
    <w:rsid w:val="002C51ED"/>
    <w:rsid w:val="002C7CB9"/>
    <w:rsid w:val="002E6AD0"/>
    <w:rsid w:val="002E6DE1"/>
    <w:rsid w:val="002F0E19"/>
    <w:rsid w:val="002F3B09"/>
    <w:rsid w:val="00307FD3"/>
    <w:rsid w:val="003132F3"/>
    <w:rsid w:val="003255AF"/>
    <w:rsid w:val="00330E6C"/>
    <w:rsid w:val="00334CFC"/>
    <w:rsid w:val="00337DC5"/>
    <w:rsid w:val="0034053C"/>
    <w:rsid w:val="003423DE"/>
    <w:rsid w:val="00343086"/>
    <w:rsid w:val="003465CB"/>
    <w:rsid w:val="003544A4"/>
    <w:rsid w:val="0035504F"/>
    <w:rsid w:val="00361550"/>
    <w:rsid w:val="003636CA"/>
    <w:rsid w:val="0036663E"/>
    <w:rsid w:val="00377C56"/>
    <w:rsid w:val="00385110"/>
    <w:rsid w:val="003A3E42"/>
    <w:rsid w:val="003A5068"/>
    <w:rsid w:val="003A516F"/>
    <w:rsid w:val="003B1C51"/>
    <w:rsid w:val="003B4BCF"/>
    <w:rsid w:val="003B67CB"/>
    <w:rsid w:val="003C034E"/>
    <w:rsid w:val="003C03D1"/>
    <w:rsid w:val="003C0C14"/>
    <w:rsid w:val="003D7645"/>
    <w:rsid w:val="003E0021"/>
    <w:rsid w:val="003F044B"/>
    <w:rsid w:val="003F502C"/>
    <w:rsid w:val="00405E93"/>
    <w:rsid w:val="004079DC"/>
    <w:rsid w:val="0042245A"/>
    <w:rsid w:val="0042310D"/>
    <w:rsid w:val="00431390"/>
    <w:rsid w:val="0043210A"/>
    <w:rsid w:val="004322AD"/>
    <w:rsid w:val="00433A41"/>
    <w:rsid w:val="004367E6"/>
    <w:rsid w:val="00442D47"/>
    <w:rsid w:val="004438B9"/>
    <w:rsid w:val="0044651A"/>
    <w:rsid w:val="004551B7"/>
    <w:rsid w:val="00456281"/>
    <w:rsid w:val="0046177E"/>
    <w:rsid w:val="00461B3D"/>
    <w:rsid w:val="0046306E"/>
    <w:rsid w:val="004712C6"/>
    <w:rsid w:val="004749F3"/>
    <w:rsid w:val="00476329"/>
    <w:rsid w:val="004836D4"/>
    <w:rsid w:val="00483912"/>
    <w:rsid w:val="00484E7A"/>
    <w:rsid w:val="0049042F"/>
    <w:rsid w:val="004A0A14"/>
    <w:rsid w:val="004A16E7"/>
    <w:rsid w:val="004A411E"/>
    <w:rsid w:val="004B09F6"/>
    <w:rsid w:val="004C0169"/>
    <w:rsid w:val="004C2349"/>
    <w:rsid w:val="004C724E"/>
    <w:rsid w:val="004D52FC"/>
    <w:rsid w:val="004D607A"/>
    <w:rsid w:val="004E0623"/>
    <w:rsid w:val="004E1991"/>
    <w:rsid w:val="004F1A9F"/>
    <w:rsid w:val="004F7D0C"/>
    <w:rsid w:val="00500406"/>
    <w:rsid w:val="005063F2"/>
    <w:rsid w:val="00510819"/>
    <w:rsid w:val="005129CF"/>
    <w:rsid w:val="00517BE2"/>
    <w:rsid w:val="00517BE3"/>
    <w:rsid w:val="005270A6"/>
    <w:rsid w:val="005358E4"/>
    <w:rsid w:val="00542E7F"/>
    <w:rsid w:val="00544E4A"/>
    <w:rsid w:val="005567E6"/>
    <w:rsid w:val="0056357D"/>
    <w:rsid w:val="005647CA"/>
    <w:rsid w:val="00566E47"/>
    <w:rsid w:val="0056703A"/>
    <w:rsid w:val="005737C9"/>
    <w:rsid w:val="005760D3"/>
    <w:rsid w:val="0058057C"/>
    <w:rsid w:val="005808B7"/>
    <w:rsid w:val="005845F9"/>
    <w:rsid w:val="00596EEB"/>
    <w:rsid w:val="005A198C"/>
    <w:rsid w:val="005B3EA2"/>
    <w:rsid w:val="005B7200"/>
    <w:rsid w:val="005C3F92"/>
    <w:rsid w:val="005C5EAE"/>
    <w:rsid w:val="005D6ED1"/>
    <w:rsid w:val="005E000B"/>
    <w:rsid w:val="005E158F"/>
    <w:rsid w:val="005E7B13"/>
    <w:rsid w:val="00602AFA"/>
    <w:rsid w:val="0060550F"/>
    <w:rsid w:val="00605F0F"/>
    <w:rsid w:val="00606D12"/>
    <w:rsid w:val="006145BF"/>
    <w:rsid w:val="006315E0"/>
    <w:rsid w:val="00633FFA"/>
    <w:rsid w:val="006407B3"/>
    <w:rsid w:val="00650B7E"/>
    <w:rsid w:val="0065334D"/>
    <w:rsid w:val="00653EC6"/>
    <w:rsid w:val="00660F6E"/>
    <w:rsid w:val="006667C0"/>
    <w:rsid w:val="00672126"/>
    <w:rsid w:val="00673CB8"/>
    <w:rsid w:val="00675986"/>
    <w:rsid w:val="006818BE"/>
    <w:rsid w:val="006964D4"/>
    <w:rsid w:val="006A1BC7"/>
    <w:rsid w:val="006A2D6C"/>
    <w:rsid w:val="006A5023"/>
    <w:rsid w:val="006A56E2"/>
    <w:rsid w:val="006A5A7F"/>
    <w:rsid w:val="006D452F"/>
    <w:rsid w:val="006D599D"/>
    <w:rsid w:val="006E6340"/>
    <w:rsid w:val="007152F7"/>
    <w:rsid w:val="007209D1"/>
    <w:rsid w:val="00724E16"/>
    <w:rsid w:val="00735129"/>
    <w:rsid w:val="00740C31"/>
    <w:rsid w:val="00741A57"/>
    <w:rsid w:val="00741CCD"/>
    <w:rsid w:val="007518BE"/>
    <w:rsid w:val="00756330"/>
    <w:rsid w:val="0076054A"/>
    <w:rsid w:val="00761BA4"/>
    <w:rsid w:val="00766B90"/>
    <w:rsid w:val="00767871"/>
    <w:rsid w:val="007700EB"/>
    <w:rsid w:val="007725D8"/>
    <w:rsid w:val="00773AE7"/>
    <w:rsid w:val="00797146"/>
    <w:rsid w:val="007B1B0F"/>
    <w:rsid w:val="007B3388"/>
    <w:rsid w:val="007C30ED"/>
    <w:rsid w:val="007C3781"/>
    <w:rsid w:val="007C711E"/>
    <w:rsid w:val="007C78F1"/>
    <w:rsid w:val="007E39E3"/>
    <w:rsid w:val="007F54D5"/>
    <w:rsid w:val="007F6EB4"/>
    <w:rsid w:val="00801FC9"/>
    <w:rsid w:val="00807E42"/>
    <w:rsid w:val="00816A96"/>
    <w:rsid w:val="00817186"/>
    <w:rsid w:val="00831279"/>
    <w:rsid w:val="00843EFD"/>
    <w:rsid w:val="008504F3"/>
    <w:rsid w:val="00850C65"/>
    <w:rsid w:val="0086099D"/>
    <w:rsid w:val="00861023"/>
    <w:rsid w:val="00865616"/>
    <w:rsid w:val="00884BCC"/>
    <w:rsid w:val="00891292"/>
    <w:rsid w:val="008959AE"/>
    <w:rsid w:val="008A57EE"/>
    <w:rsid w:val="008A6656"/>
    <w:rsid w:val="008C0591"/>
    <w:rsid w:val="008C1261"/>
    <w:rsid w:val="008C5EE1"/>
    <w:rsid w:val="008D1711"/>
    <w:rsid w:val="008D4F9F"/>
    <w:rsid w:val="008D610C"/>
    <w:rsid w:val="008E3918"/>
    <w:rsid w:val="0090194E"/>
    <w:rsid w:val="009153B9"/>
    <w:rsid w:val="0091700E"/>
    <w:rsid w:val="009171FB"/>
    <w:rsid w:val="00927438"/>
    <w:rsid w:val="0092759A"/>
    <w:rsid w:val="00933A1F"/>
    <w:rsid w:val="00935685"/>
    <w:rsid w:val="009511F1"/>
    <w:rsid w:val="00953B29"/>
    <w:rsid w:val="0095768D"/>
    <w:rsid w:val="00960F7F"/>
    <w:rsid w:val="00962EEB"/>
    <w:rsid w:val="00983264"/>
    <w:rsid w:val="00984ACD"/>
    <w:rsid w:val="00986CEB"/>
    <w:rsid w:val="009900D9"/>
    <w:rsid w:val="00991B24"/>
    <w:rsid w:val="00993C59"/>
    <w:rsid w:val="009A03A1"/>
    <w:rsid w:val="009A103A"/>
    <w:rsid w:val="009A1E11"/>
    <w:rsid w:val="009A27E2"/>
    <w:rsid w:val="009A2FD5"/>
    <w:rsid w:val="009C68C8"/>
    <w:rsid w:val="009D2DC1"/>
    <w:rsid w:val="009D3AF8"/>
    <w:rsid w:val="009E3FF2"/>
    <w:rsid w:val="009E6877"/>
    <w:rsid w:val="009F3E0A"/>
    <w:rsid w:val="009F778B"/>
    <w:rsid w:val="00A02BAF"/>
    <w:rsid w:val="00A26C8E"/>
    <w:rsid w:val="00A329C4"/>
    <w:rsid w:val="00A43454"/>
    <w:rsid w:val="00A453AB"/>
    <w:rsid w:val="00A460EE"/>
    <w:rsid w:val="00A504EB"/>
    <w:rsid w:val="00A524A6"/>
    <w:rsid w:val="00A62196"/>
    <w:rsid w:val="00A6740A"/>
    <w:rsid w:val="00A72E72"/>
    <w:rsid w:val="00A73986"/>
    <w:rsid w:val="00A84F86"/>
    <w:rsid w:val="00A87976"/>
    <w:rsid w:val="00AA3A87"/>
    <w:rsid w:val="00AC6FD2"/>
    <w:rsid w:val="00AC7821"/>
    <w:rsid w:val="00AD3041"/>
    <w:rsid w:val="00AE109F"/>
    <w:rsid w:val="00AF1E5D"/>
    <w:rsid w:val="00AF3917"/>
    <w:rsid w:val="00AF6E73"/>
    <w:rsid w:val="00B01122"/>
    <w:rsid w:val="00B01C16"/>
    <w:rsid w:val="00B20983"/>
    <w:rsid w:val="00B231A2"/>
    <w:rsid w:val="00B3202B"/>
    <w:rsid w:val="00B34795"/>
    <w:rsid w:val="00B373FF"/>
    <w:rsid w:val="00B378E7"/>
    <w:rsid w:val="00B42DC6"/>
    <w:rsid w:val="00B444DE"/>
    <w:rsid w:val="00B56968"/>
    <w:rsid w:val="00B668E8"/>
    <w:rsid w:val="00B70E77"/>
    <w:rsid w:val="00B81E9C"/>
    <w:rsid w:val="00B93ABF"/>
    <w:rsid w:val="00B946E4"/>
    <w:rsid w:val="00B950E1"/>
    <w:rsid w:val="00BA1232"/>
    <w:rsid w:val="00BA51C4"/>
    <w:rsid w:val="00BA7C22"/>
    <w:rsid w:val="00BB157D"/>
    <w:rsid w:val="00BB1746"/>
    <w:rsid w:val="00BB2280"/>
    <w:rsid w:val="00BB369B"/>
    <w:rsid w:val="00BC0244"/>
    <w:rsid w:val="00BD38F7"/>
    <w:rsid w:val="00BE34FE"/>
    <w:rsid w:val="00BE59C8"/>
    <w:rsid w:val="00BF2D49"/>
    <w:rsid w:val="00BF4861"/>
    <w:rsid w:val="00BF4E83"/>
    <w:rsid w:val="00C01D4A"/>
    <w:rsid w:val="00C068DF"/>
    <w:rsid w:val="00C14529"/>
    <w:rsid w:val="00C16746"/>
    <w:rsid w:val="00C202E4"/>
    <w:rsid w:val="00C24112"/>
    <w:rsid w:val="00C26883"/>
    <w:rsid w:val="00C31A4D"/>
    <w:rsid w:val="00C369CC"/>
    <w:rsid w:val="00C40594"/>
    <w:rsid w:val="00C42EA7"/>
    <w:rsid w:val="00C46737"/>
    <w:rsid w:val="00C46CFE"/>
    <w:rsid w:val="00C8392C"/>
    <w:rsid w:val="00C86142"/>
    <w:rsid w:val="00C878E9"/>
    <w:rsid w:val="00C87957"/>
    <w:rsid w:val="00C91D21"/>
    <w:rsid w:val="00C92B89"/>
    <w:rsid w:val="00CA23B1"/>
    <w:rsid w:val="00CB4C1E"/>
    <w:rsid w:val="00CB69C3"/>
    <w:rsid w:val="00CC02FF"/>
    <w:rsid w:val="00CD082A"/>
    <w:rsid w:val="00CD34DF"/>
    <w:rsid w:val="00CE38B7"/>
    <w:rsid w:val="00CE6C06"/>
    <w:rsid w:val="00CF08C6"/>
    <w:rsid w:val="00CF36C4"/>
    <w:rsid w:val="00D0048D"/>
    <w:rsid w:val="00D04622"/>
    <w:rsid w:val="00D20871"/>
    <w:rsid w:val="00D20C61"/>
    <w:rsid w:val="00D44601"/>
    <w:rsid w:val="00D56EF4"/>
    <w:rsid w:val="00D61A73"/>
    <w:rsid w:val="00D62CC4"/>
    <w:rsid w:val="00D82054"/>
    <w:rsid w:val="00D84E17"/>
    <w:rsid w:val="00DA361F"/>
    <w:rsid w:val="00DB4B27"/>
    <w:rsid w:val="00DC2D95"/>
    <w:rsid w:val="00DC3941"/>
    <w:rsid w:val="00DD54E7"/>
    <w:rsid w:val="00DD7FB0"/>
    <w:rsid w:val="00DE1620"/>
    <w:rsid w:val="00DE5507"/>
    <w:rsid w:val="00DE79AD"/>
    <w:rsid w:val="00DF4ADF"/>
    <w:rsid w:val="00E11DE0"/>
    <w:rsid w:val="00E17781"/>
    <w:rsid w:val="00E21D2D"/>
    <w:rsid w:val="00E339A4"/>
    <w:rsid w:val="00E3511F"/>
    <w:rsid w:val="00E41435"/>
    <w:rsid w:val="00E45FD2"/>
    <w:rsid w:val="00E4662C"/>
    <w:rsid w:val="00E51149"/>
    <w:rsid w:val="00E573C8"/>
    <w:rsid w:val="00E63CA6"/>
    <w:rsid w:val="00E64DB7"/>
    <w:rsid w:val="00E7177C"/>
    <w:rsid w:val="00E774DA"/>
    <w:rsid w:val="00E85D2E"/>
    <w:rsid w:val="00E871FD"/>
    <w:rsid w:val="00E92442"/>
    <w:rsid w:val="00E977A3"/>
    <w:rsid w:val="00EA60DC"/>
    <w:rsid w:val="00EB095F"/>
    <w:rsid w:val="00EB0A40"/>
    <w:rsid w:val="00EB3322"/>
    <w:rsid w:val="00EB43FD"/>
    <w:rsid w:val="00EB6816"/>
    <w:rsid w:val="00EC0CBA"/>
    <w:rsid w:val="00EC6AE4"/>
    <w:rsid w:val="00EE10D5"/>
    <w:rsid w:val="00EE46E2"/>
    <w:rsid w:val="00EE79BE"/>
    <w:rsid w:val="00F029C4"/>
    <w:rsid w:val="00F1251C"/>
    <w:rsid w:val="00F1477A"/>
    <w:rsid w:val="00F27772"/>
    <w:rsid w:val="00F3181A"/>
    <w:rsid w:val="00F4447C"/>
    <w:rsid w:val="00F47903"/>
    <w:rsid w:val="00F55F64"/>
    <w:rsid w:val="00F62111"/>
    <w:rsid w:val="00F711B0"/>
    <w:rsid w:val="00F7169B"/>
    <w:rsid w:val="00F71EB3"/>
    <w:rsid w:val="00F758BA"/>
    <w:rsid w:val="00F86C18"/>
    <w:rsid w:val="00F8740E"/>
    <w:rsid w:val="00F90560"/>
    <w:rsid w:val="00F92127"/>
    <w:rsid w:val="00F94861"/>
    <w:rsid w:val="00F94956"/>
    <w:rsid w:val="00F950FC"/>
    <w:rsid w:val="00FB2A8A"/>
    <w:rsid w:val="00FC0F7D"/>
    <w:rsid w:val="00FC7A52"/>
    <w:rsid w:val="00FE0726"/>
    <w:rsid w:val="00FE1CF5"/>
    <w:rsid w:val="00FE24A6"/>
    <w:rsid w:val="00FF22E0"/>
    <w:rsid w:val="00FF5A4E"/>
    <w:rsid w:val="00FF5BA3"/>
    <w:rsid w:val="00FF6A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Professional" w:semiHidden="0" w:unhideWhenUsed="0"/>
    <w:lsdException w:name="Table Web 1" w:semiHidden="0" w:unhideWhenUsed="0"/>
    <w:lsdException w:name="Table Web 2"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6C4"/>
    <w:pPr>
      <w:jc w:val="both"/>
    </w:pPr>
    <w:rPr>
      <w:sz w:val="22"/>
      <w:szCs w:val="24"/>
      <w:lang w:val="en-GB" w:eastAsia="en-US"/>
    </w:rPr>
  </w:style>
  <w:style w:type="paragraph" w:styleId="1">
    <w:name w:val="heading 1"/>
    <w:next w:val="a"/>
    <w:link w:val="1Char"/>
    <w:qFormat/>
    <w:rsid w:val="008D610C"/>
    <w:pPr>
      <w:keepNext/>
      <w:numPr>
        <w:numId w:val="2"/>
      </w:numPr>
      <w:spacing w:before="480" w:after="360"/>
      <w:outlineLvl w:val="0"/>
    </w:pPr>
    <w:rPr>
      <w:rFonts w:ascii="Arial" w:hAnsi="Arial"/>
      <w:b/>
      <w:bCs/>
      <w:kern w:val="32"/>
      <w:sz w:val="28"/>
      <w:szCs w:val="32"/>
      <w:lang w:val="en-GB" w:eastAsia="en-US"/>
    </w:rPr>
  </w:style>
  <w:style w:type="paragraph" w:styleId="2">
    <w:name w:val="heading 2"/>
    <w:basedOn w:val="1"/>
    <w:next w:val="a"/>
    <w:link w:val="2Char"/>
    <w:qFormat/>
    <w:rsid w:val="008D610C"/>
    <w:pPr>
      <w:numPr>
        <w:ilvl w:val="1"/>
      </w:numPr>
      <w:spacing w:before="360" w:after="240"/>
      <w:outlineLvl w:val="1"/>
    </w:pPr>
    <w:rPr>
      <w:bCs w:val="0"/>
      <w:iCs/>
      <w:sz w:val="24"/>
      <w:szCs w:val="28"/>
    </w:rPr>
  </w:style>
  <w:style w:type="paragraph" w:styleId="3">
    <w:name w:val="heading 3"/>
    <w:basedOn w:val="1"/>
    <w:next w:val="a"/>
    <w:qFormat/>
    <w:rsid w:val="008D610C"/>
    <w:pPr>
      <w:numPr>
        <w:ilvl w:val="2"/>
      </w:numPr>
      <w:spacing w:before="240" w:after="120"/>
      <w:outlineLvl w:val="2"/>
    </w:pPr>
    <w:rPr>
      <w:bCs w:val="0"/>
      <w:i/>
      <w:sz w:val="24"/>
      <w:szCs w:val="26"/>
    </w:rPr>
  </w:style>
  <w:style w:type="paragraph" w:styleId="4">
    <w:name w:val="heading 4"/>
    <w:basedOn w:val="1"/>
    <w:next w:val="a"/>
    <w:qFormat/>
    <w:rsid w:val="008D610C"/>
    <w:pPr>
      <w:numPr>
        <w:ilvl w:val="3"/>
      </w:numPr>
      <w:spacing w:before="240" w:after="120"/>
      <w:outlineLvl w:val="3"/>
    </w:pPr>
    <w:rPr>
      <w:bCs w:val="0"/>
      <w:sz w:val="22"/>
      <w:szCs w:val="28"/>
    </w:rPr>
  </w:style>
  <w:style w:type="paragraph" w:styleId="5">
    <w:name w:val="heading 5"/>
    <w:basedOn w:val="a"/>
    <w:next w:val="a"/>
    <w:qFormat/>
    <w:rsid w:val="008D610C"/>
    <w:pPr>
      <w:keepNext/>
      <w:numPr>
        <w:ilvl w:val="4"/>
        <w:numId w:val="2"/>
      </w:numPr>
      <w:spacing w:before="120" w:after="60"/>
      <w:outlineLvl w:val="4"/>
    </w:pPr>
    <w:rPr>
      <w:b/>
      <w:bCs/>
      <w:i/>
    </w:rPr>
  </w:style>
  <w:style w:type="paragraph" w:styleId="6">
    <w:name w:val="heading 6"/>
    <w:basedOn w:val="a"/>
    <w:next w:val="a"/>
    <w:qFormat/>
    <w:rsid w:val="008D610C"/>
    <w:pPr>
      <w:numPr>
        <w:ilvl w:val="5"/>
        <w:numId w:val="2"/>
      </w:numPr>
      <w:spacing w:before="240" w:after="60"/>
      <w:outlineLvl w:val="5"/>
    </w:pPr>
    <w:rPr>
      <w:b/>
      <w:bCs/>
      <w:szCs w:val="22"/>
    </w:rPr>
  </w:style>
  <w:style w:type="paragraph" w:styleId="7">
    <w:name w:val="heading 7"/>
    <w:basedOn w:val="a"/>
    <w:next w:val="a"/>
    <w:qFormat/>
    <w:rsid w:val="008D610C"/>
    <w:pPr>
      <w:numPr>
        <w:ilvl w:val="6"/>
        <w:numId w:val="2"/>
      </w:numPr>
      <w:spacing w:before="240" w:after="60"/>
      <w:outlineLvl w:val="6"/>
    </w:pPr>
    <w:rPr>
      <w:sz w:val="24"/>
    </w:rPr>
  </w:style>
  <w:style w:type="paragraph" w:styleId="8">
    <w:name w:val="heading 8"/>
    <w:basedOn w:val="a"/>
    <w:next w:val="a"/>
    <w:qFormat/>
    <w:rsid w:val="008D610C"/>
    <w:pPr>
      <w:numPr>
        <w:ilvl w:val="7"/>
        <w:numId w:val="2"/>
      </w:numPr>
      <w:spacing w:before="240" w:after="60"/>
      <w:outlineLvl w:val="7"/>
    </w:pPr>
    <w:rPr>
      <w:i/>
      <w:iCs/>
      <w:sz w:val="24"/>
    </w:rPr>
  </w:style>
  <w:style w:type="paragraph" w:styleId="9">
    <w:name w:val="heading 9"/>
    <w:basedOn w:val="a"/>
    <w:next w:val="a"/>
    <w:qFormat/>
    <w:rsid w:val="008D610C"/>
    <w:pPr>
      <w:numPr>
        <w:ilvl w:val="8"/>
        <w:numId w:val="2"/>
      </w:numPr>
      <w:spacing w:before="240" w:after="60"/>
      <w:outlineLvl w:val="8"/>
    </w:pPr>
    <w:rPr>
      <w:rFonts w:ascii="Arial" w:hAnsi="Arial" w:cs="Arial"/>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berList">
    <w:name w:val="Number List"/>
    <w:basedOn w:val="a"/>
    <w:rsid w:val="00CF36C4"/>
    <w:pPr>
      <w:numPr>
        <w:numId w:val="1"/>
      </w:numPr>
      <w:spacing w:before="120"/>
      <w:ind w:left="357" w:hanging="357"/>
    </w:pPr>
    <w:rPr>
      <w:color w:val="000000"/>
      <w:szCs w:val="20"/>
    </w:rPr>
  </w:style>
  <w:style w:type="character" w:customStyle="1" w:styleId="Instruction">
    <w:name w:val="Instruction"/>
    <w:basedOn w:val="a0"/>
    <w:uiPriority w:val="99"/>
    <w:rsid w:val="00CF36C4"/>
    <w:rPr>
      <w:rFonts w:ascii="Times New Roman" w:hAnsi="Times New Roman"/>
      <w:b/>
      <w:i/>
      <w:color w:val="FF0000"/>
      <w:sz w:val="24"/>
    </w:rPr>
  </w:style>
  <w:style w:type="character" w:customStyle="1" w:styleId="BoldCharacter">
    <w:name w:val="Bold Character"/>
    <w:basedOn w:val="a0"/>
    <w:rsid w:val="00CF36C4"/>
    <w:rPr>
      <w:b/>
    </w:rPr>
  </w:style>
  <w:style w:type="paragraph" w:customStyle="1" w:styleId="xCover">
    <w:name w:val="xCover"/>
    <w:rsid w:val="00CF36C4"/>
    <w:pPr>
      <w:spacing w:before="120"/>
    </w:pPr>
    <w:rPr>
      <w:rFonts w:ascii="Arial" w:hAnsi="Arial"/>
      <w:lang w:val="en-US" w:eastAsia="en-US"/>
    </w:rPr>
  </w:style>
  <w:style w:type="character" w:customStyle="1" w:styleId="ActionRequired">
    <w:name w:val="Action Required"/>
    <w:basedOn w:val="a0"/>
    <w:rsid w:val="00CF36C4"/>
    <w:rPr>
      <w:color w:val="008000"/>
    </w:rPr>
  </w:style>
  <w:style w:type="paragraph" w:customStyle="1" w:styleId="xCoverAddress">
    <w:name w:val="xCoverAddress"/>
    <w:basedOn w:val="xCover"/>
    <w:rsid w:val="00CF36C4"/>
    <w:pPr>
      <w:spacing w:before="0"/>
    </w:pPr>
  </w:style>
  <w:style w:type="paragraph" w:customStyle="1" w:styleId="xCoverDocType">
    <w:name w:val="xCoverDocType"/>
    <w:basedOn w:val="xCover"/>
    <w:rsid w:val="00CF36C4"/>
    <w:pPr>
      <w:spacing w:before="240"/>
      <w:jc w:val="center"/>
    </w:pPr>
    <w:rPr>
      <w:b/>
      <w:sz w:val="28"/>
    </w:rPr>
  </w:style>
  <w:style w:type="paragraph" w:customStyle="1" w:styleId="xCoverDocTitle">
    <w:name w:val="xCoverDocTitle"/>
    <w:basedOn w:val="xCover"/>
    <w:rsid w:val="00CF36C4"/>
    <w:pPr>
      <w:spacing w:before="240"/>
      <w:jc w:val="center"/>
    </w:pPr>
    <w:rPr>
      <w:b/>
      <w:sz w:val="24"/>
    </w:rPr>
  </w:style>
  <w:style w:type="paragraph" w:customStyle="1" w:styleId="TitleNoToc">
    <w:name w:val="Title NoToc"/>
    <w:next w:val="a"/>
    <w:rsid w:val="00CF36C4"/>
    <w:pPr>
      <w:keepNext/>
      <w:pageBreakBefore/>
      <w:spacing w:before="600" w:after="480"/>
      <w:jc w:val="center"/>
    </w:pPr>
    <w:rPr>
      <w:rFonts w:ascii="Arial" w:hAnsi="Arial"/>
      <w:b/>
      <w:kern w:val="28"/>
      <w:sz w:val="28"/>
      <w:lang w:val="en-US" w:eastAsia="en-US"/>
    </w:rPr>
  </w:style>
  <w:style w:type="paragraph" w:styleId="10">
    <w:name w:val="toc 1"/>
    <w:next w:val="a"/>
    <w:autoRedefine/>
    <w:uiPriority w:val="39"/>
    <w:rsid w:val="008D610C"/>
    <w:pPr>
      <w:tabs>
        <w:tab w:val="left" w:pos="851"/>
        <w:tab w:val="right" w:leader="dot" w:pos="9468"/>
      </w:tabs>
      <w:spacing w:before="240"/>
      <w:ind w:left="851" w:right="567" w:hanging="851"/>
    </w:pPr>
    <w:rPr>
      <w:rFonts w:ascii="Arial" w:hAnsi="Arial"/>
      <w:b/>
      <w:sz w:val="24"/>
      <w:lang w:val="en-US" w:eastAsia="en-US"/>
    </w:rPr>
  </w:style>
  <w:style w:type="paragraph" w:styleId="20">
    <w:name w:val="toc 2"/>
    <w:basedOn w:val="10"/>
    <w:next w:val="a"/>
    <w:autoRedefine/>
    <w:uiPriority w:val="39"/>
    <w:rsid w:val="00CF36C4"/>
    <w:rPr>
      <w:b w:val="0"/>
    </w:rPr>
  </w:style>
  <w:style w:type="paragraph" w:styleId="30">
    <w:name w:val="toc 3"/>
    <w:basedOn w:val="10"/>
    <w:next w:val="a"/>
    <w:autoRedefine/>
    <w:uiPriority w:val="39"/>
    <w:rsid w:val="00CF36C4"/>
    <w:pPr>
      <w:spacing w:before="120"/>
    </w:pPr>
    <w:rPr>
      <w:b w:val="0"/>
      <w:noProof/>
      <w:sz w:val="20"/>
    </w:rPr>
  </w:style>
  <w:style w:type="paragraph" w:styleId="40">
    <w:name w:val="toc 4"/>
    <w:basedOn w:val="10"/>
    <w:next w:val="a"/>
    <w:autoRedefine/>
    <w:uiPriority w:val="39"/>
    <w:rsid w:val="00CF36C4"/>
    <w:pPr>
      <w:spacing w:before="40"/>
    </w:pPr>
    <w:rPr>
      <w:b w:val="0"/>
      <w:i/>
      <w:noProof/>
      <w:sz w:val="20"/>
      <w:szCs w:val="22"/>
    </w:rPr>
  </w:style>
  <w:style w:type="paragraph" w:customStyle="1" w:styleId="Heading1NoNumbering">
    <w:name w:val="Heading 1 NoNumbering"/>
    <w:basedOn w:val="1"/>
    <w:next w:val="a"/>
    <w:rsid w:val="00CF36C4"/>
    <w:pPr>
      <w:numPr>
        <w:numId w:val="0"/>
      </w:numPr>
    </w:pPr>
  </w:style>
  <w:style w:type="paragraph" w:customStyle="1" w:styleId="BulletList1">
    <w:name w:val="Bullet List 1"/>
    <w:basedOn w:val="a"/>
    <w:rsid w:val="00CF36C4"/>
    <w:pPr>
      <w:tabs>
        <w:tab w:val="num" w:pos="360"/>
      </w:tabs>
      <w:spacing w:before="120"/>
      <w:ind w:left="357" w:hanging="357"/>
    </w:pPr>
    <w:rPr>
      <w:color w:val="000000"/>
      <w:szCs w:val="20"/>
    </w:rPr>
  </w:style>
  <w:style w:type="paragraph" w:customStyle="1" w:styleId="TblHeadingCenter">
    <w:name w:val="Tbl Heading Center"/>
    <w:basedOn w:val="TblHeadingLeft"/>
    <w:rsid w:val="00CF36C4"/>
    <w:pPr>
      <w:jc w:val="center"/>
    </w:pPr>
  </w:style>
  <w:style w:type="paragraph" w:customStyle="1" w:styleId="TblHeadingLeft">
    <w:name w:val="Tbl Heading Left"/>
    <w:rsid w:val="00CF36C4"/>
    <w:pPr>
      <w:spacing w:before="60" w:after="60"/>
    </w:pPr>
    <w:rPr>
      <w:rFonts w:ascii="Arial" w:hAnsi="Arial"/>
      <w:b/>
      <w:lang w:val="en-US" w:eastAsia="en-US"/>
    </w:rPr>
  </w:style>
  <w:style w:type="paragraph" w:customStyle="1" w:styleId="TblTextCenter">
    <w:name w:val="Tbl Text Center"/>
    <w:basedOn w:val="TblTextLeft"/>
    <w:rsid w:val="00CF36C4"/>
    <w:pPr>
      <w:jc w:val="center"/>
    </w:pPr>
  </w:style>
  <w:style w:type="paragraph" w:customStyle="1" w:styleId="TblTextLeft">
    <w:name w:val="Tbl Text Left"/>
    <w:rsid w:val="00CF36C4"/>
    <w:pPr>
      <w:spacing w:before="60" w:after="60"/>
    </w:pPr>
    <w:rPr>
      <w:rFonts w:ascii="Arial Narrow" w:hAnsi="Arial Narrow"/>
      <w:lang w:val="en-US" w:eastAsia="en-US"/>
    </w:rPr>
  </w:style>
  <w:style w:type="paragraph" w:styleId="a3">
    <w:name w:val="header"/>
    <w:rsid w:val="00CF36C4"/>
    <w:pPr>
      <w:tabs>
        <w:tab w:val="left" w:pos="4536"/>
        <w:tab w:val="right" w:pos="9072"/>
      </w:tabs>
    </w:pPr>
    <w:rPr>
      <w:rFonts w:ascii="Arial" w:hAnsi="Arial"/>
      <w:sz w:val="18"/>
      <w:lang w:val="en-GB" w:eastAsia="en-US"/>
    </w:rPr>
  </w:style>
  <w:style w:type="character" w:styleId="a4">
    <w:name w:val="page number"/>
    <w:basedOn w:val="a0"/>
    <w:rsid w:val="00CF36C4"/>
  </w:style>
  <w:style w:type="paragraph" w:styleId="a5">
    <w:name w:val="footer"/>
    <w:rsid w:val="00CF36C4"/>
    <w:pPr>
      <w:tabs>
        <w:tab w:val="left" w:pos="4536"/>
        <w:tab w:val="right" w:pos="9072"/>
      </w:tabs>
    </w:pPr>
    <w:rPr>
      <w:rFonts w:ascii="Arial" w:hAnsi="Arial"/>
      <w:sz w:val="18"/>
      <w:lang w:val="en-GB" w:eastAsia="en-US"/>
    </w:rPr>
  </w:style>
  <w:style w:type="paragraph" w:customStyle="1" w:styleId="xCoverFooter">
    <w:name w:val="xCoverFooter"/>
    <w:basedOn w:val="xCover"/>
    <w:rsid w:val="00CF36C4"/>
    <w:pPr>
      <w:jc w:val="center"/>
    </w:pPr>
    <w:rPr>
      <w:rFonts w:ascii="Arial Narrow" w:hAnsi="Arial Narrow"/>
      <w:sz w:val="18"/>
    </w:rPr>
  </w:style>
  <w:style w:type="paragraph" w:customStyle="1" w:styleId="HeaderLandscape">
    <w:name w:val="Header Landscape"/>
    <w:basedOn w:val="a3"/>
    <w:rsid w:val="00CF36C4"/>
    <w:pPr>
      <w:tabs>
        <w:tab w:val="clear" w:pos="4536"/>
        <w:tab w:val="clear" w:pos="9072"/>
        <w:tab w:val="left" w:pos="6804"/>
        <w:tab w:val="right" w:pos="13608"/>
      </w:tabs>
    </w:pPr>
  </w:style>
  <w:style w:type="paragraph" w:customStyle="1" w:styleId="FooterLandscape">
    <w:name w:val="Footer Landscape"/>
    <w:basedOn w:val="a5"/>
    <w:rsid w:val="00CF36C4"/>
    <w:pPr>
      <w:tabs>
        <w:tab w:val="clear" w:pos="4536"/>
        <w:tab w:val="clear" w:pos="9072"/>
        <w:tab w:val="left" w:pos="6804"/>
        <w:tab w:val="right" w:pos="13608"/>
      </w:tabs>
    </w:pPr>
  </w:style>
  <w:style w:type="character" w:customStyle="1" w:styleId="1Char">
    <w:name w:val="Επικεφαλίδα 1 Char"/>
    <w:basedOn w:val="a0"/>
    <w:link w:val="1"/>
    <w:rsid w:val="008D610C"/>
    <w:rPr>
      <w:rFonts w:ascii="Arial" w:hAnsi="Arial"/>
      <w:b/>
      <w:bCs/>
      <w:kern w:val="32"/>
      <w:sz w:val="28"/>
      <w:szCs w:val="32"/>
      <w:lang w:val="en-GB" w:eastAsia="en-US"/>
    </w:rPr>
  </w:style>
  <w:style w:type="paragraph" w:styleId="a6">
    <w:name w:val="footnote text"/>
    <w:basedOn w:val="a"/>
    <w:semiHidden/>
    <w:rsid w:val="00D56EF4"/>
    <w:rPr>
      <w:sz w:val="20"/>
      <w:szCs w:val="20"/>
    </w:rPr>
  </w:style>
  <w:style w:type="character" w:styleId="a7">
    <w:name w:val="footnote reference"/>
    <w:basedOn w:val="a0"/>
    <w:semiHidden/>
    <w:rsid w:val="00D56EF4"/>
    <w:rPr>
      <w:vertAlign w:val="superscript"/>
    </w:rPr>
  </w:style>
  <w:style w:type="character" w:styleId="-">
    <w:name w:val="Hyperlink"/>
    <w:basedOn w:val="a0"/>
    <w:rsid w:val="00F7169B"/>
    <w:rPr>
      <w:color w:val="0000FF"/>
      <w:u w:val="single"/>
    </w:rPr>
  </w:style>
  <w:style w:type="character" w:customStyle="1" w:styleId="2Char">
    <w:name w:val="Επικεφαλίδα 2 Char"/>
    <w:link w:val="2"/>
    <w:rsid w:val="00191141"/>
    <w:rPr>
      <w:rFonts w:ascii="Arial" w:hAnsi="Arial"/>
      <w:b/>
      <w:iCs/>
      <w:kern w:val="32"/>
      <w:sz w:val="24"/>
      <w:szCs w:val="28"/>
      <w:lang w:val="en-GB" w:eastAsia="en-US"/>
    </w:rPr>
  </w:style>
  <w:style w:type="paragraph" w:customStyle="1" w:styleId="hd">
    <w:name w:val="hd"/>
    <w:basedOn w:val="a"/>
    <w:rsid w:val="00BB2280"/>
    <w:pPr>
      <w:tabs>
        <w:tab w:val="left" w:pos="567"/>
        <w:tab w:val="left" w:pos="1134"/>
      </w:tabs>
      <w:overflowPunct w:val="0"/>
      <w:autoSpaceDE w:val="0"/>
      <w:autoSpaceDN w:val="0"/>
      <w:adjustRightInd w:val="0"/>
      <w:spacing w:after="60"/>
      <w:jc w:val="center"/>
      <w:textAlignment w:val="baseline"/>
    </w:pPr>
    <w:rPr>
      <w:rFonts w:ascii="Century Schoolbook" w:hAnsi="Century Schoolbook"/>
      <w:b/>
      <w:smallCaps/>
      <w:sz w:val="24"/>
      <w:szCs w:val="20"/>
    </w:rPr>
  </w:style>
  <w:style w:type="paragraph" w:customStyle="1" w:styleId="hs">
    <w:name w:val="hs"/>
    <w:basedOn w:val="a"/>
    <w:rsid w:val="00BB2280"/>
    <w:pPr>
      <w:tabs>
        <w:tab w:val="left" w:pos="720"/>
        <w:tab w:val="left" w:pos="1134"/>
      </w:tabs>
      <w:overflowPunct w:val="0"/>
      <w:autoSpaceDE w:val="0"/>
      <w:autoSpaceDN w:val="0"/>
      <w:adjustRightInd w:val="0"/>
      <w:spacing w:before="120" w:after="60"/>
      <w:ind w:left="720" w:hanging="720"/>
      <w:jc w:val="left"/>
      <w:textAlignment w:val="baseline"/>
    </w:pPr>
    <w:rPr>
      <w:rFonts w:ascii="Century Schoolbook" w:hAnsi="Century Schoolbook"/>
      <w:b/>
      <w:szCs w:val="20"/>
    </w:rPr>
  </w:style>
  <w:style w:type="paragraph" w:styleId="a8">
    <w:name w:val="Balloon Text"/>
    <w:basedOn w:val="a"/>
    <w:link w:val="Char"/>
    <w:rsid w:val="00EC6AE4"/>
    <w:rPr>
      <w:rFonts w:ascii="Tahoma" w:hAnsi="Tahoma" w:cs="Tahoma"/>
      <w:sz w:val="16"/>
      <w:szCs w:val="16"/>
    </w:rPr>
  </w:style>
  <w:style w:type="character" w:customStyle="1" w:styleId="Char">
    <w:name w:val="Κείμενο πλαισίου Char"/>
    <w:basedOn w:val="a0"/>
    <w:link w:val="a8"/>
    <w:rsid w:val="00EC6AE4"/>
    <w:rPr>
      <w:rFonts w:ascii="Tahoma" w:hAnsi="Tahoma" w:cs="Tahoma"/>
      <w:sz w:val="16"/>
      <w:szCs w:val="16"/>
      <w:lang w:val="en-GB" w:eastAsia="en-US"/>
    </w:rPr>
  </w:style>
  <w:style w:type="paragraph" w:customStyle="1" w:styleId="in">
    <w:name w:val="in"/>
    <w:basedOn w:val="a"/>
    <w:rsid w:val="00B231A2"/>
    <w:pPr>
      <w:tabs>
        <w:tab w:val="left" w:pos="851"/>
      </w:tabs>
      <w:overflowPunct w:val="0"/>
      <w:autoSpaceDE w:val="0"/>
      <w:autoSpaceDN w:val="0"/>
      <w:adjustRightInd w:val="0"/>
      <w:spacing w:after="180"/>
      <w:ind w:left="851" w:hanging="425"/>
      <w:textAlignment w:val="baseline"/>
    </w:pPr>
    <w:rPr>
      <w:rFonts w:ascii="Century Schoolbook" w:hAnsi="Century Schoolbook"/>
      <w:szCs w:val="20"/>
    </w:rPr>
  </w:style>
  <w:style w:type="table" w:styleId="a9">
    <w:name w:val="Table Grid"/>
    <w:basedOn w:val="a1"/>
    <w:rsid w:val="002725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it">
    <w:name w:val="hit"/>
    <w:basedOn w:val="hs"/>
    <w:rsid w:val="00761BA4"/>
  </w:style>
  <w:style w:type="paragraph" w:customStyle="1" w:styleId="synopsistext">
    <w:name w:val="synopsis:text"/>
    <w:basedOn w:val="a"/>
    <w:link w:val="synopsistextChar"/>
    <w:uiPriority w:val="99"/>
    <w:rsid w:val="00190881"/>
    <w:pPr>
      <w:spacing w:after="60" w:line="259" w:lineRule="atLeast"/>
      <w:jc w:val="left"/>
    </w:pPr>
    <w:rPr>
      <w:szCs w:val="22"/>
      <w:lang w:val="en-US"/>
    </w:rPr>
  </w:style>
  <w:style w:type="character" w:customStyle="1" w:styleId="synopsistextChar">
    <w:name w:val="synopsis:text Char"/>
    <w:basedOn w:val="a0"/>
    <w:link w:val="synopsistext"/>
    <w:uiPriority w:val="99"/>
    <w:locked/>
    <w:rsid w:val="00190881"/>
    <w:rPr>
      <w:sz w:val="22"/>
      <w:szCs w:val="22"/>
      <w:lang w:val="en-US" w:eastAsia="en-US"/>
    </w:rPr>
  </w:style>
  <w:style w:type="paragraph" w:customStyle="1" w:styleId="Paragraph">
    <w:name w:val="Paragraph"/>
    <w:link w:val="ParagraphChar"/>
    <w:uiPriority w:val="99"/>
    <w:rsid w:val="00233D15"/>
    <w:pPr>
      <w:numPr>
        <w:ilvl w:val="12"/>
      </w:numPr>
      <w:suppressAutoHyphens/>
      <w:spacing w:before="120" w:after="120" w:line="300" w:lineRule="exact"/>
    </w:pPr>
    <w:rPr>
      <w:sz w:val="24"/>
      <w:lang w:val="en-US" w:eastAsia="en-US"/>
    </w:rPr>
  </w:style>
  <w:style w:type="character" w:customStyle="1" w:styleId="ParagraphChar">
    <w:name w:val="Paragraph Char"/>
    <w:basedOn w:val="a0"/>
    <w:link w:val="Paragraph"/>
    <w:uiPriority w:val="99"/>
    <w:locked/>
    <w:rsid w:val="00233D15"/>
    <w:rPr>
      <w:sz w:val="24"/>
      <w:lang w:val="en-US" w:eastAsia="en-US"/>
    </w:rPr>
  </w:style>
  <w:style w:type="paragraph" w:styleId="aa">
    <w:name w:val="endnote text"/>
    <w:basedOn w:val="a"/>
    <w:link w:val="Char0"/>
    <w:rsid w:val="00233D15"/>
    <w:rPr>
      <w:sz w:val="20"/>
      <w:szCs w:val="20"/>
    </w:rPr>
  </w:style>
  <w:style w:type="character" w:customStyle="1" w:styleId="Char0">
    <w:name w:val="Κείμενο σημείωσης τέλους Char"/>
    <w:basedOn w:val="a0"/>
    <w:link w:val="aa"/>
    <w:rsid w:val="00233D15"/>
    <w:rPr>
      <w:lang w:val="en-GB" w:eastAsia="en-US"/>
    </w:rPr>
  </w:style>
  <w:style w:type="character" w:styleId="ab">
    <w:name w:val="endnote reference"/>
    <w:basedOn w:val="a0"/>
    <w:rsid w:val="00233D15"/>
    <w:rPr>
      <w:vertAlign w:val="superscript"/>
    </w:rPr>
  </w:style>
  <w:style w:type="paragraph" w:customStyle="1" w:styleId="h4points">
    <w:name w:val="h 4 points"/>
    <w:basedOn w:val="hs"/>
    <w:rsid w:val="00233D15"/>
  </w:style>
  <w:style w:type="paragraph" w:styleId="ac">
    <w:name w:val="List Paragraph"/>
    <w:basedOn w:val="a"/>
    <w:uiPriority w:val="99"/>
    <w:qFormat/>
    <w:rsid w:val="00442D47"/>
    <w:pPr>
      <w:ind w:left="720"/>
      <w:contextualSpacing/>
    </w:pPr>
  </w:style>
  <w:style w:type="paragraph" w:customStyle="1" w:styleId="BodyText12">
    <w:name w:val="BodyText12"/>
    <w:link w:val="BodyText12Char"/>
    <w:rsid w:val="0046306E"/>
    <w:pPr>
      <w:spacing w:after="200" w:line="300" w:lineRule="auto"/>
      <w:ind w:left="850"/>
      <w:jc w:val="both"/>
    </w:pPr>
    <w:rPr>
      <w:sz w:val="24"/>
      <w:lang w:val="en-US" w:eastAsia="en-US"/>
    </w:rPr>
  </w:style>
  <w:style w:type="character" w:customStyle="1" w:styleId="BodyText12Char">
    <w:name w:val="BodyText12 Char"/>
    <w:link w:val="BodyText12"/>
    <w:rsid w:val="0046306E"/>
    <w:rPr>
      <w:sz w:val="24"/>
      <w:lang w:val="en-US" w:eastAsia="en-US"/>
    </w:rPr>
  </w:style>
  <w:style w:type="paragraph" w:styleId="ad">
    <w:name w:val="Body Text Indent"/>
    <w:basedOn w:val="a"/>
    <w:link w:val="Char1"/>
    <w:rsid w:val="00E63CA6"/>
    <w:pPr>
      <w:spacing w:after="120"/>
      <w:ind w:left="709"/>
      <w:jc w:val="left"/>
    </w:pPr>
    <w:rPr>
      <w:rFonts w:ascii="Arial" w:hAnsi="Arial"/>
      <w:szCs w:val="20"/>
      <w:lang w:eastAsia="de-DE"/>
    </w:rPr>
  </w:style>
  <w:style w:type="character" w:customStyle="1" w:styleId="Char1">
    <w:name w:val="Σώμα κείμενου με εσοχή Char"/>
    <w:basedOn w:val="a0"/>
    <w:link w:val="ad"/>
    <w:rsid w:val="00E63CA6"/>
    <w:rPr>
      <w:rFonts w:ascii="Arial" w:hAnsi="Arial"/>
      <w:sz w:val="22"/>
      <w:lang w:val="en-GB" w:eastAsia="de-DE"/>
    </w:rPr>
  </w:style>
  <w:style w:type="paragraph" w:styleId="ae">
    <w:name w:val="caption"/>
    <w:basedOn w:val="a"/>
    <w:next w:val="a"/>
    <w:qFormat/>
    <w:rsid w:val="00E774DA"/>
    <w:pPr>
      <w:spacing w:after="240"/>
      <w:ind w:left="1440" w:hanging="1440"/>
      <w:jc w:val="left"/>
    </w:pPr>
    <w:rPr>
      <w:rFonts w:ascii="Arial" w:hAnsi="Arial" w:cs="Arial"/>
      <w:b/>
      <w:bCs/>
      <w:szCs w:val="22"/>
    </w:rPr>
  </w:style>
  <w:style w:type="paragraph" w:customStyle="1" w:styleId="Default">
    <w:name w:val="Default"/>
    <w:rsid w:val="002A5F2A"/>
    <w:pPr>
      <w:autoSpaceDE w:val="0"/>
      <w:autoSpaceDN w:val="0"/>
      <w:adjustRightInd w:val="0"/>
    </w:pPr>
    <w:rPr>
      <w:rFonts w:ascii="Arial" w:hAnsi="Arial" w:cs="Arial"/>
      <w:color w:val="000000"/>
      <w:sz w:val="24"/>
      <w:szCs w:val="24"/>
      <w:lang w:val="en-US"/>
    </w:rPr>
  </w:style>
  <w:style w:type="character" w:styleId="af">
    <w:name w:val="annotation reference"/>
    <w:basedOn w:val="a0"/>
    <w:uiPriority w:val="99"/>
    <w:rsid w:val="00045DED"/>
    <w:rPr>
      <w:sz w:val="16"/>
      <w:szCs w:val="16"/>
    </w:rPr>
  </w:style>
  <w:style w:type="paragraph" w:styleId="af0">
    <w:name w:val="annotation text"/>
    <w:basedOn w:val="a"/>
    <w:link w:val="Char2"/>
    <w:uiPriority w:val="99"/>
    <w:rsid w:val="00045DED"/>
    <w:rPr>
      <w:sz w:val="20"/>
      <w:szCs w:val="20"/>
    </w:rPr>
  </w:style>
  <w:style w:type="character" w:customStyle="1" w:styleId="Char2">
    <w:name w:val="Κείμενο σχολίου Char"/>
    <w:basedOn w:val="a0"/>
    <w:link w:val="af0"/>
    <w:uiPriority w:val="99"/>
    <w:rsid w:val="00045DED"/>
    <w:rPr>
      <w:lang w:val="en-GB" w:eastAsia="en-US"/>
    </w:rPr>
  </w:style>
  <w:style w:type="paragraph" w:styleId="af1">
    <w:name w:val="annotation subject"/>
    <w:basedOn w:val="af0"/>
    <w:next w:val="af0"/>
    <w:link w:val="Char3"/>
    <w:rsid w:val="00045DED"/>
    <w:rPr>
      <w:b/>
      <w:bCs/>
    </w:rPr>
  </w:style>
  <w:style w:type="character" w:customStyle="1" w:styleId="Char3">
    <w:name w:val="Θέμα σχολίου Char"/>
    <w:basedOn w:val="Char2"/>
    <w:link w:val="af1"/>
    <w:rsid w:val="00045DED"/>
    <w:rPr>
      <w:b/>
      <w:bCs/>
      <w:lang w:val="en-GB" w:eastAsia="en-US"/>
    </w:rPr>
  </w:style>
  <w:style w:type="paragraph" w:styleId="af2">
    <w:name w:val="Body Text"/>
    <w:basedOn w:val="a"/>
    <w:link w:val="Char4"/>
    <w:rsid w:val="0010131C"/>
    <w:pPr>
      <w:spacing w:after="120"/>
    </w:pPr>
  </w:style>
  <w:style w:type="character" w:customStyle="1" w:styleId="Char4">
    <w:name w:val="Σώμα κειμένου Char"/>
    <w:basedOn w:val="a0"/>
    <w:link w:val="af2"/>
    <w:rsid w:val="0010131C"/>
    <w:rPr>
      <w:sz w:val="22"/>
      <w:szCs w:val="24"/>
      <w:lang w:val="en-GB" w:eastAsia="en-US"/>
    </w:rPr>
  </w:style>
  <w:style w:type="paragraph" w:customStyle="1" w:styleId="listssp">
    <w:name w:val="list:ssp"/>
    <w:basedOn w:val="a"/>
    <w:rsid w:val="009511F1"/>
    <w:pPr>
      <w:jc w:val="left"/>
    </w:pPr>
    <w:rPr>
      <w:sz w:val="24"/>
    </w:rPr>
  </w:style>
  <w:style w:type="paragraph" w:customStyle="1" w:styleId="captiontable">
    <w:name w:val="caption:table"/>
    <w:basedOn w:val="a"/>
    <w:next w:val="a"/>
    <w:rsid w:val="00500406"/>
    <w:pPr>
      <w:keepNext/>
      <w:spacing w:after="240"/>
      <w:ind w:left="1440" w:hanging="1440"/>
      <w:jc w:val="left"/>
    </w:pPr>
    <w:rPr>
      <w:rFonts w:ascii="Arial" w:hAnsi="Arial" w:cs="Arial"/>
      <w:b/>
      <w:bCs/>
      <w:szCs w:val="22"/>
    </w:rPr>
  </w:style>
  <w:style w:type="paragraph" w:customStyle="1" w:styleId="listbull">
    <w:name w:val="list:bull"/>
    <w:basedOn w:val="a"/>
    <w:link w:val="listbullChar"/>
    <w:rsid w:val="00500406"/>
    <w:pPr>
      <w:numPr>
        <w:numId w:val="50"/>
      </w:numPr>
      <w:spacing w:after="120"/>
      <w:jc w:val="left"/>
    </w:pPr>
    <w:rPr>
      <w:sz w:val="24"/>
    </w:rPr>
  </w:style>
  <w:style w:type="character" w:customStyle="1" w:styleId="listbullChar">
    <w:name w:val="list:bull Char"/>
    <w:link w:val="listbull"/>
    <w:locked/>
    <w:rsid w:val="00500406"/>
    <w:rPr>
      <w:sz w:val="24"/>
      <w:szCs w:val="24"/>
      <w:lang w:val="en-GB" w:eastAsia="en-US"/>
    </w:rPr>
  </w:style>
  <w:style w:type="paragraph" w:customStyle="1" w:styleId="tabletextNS">
    <w:name w:val="table:textNS"/>
    <w:basedOn w:val="a"/>
    <w:rsid w:val="00500406"/>
    <w:pPr>
      <w:jc w:val="left"/>
    </w:pPr>
    <w:rPr>
      <w:rFonts w:ascii="Arial Narrow" w:hAnsi="Arial Narrow" w:cs="Arial Narrow"/>
      <w:sz w:val="24"/>
    </w:rPr>
  </w:style>
  <w:style w:type="paragraph" w:customStyle="1" w:styleId="listindentbull">
    <w:name w:val="list:indent bull"/>
    <w:rsid w:val="00500406"/>
    <w:pPr>
      <w:tabs>
        <w:tab w:val="num" w:pos="864"/>
      </w:tabs>
      <w:spacing w:after="120"/>
      <w:ind w:left="864" w:hanging="432"/>
    </w:pPr>
    <w:rPr>
      <w:sz w:val="24"/>
      <w:szCs w:val="24"/>
      <w:lang w:val="en-GB" w:eastAsia="en-US"/>
    </w:rPr>
  </w:style>
  <w:style w:type="character" w:customStyle="1" w:styleId="jrnl">
    <w:name w:val="jrnl"/>
    <w:rsid w:val="00500406"/>
    <w:rPr>
      <w:rFonts w:cs="Times New Roman"/>
    </w:rPr>
  </w:style>
</w:styles>
</file>

<file path=word/webSettings.xml><?xml version="1.0" encoding="utf-8"?>
<w:webSettings xmlns:r="http://schemas.openxmlformats.org/officeDocument/2006/relationships" xmlns:w="http://schemas.openxmlformats.org/wordprocessingml/2006/main">
  <w:divs>
    <w:div w:id="85613535">
      <w:bodyDiv w:val="1"/>
      <w:marLeft w:val="0"/>
      <w:marRight w:val="0"/>
      <w:marTop w:val="0"/>
      <w:marBottom w:val="0"/>
      <w:divBdr>
        <w:top w:val="none" w:sz="0" w:space="0" w:color="auto"/>
        <w:left w:val="none" w:sz="0" w:space="0" w:color="auto"/>
        <w:bottom w:val="none" w:sz="0" w:space="0" w:color="auto"/>
        <w:right w:val="none" w:sz="0" w:space="0" w:color="auto"/>
      </w:divBdr>
    </w:div>
    <w:div w:id="600340784">
      <w:bodyDiv w:val="1"/>
      <w:marLeft w:val="0"/>
      <w:marRight w:val="0"/>
      <w:marTop w:val="0"/>
      <w:marBottom w:val="0"/>
      <w:divBdr>
        <w:top w:val="none" w:sz="0" w:space="0" w:color="auto"/>
        <w:left w:val="none" w:sz="0" w:space="0" w:color="auto"/>
        <w:bottom w:val="none" w:sz="0" w:space="0" w:color="auto"/>
        <w:right w:val="none" w:sz="0" w:space="0" w:color="auto"/>
      </w:divBdr>
    </w:div>
    <w:div w:id="894900406">
      <w:bodyDiv w:val="1"/>
      <w:marLeft w:val="0"/>
      <w:marRight w:val="0"/>
      <w:marTop w:val="0"/>
      <w:marBottom w:val="0"/>
      <w:divBdr>
        <w:top w:val="none" w:sz="0" w:space="0" w:color="auto"/>
        <w:left w:val="none" w:sz="0" w:space="0" w:color="auto"/>
        <w:bottom w:val="none" w:sz="0" w:space="0" w:color="auto"/>
        <w:right w:val="none" w:sz="0" w:space="0" w:color="auto"/>
      </w:divBdr>
    </w:div>
    <w:div w:id="1003553882">
      <w:bodyDiv w:val="1"/>
      <w:marLeft w:val="0"/>
      <w:marRight w:val="0"/>
      <w:marTop w:val="0"/>
      <w:marBottom w:val="0"/>
      <w:divBdr>
        <w:top w:val="none" w:sz="0" w:space="0" w:color="auto"/>
        <w:left w:val="none" w:sz="0" w:space="0" w:color="auto"/>
        <w:bottom w:val="none" w:sz="0" w:space="0" w:color="auto"/>
        <w:right w:val="none" w:sz="0" w:space="0" w:color="auto"/>
      </w:divBdr>
    </w:div>
    <w:div w:id="1143275870">
      <w:bodyDiv w:val="1"/>
      <w:marLeft w:val="0"/>
      <w:marRight w:val="0"/>
      <w:marTop w:val="0"/>
      <w:marBottom w:val="0"/>
      <w:divBdr>
        <w:top w:val="none" w:sz="0" w:space="0" w:color="auto"/>
        <w:left w:val="none" w:sz="0" w:space="0" w:color="auto"/>
        <w:bottom w:val="none" w:sz="0" w:space="0" w:color="auto"/>
        <w:right w:val="none" w:sz="0" w:space="0" w:color="auto"/>
      </w:divBdr>
    </w:div>
    <w:div w:id="1242527358">
      <w:bodyDiv w:val="1"/>
      <w:marLeft w:val="0"/>
      <w:marRight w:val="0"/>
      <w:marTop w:val="0"/>
      <w:marBottom w:val="0"/>
      <w:divBdr>
        <w:top w:val="none" w:sz="0" w:space="0" w:color="auto"/>
        <w:left w:val="none" w:sz="0" w:space="0" w:color="auto"/>
        <w:bottom w:val="none" w:sz="0" w:space="0" w:color="auto"/>
        <w:right w:val="none" w:sz="0" w:space="0" w:color="auto"/>
      </w:divBdr>
    </w:div>
    <w:div w:id="1331450050">
      <w:bodyDiv w:val="1"/>
      <w:marLeft w:val="0"/>
      <w:marRight w:val="0"/>
      <w:marTop w:val="0"/>
      <w:marBottom w:val="0"/>
      <w:divBdr>
        <w:top w:val="none" w:sz="0" w:space="0" w:color="auto"/>
        <w:left w:val="none" w:sz="0" w:space="0" w:color="auto"/>
        <w:bottom w:val="none" w:sz="0" w:space="0" w:color="auto"/>
        <w:right w:val="none" w:sz="0" w:space="0" w:color="auto"/>
      </w:divBdr>
    </w:div>
    <w:div w:id="1596211542">
      <w:bodyDiv w:val="1"/>
      <w:marLeft w:val="0"/>
      <w:marRight w:val="0"/>
      <w:marTop w:val="0"/>
      <w:marBottom w:val="0"/>
      <w:divBdr>
        <w:top w:val="none" w:sz="0" w:space="0" w:color="auto"/>
        <w:left w:val="none" w:sz="0" w:space="0" w:color="auto"/>
        <w:bottom w:val="none" w:sz="0" w:space="0" w:color="auto"/>
        <w:right w:val="none" w:sz="0" w:space="0" w:color="auto"/>
      </w:divBdr>
    </w:div>
    <w:div w:id="1685861224">
      <w:bodyDiv w:val="1"/>
      <w:marLeft w:val="0"/>
      <w:marRight w:val="0"/>
      <w:marTop w:val="0"/>
      <w:marBottom w:val="0"/>
      <w:divBdr>
        <w:top w:val="none" w:sz="0" w:space="0" w:color="auto"/>
        <w:left w:val="none" w:sz="0" w:space="0" w:color="auto"/>
        <w:bottom w:val="none" w:sz="0" w:space="0" w:color="auto"/>
        <w:right w:val="none" w:sz="0" w:space="0" w:color="auto"/>
      </w:divBdr>
    </w:div>
    <w:div w:id="205835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cholar.google.fr/citations?user=vB55GXIAAAAJ&amp;hl=fr&amp;oi=sr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F2E7A-0C7A-4EED-A031-B647B932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14569</Words>
  <Characters>83048</Characters>
  <Application>Microsoft Office Word</Application>
  <DocSecurity>0</DocSecurity>
  <Lines>692</Lines>
  <Paragraphs>194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Statistical Analysis Plan</vt:lpstr>
      <vt:lpstr>Statistical Analysis Plan</vt:lpstr>
    </vt:vector>
  </TitlesOfParts>
  <Company>Cardinal Systems</Company>
  <LinksUpToDate>false</LinksUpToDate>
  <CharactersWithSpaces>97423</CharactersWithSpaces>
  <SharedDoc>false</SharedDoc>
  <HLinks>
    <vt:vector size="6" baseType="variant">
      <vt:variant>
        <vt:i4>6422581</vt:i4>
      </vt:variant>
      <vt:variant>
        <vt:i4>0</vt:i4>
      </vt:variant>
      <vt:variant>
        <vt:i4>0</vt:i4>
      </vt:variant>
      <vt:variant>
        <vt:i4>5</vt:i4>
      </vt:variant>
      <vt:variant>
        <vt:lpwstr>http://www.consort-statement.org/Media/Default/Downloads/CONSORT 2010 Statement/CONSORT 2010 Explanation and Elaboration %28BMJ%29.pdf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Analysis Plan</dc:title>
  <dc:creator>STAT department</dc:creator>
  <cp:lastModifiedBy>Vasso Athanasaki</cp:lastModifiedBy>
  <cp:revision>3</cp:revision>
  <cp:lastPrinted>2019-10-25T11:28:00Z</cp:lastPrinted>
  <dcterms:created xsi:type="dcterms:W3CDTF">2019-10-28T19:13:00Z</dcterms:created>
  <dcterms:modified xsi:type="dcterms:W3CDTF">2019-11-03T20:05:00Z</dcterms:modified>
</cp:coreProperties>
</file>