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2CD" w:rsidRDefault="007662CD" w:rsidP="007662CD">
      <w:proofErr w:type="spellStart"/>
      <w:r>
        <w:t>Supplementary</w:t>
      </w:r>
      <w:proofErr w:type="spellEnd"/>
      <w:r>
        <w:t xml:space="preserve"> </w:t>
      </w:r>
      <w:proofErr w:type="spellStart"/>
      <w:r>
        <w:t>Figure</w:t>
      </w:r>
      <w:proofErr w:type="spellEnd"/>
      <w:r>
        <w:t xml:space="preserve"> legend</w:t>
      </w:r>
      <w:bookmarkStart w:id="0" w:name="_GoBack"/>
      <w:bookmarkEnd w:id="0"/>
      <w:r>
        <w:t>:</w:t>
      </w:r>
    </w:p>
    <w:p w:rsidR="00093B33" w:rsidRPr="007662CD" w:rsidRDefault="007662CD" w:rsidP="007662CD">
      <w:pPr>
        <w:rPr>
          <w:lang w:val="en-US"/>
        </w:rPr>
      </w:pPr>
      <w:r w:rsidRPr="007662CD">
        <w:rPr>
          <w:lang w:val="en-US"/>
        </w:rPr>
        <w:t xml:space="preserve">Supplementary Figure 1: A) Schematic of the exposure system. 1., </w:t>
      </w:r>
      <w:proofErr w:type="gramStart"/>
      <w:r w:rsidRPr="007662CD">
        <w:rPr>
          <w:lang w:val="en-US"/>
        </w:rPr>
        <w:t>2.,</w:t>
      </w:r>
      <w:proofErr w:type="gramEnd"/>
      <w:r w:rsidRPr="007662CD">
        <w:rPr>
          <w:lang w:val="en-US"/>
        </w:rPr>
        <w:t xml:space="preserve"> and 3. direct current (DC) power supplies (Power Designs, 1210S, Danbury, CT, USA; Hewlett Packard, 6024A, Palo Alto, CA, USA; Power Designs, 6050A, Danbury, CT, USA), 4. </w:t>
      </w:r>
      <w:proofErr w:type="gramStart"/>
      <w:r w:rsidRPr="007662CD">
        <w:rPr>
          <w:lang w:val="en-US"/>
        </w:rPr>
        <w:t>signal</w:t>
      </w:r>
      <w:proofErr w:type="gramEnd"/>
      <w:r w:rsidRPr="007662CD">
        <w:rPr>
          <w:lang w:val="en-US"/>
        </w:rPr>
        <w:t xml:space="preserve"> generator (SG) (Hewlett Packard, 33120A, Palo Alto, CA, USA), 5. </w:t>
      </w:r>
      <w:proofErr w:type="gramStart"/>
      <w:r w:rsidRPr="007662CD">
        <w:rPr>
          <w:lang w:val="en-US"/>
        </w:rPr>
        <w:t>oscilloscope</w:t>
      </w:r>
      <w:proofErr w:type="gramEnd"/>
      <w:r w:rsidRPr="007662CD">
        <w:rPr>
          <w:lang w:val="en-US"/>
        </w:rPr>
        <w:t xml:space="preserve"> (OSC)  (Tektronix, TDS2014B, Beaverton, OR, USA), RF = radiofrequency. The oscilloscope </w:t>
      </w:r>
      <w:proofErr w:type="gramStart"/>
      <w:r w:rsidRPr="007662CD">
        <w:rPr>
          <w:lang w:val="en-US"/>
        </w:rPr>
        <w:t>was used</w:t>
      </w:r>
      <w:proofErr w:type="gramEnd"/>
      <w:r w:rsidRPr="007662CD">
        <w:rPr>
          <w:lang w:val="en-US"/>
        </w:rPr>
        <w:t xml:space="preserve"> to continuously monitor RF magnetic flux density during the exposures. The </w:t>
      </w:r>
      <w:proofErr w:type="gramStart"/>
      <w:r w:rsidRPr="007662CD">
        <w:rPr>
          <w:lang w:val="en-US"/>
        </w:rPr>
        <w:t>1 ohm</w:t>
      </w:r>
      <w:proofErr w:type="gramEnd"/>
      <w:r w:rsidRPr="007662CD">
        <w:rPr>
          <w:lang w:val="en-US"/>
        </w:rPr>
        <w:t xml:space="preserve"> resistors are also shown in the diagram. B) 3-axial Helmholtz coil system (63.5 cm x 63.5 cm x 63.5 cm).</w:t>
      </w:r>
    </w:p>
    <w:sectPr w:rsidR="00093B33" w:rsidRPr="007662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2CD"/>
    <w:rsid w:val="00093B33"/>
    <w:rsid w:val="0076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BF679"/>
  <w15:chartTrackingRefBased/>
  <w15:docId w15:val="{2EF6F89D-B910-4B26-95EB-FFAFC6984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Eastern Finland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Jukka Luukkonen</dc:creator>
  <cp:keywords/>
  <dc:description/>
  <cp:lastModifiedBy>Jukka Luukkonen</cp:lastModifiedBy>
  <cp:revision>1</cp:revision>
  <dcterms:created xsi:type="dcterms:W3CDTF">2020-06-29T10:29:00Z</dcterms:created>
  <dcterms:modified xsi:type="dcterms:W3CDTF">2020-06-29T10:31:00Z</dcterms:modified>
</cp:coreProperties>
</file>