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F3D" w:rsidRDefault="00360F3D" w:rsidP="00360F3D">
      <w:pPr>
        <w:spacing w:after="0" w:line="480" w:lineRule="auto"/>
        <w:jc w:val="both"/>
        <w:rPr>
          <w:rFonts w:ascii="Times New Roman" w:hAnsi="Times New Roman" w:cs="Times New Roman"/>
          <w:b/>
          <w:sz w:val="24"/>
          <w:szCs w:val="24"/>
        </w:rPr>
      </w:pPr>
    </w:p>
    <w:p w:rsidR="00EA75ED" w:rsidRDefault="00EA75ED" w:rsidP="00360F3D">
      <w:pPr>
        <w:spacing w:after="0" w:line="480" w:lineRule="auto"/>
        <w:jc w:val="both"/>
        <w:rPr>
          <w:rFonts w:ascii="Times New Roman" w:hAnsi="Times New Roman" w:cs="Times New Roman"/>
          <w:b/>
          <w:sz w:val="24"/>
          <w:szCs w:val="24"/>
        </w:rPr>
      </w:pPr>
    </w:p>
    <w:p w:rsidR="00EA75ED" w:rsidRDefault="00EA75ED" w:rsidP="00EA75ED">
      <w:pPr>
        <w:spacing w:line="360" w:lineRule="auto"/>
        <w:jc w:val="both"/>
        <w:rPr>
          <w:rFonts w:ascii="Times New Roman" w:hAnsi="Times New Roman" w:cs="Times New Roman"/>
          <w:b/>
          <w:sz w:val="28"/>
          <w:szCs w:val="28"/>
        </w:rPr>
      </w:pPr>
      <w:r w:rsidRPr="00B9091A">
        <w:rPr>
          <w:rFonts w:ascii="Times New Roman" w:hAnsi="Times New Roman" w:cs="Times New Roman"/>
          <w:b/>
          <w:sz w:val="28"/>
          <w:szCs w:val="28"/>
        </w:rPr>
        <w:t>The prognostic and diagnostic significance of the neutrophil to lymphocyte ratio in hepatocellular carcinoma: A prospective controlled study</w:t>
      </w:r>
      <w:r w:rsidR="008C565C">
        <w:rPr>
          <w:rFonts w:ascii="Times New Roman" w:hAnsi="Times New Roman" w:cs="Times New Roman"/>
          <w:b/>
          <w:sz w:val="28"/>
          <w:szCs w:val="28"/>
        </w:rPr>
        <w:t xml:space="preserve"> by PJ Johnson et al</w:t>
      </w:r>
    </w:p>
    <w:p w:rsidR="00EA75ED" w:rsidRDefault="008C565C" w:rsidP="00360F3D">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SUPPLEMENTARY MATERIAL</w:t>
      </w:r>
    </w:p>
    <w:p w:rsidR="00EA75ED" w:rsidRDefault="00EA75ED" w:rsidP="00360F3D">
      <w:pPr>
        <w:spacing w:after="0" w:line="480" w:lineRule="auto"/>
        <w:jc w:val="both"/>
        <w:rPr>
          <w:rFonts w:ascii="Times New Roman" w:hAnsi="Times New Roman" w:cs="Times New Roman"/>
          <w:b/>
          <w:sz w:val="24"/>
          <w:szCs w:val="24"/>
        </w:rPr>
      </w:pPr>
    </w:p>
    <w:p w:rsidR="004B6619" w:rsidRDefault="004B6619">
      <w:pPr>
        <w:spacing w:after="160" w:line="259" w:lineRule="auto"/>
      </w:pPr>
    </w:p>
    <w:p w:rsidR="003111D5" w:rsidRPr="00EA75ED" w:rsidRDefault="00535E43">
      <w:pPr>
        <w:rPr>
          <w:rFonts w:ascii="Times New Roman" w:hAnsi="Times New Roman" w:cs="Times New Roman"/>
          <w:b/>
          <w:sz w:val="24"/>
          <w:szCs w:val="24"/>
        </w:rPr>
      </w:pPr>
      <w:r w:rsidRPr="00EA75ED">
        <w:rPr>
          <w:rFonts w:ascii="Times New Roman" w:hAnsi="Times New Roman" w:cs="Times New Roman"/>
          <w:b/>
          <w:sz w:val="24"/>
          <w:szCs w:val="24"/>
        </w:rPr>
        <w:t>SUPPLEMENTARY STATISTICAL METHODOLOGY</w:t>
      </w:r>
    </w:p>
    <w:p w:rsidR="00D82FC7" w:rsidRPr="00EA75ED" w:rsidRDefault="00D82FC7">
      <w:pPr>
        <w:rPr>
          <w:rFonts w:ascii="Times New Roman" w:hAnsi="Times New Roman" w:cs="Times New Roman"/>
          <w:sz w:val="24"/>
          <w:szCs w:val="24"/>
        </w:rPr>
      </w:pPr>
    </w:p>
    <w:p w:rsidR="00D82FC7" w:rsidRPr="00EA75ED" w:rsidRDefault="00D82FC7" w:rsidP="00D82FC7">
      <w:pPr>
        <w:spacing w:after="0" w:line="480" w:lineRule="auto"/>
        <w:jc w:val="both"/>
        <w:rPr>
          <w:rFonts w:ascii="Times New Roman" w:hAnsi="Times New Roman" w:cs="Times New Roman"/>
          <w:sz w:val="24"/>
          <w:szCs w:val="24"/>
        </w:rPr>
      </w:pPr>
      <w:r w:rsidRPr="00EA75ED">
        <w:rPr>
          <w:rFonts w:ascii="Times New Roman" w:hAnsi="Times New Roman" w:cs="Times New Roman"/>
          <w:sz w:val="24"/>
          <w:szCs w:val="24"/>
        </w:rPr>
        <w:t xml:space="preserve">For continuous variables, differences between the CLD and HCC groups were tested using the two-sample t-test or Wilcoxon rank-sum test (the latter when normal distribution could not be obtained following transformation). Categorical variables were compared using Pearson’s chi-squared test and Fisher’s exact test (the latter when patients numbers in one of the subcategories was &lt;5). </w:t>
      </w:r>
    </w:p>
    <w:p w:rsidR="00D82FC7" w:rsidRPr="00EA75ED" w:rsidRDefault="00D82FC7" w:rsidP="00D82FC7">
      <w:pPr>
        <w:spacing w:after="0" w:line="480" w:lineRule="auto"/>
        <w:jc w:val="both"/>
        <w:rPr>
          <w:rFonts w:ascii="Times New Roman" w:hAnsi="Times New Roman" w:cs="Times New Roman"/>
          <w:b/>
          <w:sz w:val="24"/>
          <w:szCs w:val="24"/>
        </w:rPr>
      </w:pPr>
    </w:p>
    <w:p w:rsidR="00D82FC7" w:rsidRPr="00EA75ED" w:rsidRDefault="00D82FC7" w:rsidP="00D82FC7">
      <w:pPr>
        <w:spacing w:after="0" w:line="480" w:lineRule="auto"/>
        <w:jc w:val="both"/>
        <w:rPr>
          <w:rFonts w:ascii="Times New Roman" w:hAnsi="Times New Roman" w:cs="Times New Roman"/>
          <w:i/>
          <w:sz w:val="24"/>
          <w:szCs w:val="24"/>
        </w:rPr>
      </w:pPr>
      <w:r w:rsidRPr="00EA75ED">
        <w:rPr>
          <w:rFonts w:ascii="Times New Roman" w:hAnsi="Times New Roman" w:cs="Times New Roman"/>
          <w:i/>
          <w:sz w:val="24"/>
          <w:szCs w:val="24"/>
        </w:rPr>
        <w:t xml:space="preserve">NLR levels in CLD versus HCC patients </w:t>
      </w:r>
    </w:p>
    <w:p w:rsidR="00D82FC7" w:rsidRPr="00EA75ED" w:rsidRDefault="00D82FC7" w:rsidP="00D82FC7">
      <w:pPr>
        <w:spacing w:after="0" w:line="480" w:lineRule="auto"/>
        <w:jc w:val="both"/>
        <w:rPr>
          <w:rFonts w:ascii="Times New Roman" w:hAnsi="Times New Roman" w:cs="Times New Roman"/>
          <w:sz w:val="24"/>
          <w:szCs w:val="24"/>
        </w:rPr>
      </w:pPr>
      <w:r w:rsidRPr="00EA75ED">
        <w:rPr>
          <w:rFonts w:ascii="Times New Roman" w:hAnsi="Times New Roman" w:cs="Times New Roman"/>
          <w:sz w:val="24"/>
          <w:szCs w:val="24"/>
        </w:rPr>
        <w:t>NLR levels between CLD and HCC patients were compared at baseline using the two-sample t-test (see above). Additionally, the distribution of NLR in the two patient groups at baseline and at closest to last visit or death was visualised and compared using boxplots. This was performed only using patients with data available at both time points. Paired t-test was performed to compare changes in NLR at the two time points for each patient group.</w:t>
      </w:r>
    </w:p>
    <w:p w:rsidR="00D82FC7" w:rsidRPr="00EA75ED" w:rsidRDefault="00D82FC7" w:rsidP="00D82FC7">
      <w:pPr>
        <w:spacing w:after="0" w:line="480" w:lineRule="auto"/>
        <w:jc w:val="both"/>
        <w:rPr>
          <w:rFonts w:ascii="Times New Roman" w:hAnsi="Times New Roman" w:cs="Times New Roman"/>
          <w:i/>
          <w:sz w:val="24"/>
          <w:szCs w:val="24"/>
        </w:rPr>
      </w:pPr>
      <w:r w:rsidRPr="00EA75ED">
        <w:rPr>
          <w:rFonts w:ascii="Times New Roman" w:hAnsi="Times New Roman" w:cs="Times New Roman"/>
          <w:i/>
          <w:sz w:val="24"/>
          <w:szCs w:val="24"/>
        </w:rPr>
        <w:t xml:space="preserve">Diagnostic analysis </w:t>
      </w:r>
    </w:p>
    <w:p w:rsidR="00D82FC7" w:rsidRPr="00EA75ED" w:rsidRDefault="00D82FC7" w:rsidP="00D82FC7">
      <w:pPr>
        <w:spacing w:after="0" w:line="480" w:lineRule="auto"/>
        <w:jc w:val="both"/>
        <w:rPr>
          <w:rFonts w:ascii="Times New Roman" w:hAnsi="Times New Roman" w:cs="Times New Roman"/>
          <w:sz w:val="24"/>
          <w:szCs w:val="24"/>
        </w:rPr>
      </w:pPr>
      <w:r w:rsidRPr="00EA75ED">
        <w:rPr>
          <w:rFonts w:ascii="Times New Roman" w:hAnsi="Times New Roman" w:cs="Times New Roman"/>
          <w:sz w:val="24"/>
          <w:szCs w:val="24"/>
        </w:rPr>
        <w:t>The ability of NLR to classify between CLD and HCC patients was assessed by fitting a univariable logistic regression, plotting a receiver operating characteristic (ROC) curve, and producing an area under ROC (AUROC) estimate.</w:t>
      </w:r>
    </w:p>
    <w:p w:rsidR="00D82FC7" w:rsidRPr="00EA75ED" w:rsidRDefault="00D82FC7" w:rsidP="00D82FC7">
      <w:pPr>
        <w:spacing w:after="0" w:line="480" w:lineRule="auto"/>
        <w:jc w:val="both"/>
        <w:rPr>
          <w:rFonts w:ascii="Times New Roman" w:hAnsi="Times New Roman" w:cs="Times New Roman"/>
          <w:sz w:val="24"/>
          <w:szCs w:val="24"/>
        </w:rPr>
      </w:pPr>
    </w:p>
    <w:p w:rsidR="00D82FC7" w:rsidRPr="00EA75ED" w:rsidRDefault="00D82FC7" w:rsidP="00D82FC7">
      <w:pPr>
        <w:spacing w:after="0" w:line="480" w:lineRule="auto"/>
        <w:jc w:val="both"/>
        <w:rPr>
          <w:rFonts w:ascii="Times New Roman" w:hAnsi="Times New Roman" w:cs="Times New Roman"/>
          <w:i/>
          <w:sz w:val="24"/>
          <w:szCs w:val="24"/>
        </w:rPr>
      </w:pPr>
      <w:r w:rsidRPr="00EA75ED">
        <w:rPr>
          <w:rFonts w:ascii="Times New Roman" w:hAnsi="Times New Roman" w:cs="Times New Roman"/>
          <w:i/>
          <w:sz w:val="24"/>
          <w:szCs w:val="24"/>
        </w:rPr>
        <w:t>Prognostic analysis</w:t>
      </w:r>
    </w:p>
    <w:p w:rsidR="00D82FC7" w:rsidRPr="00EA75ED" w:rsidRDefault="00D82FC7" w:rsidP="00D82FC7">
      <w:pPr>
        <w:spacing w:after="0" w:line="480" w:lineRule="auto"/>
        <w:jc w:val="both"/>
        <w:rPr>
          <w:rFonts w:ascii="Times New Roman" w:hAnsi="Times New Roman" w:cs="Times New Roman"/>
          <w:sz w:val="24"/>
          <w:szCs w:val="24"/>
        </w:rPr>
      </w:pPr>
      <w:r w:rsidRPr="00EA75ED">
        <w:rPr>
          <w:rFonts w:ascii="Times New Roman" w:hAnsi="Times New Roman" w:cs="Times New Roman"/>
          <w:sz w:val="24"/>
          <w:szCs w:val="24"/>
        </w:rPr>
        <w:t>Overall survival (OS) was calculated from the date of blood taken until the date of death. Patients who were still alive were censored at date of last follow-up. Survival according to CLD and HCC groups was plotted using the Kaplan-Meier (KM) method. Survival distribution between groups was compared using the log-rank test.</w:t>
      </w:r>
    </w:p>
    <w:p w:rsidR="00D82FC7" w:rsidRPr="00EA75ED" w:rsidRDefault="00D82FC7" w:rsidP="00D82FC7">
      <w:pPr>
        <w:spacing w:after="0" w:line="480" w:lineRule="auto"/>
        <w:jc w:val="both"/>
        <w:rPr>
          <w:rFonts w:ascii="Times New Roman" w:hAnsi="Times New Roman" w:cs="Times New Roman"/>
          <w:sz w:val="24"/>
          <w:szCs w:val="24"/>
        </w:rPr>
      </w:pPr>
    </w:p>
    <w:p w:rsidR="00D82FC7" w:rsidRPr="00EA75ED" w:rsidRDefault="00D82FC7" w:rsidP="00D82FC7">
      <w:pPr>
        <w:spacing w:after="0" w:line="480" w:lineRule="auto"/>
        <w:jc w:val="both"/>
        <w:rPr>
          <w:rFonts w:ascii="Times New Roman" w:hAnsi="Times New Roman" w:cs="Times New Roman"/>
          <w:sz w:val="24"/>
          <w:szCs w:val="24"/>
        </w:rPr>
      </w:pPr>
      <w:r w:rsidRPr="00EA75ED">
        <w:rPr>
          <w:rFonts w:ascii="Times New Roman" w:hAnsi="Times New Roman" w:cs="Times New Roman"/>
          <w:sz w:val="24"/>
          <w:szCs w:val="24"/>
        </w:rPr>
        <w:t xml:space="preserve">Univariable Cox regression analysis was performed to examine the prognostic influence of NLR in the CLD and HCC groups separately. Using just the HCC patients, univariable Cox regression analysis was carried out using the following parameters: </w:t>
      </w:r>
      <w:r w:rsidRPr="00EA75ED">
        <w:rPr>
          <w:rFonts w:ascii="Times New Roman" w:eastAsia="Times New Roman" w:hAnsi="Times New Roman" w:cs="Times New Roman"/>
          <w:sz w:val="24"/>
          <w:szCs w:val="24"/>
          <w:lang w:eastAsia="en-GB"/>
        </w:rPr>
        <w:t xml:space="preserve">age, sex, aetiology, albumin, bilirubin, INR, creatinine, haemoglobin, WBC, NLR, platelets, AFP and BCLC stage. In order to investigate if NLR remains a prognostic factor even after adjusting for other variables, a multivariable model was built using backward selection of the same variables significant at the 10% level. Tumour number and size, vascular invasion, Child-Pugh grade and EHS were not included in the analysis as these are already components of the BCLC staging. </w:t>
      </w:r>
      <w:r w:rsidRPr="00EA75ED">
        <w:rPr>
          <w:rFonts w:ascii="Times New Roman" w:hAnsi="Times New Roman" w:cs="Times New Roman"/>
          <w:sz w:val="24"/>
          <w:szCs w:val="24"/>
        </w:rPr>
        <w:t>The proportional hazards assumption of the model was tested by examining the plots of scaled Schoenfeld residuals against time for each variable.</w:t>
      </w:r>
    </w:p>
    <w:p w:rsidR="00D82FC7" w:rsidRPr="00EA75ED" w:rsidRDefault="00D82FC7" w:rsidP="00D82FC7">
      <w:pPr>
        <w:spacing w:after="0" w:line="480" w:lineRule="auto"/>
        <w:jc w:val="both"/>
        <w:rPr>
          <w:rFonts w:ascii="Times New Roman" w:hAnsi="Times New Roman" w:cs="Times New Roman"/>
          <w:sz w:val="24"/>
          <w:szCs w:val="24"/>
        </w:rPr>
      </w:pPr>
      <w:r w:rsidRPr="00EA75ED">
        <w:rPr>
          <w:rFonts w:ascii="Times New Roman" w:hAnsi="Times New Roman" w:cs="Times New Roman"/>
          <w:sz w:val="24"/>
          <w:szCs w:val="24"/>
        </w:rPr>
        <w:t>Finally, KM survival curves according to NLR categories generated by applying cut-off at the median (the most widely used cut-off value) was plotted for the HCC group to display the prognostic stratification of NLR.</w:t>
      </w:r>
    </w:p>
    <w:p w:rsidR="00D82FC7" w:rsidRPr="00EA75ED" w:rsidRDefault="00D82FC7" w:rsidP="00D82FC7">
      <w:pPr>
        <w:rPr>
          <w:rFonts w:ascii="Times New Roman" w:hAnsi="Times New Roman" w:cs="Times New Roman"/>
          <w:sz w:val="24"/>
          <w:szCs w:val="24"/>
        </w:rPr>
      </w:pPr>
    </w:p>
    <w:p w:rsidR="0009537F" w:rsidRDefault="0009537F" w:rsidP="0009537F">
      <w:pPr>
        <w:spacing w:after="0" w:line="480" w:lineRule="auto"/>
        <w:jc w:val="both"/>
        <w:rPr>
          <w:rFonts w:ascii="Times New Roman" w:hAnsi="Times New Roman" w:cs="Times New Roman"/>
          <w:b/>
          <w:sz w:val="24"/>
          <w:szCs w:val="24"/>
        </w:rPr>
      </w:pPr>
    </w:p>
    <w:p w:rsidR="005070FC" w:rsidRDefault="005070FC" w:rsidP="005070FC">
      <w:pPr>
        <w:rPr>
          <w:rFonts w:ascii="Times New Roman" w:hAnsi="Times New Roman" w:cs="Times New Roman"/>
          <w:noProof/>
          <w:color w:val="FF0000"/>
          <w:sz w:val="24"/>
          <w:szCs w:val="24"/>
          <w:lang w:eastAsia="en-GB"/>
        </w:rPr>
      </w:pPr>
    </w:p>
    <w:p w:rsidR="005070FC" w:rsidRDefault="005070FC" w:rsidP="005070FC">
      <w:pPr>
        <w:rPr>
          <w:rFonts w:ascii="Times New Roman" w:hAnsi="Times New Roman" w:cs="Times New Roman"/>
          <w:noProof/>
          <w:color w:val="FF0000"/>
          <w:sz w:val="24"/>
          <w:szCs w:val="24"/>
          <w:lang w:eastAsia="en-GB"/>
        </w:rPr>
      </w:pPr>
    </w:p>
    <w:p w:rsidR="005070FC" w:rsidRDefault="005070FC" w:rsidP="005070FC">
      <w:pPr>
        <w:rPr>
          <w:rFonts w:ascii="Times New Roman" w:hAnsi="Times New Roman" w:cs="Times New Roman"/>
          <w:sz w:val="24"/>
          <w:szCs w:val="24"/>
        </w:rPr>
      </w:pPr>
    </w:p>
    <w:p w:rsidR="005070FC" w:rsidRDefault="005070FC" w:rsidP="005070FC">
      <w:pPr>
        <w:rPr>
          <w:rFonts w:ascii="Times New Roman" w:hAnsi="Times New Roman" w:cs="Times New Roman"/>
          <w:b/>
          <w:sz w:val="24"/>
          <w:szCs w:val="24"/>
        </w:rPr>
      </w:pPr>
    </w:p>
    <w:p w:rsidR="005070FC" w:rsidRDefault="005070FC" w:rsidP="005070FC">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Pr="006620FF">
        <w:rPr>
          <w:rFonts w:ascii="Times New Roman" w:hAnsi="Times New Roman" w:cs="Times New Roman"/>
          <w:b/>
          <w:sz w:val="24"/>
          <w:szCs w:val="24"/>
        </w:rPr>
        <w:t>FIGURE 1</w:t>
      </w:r>
    </w:p>
    <w:p w:rsidR="005070FC" w:rsidRDefault="005070FC" w:rsidP="005070FC">
      <w:pPr>
        <w:rPr>
          <w:rFonts w:ascii="Times New Roman" w:hAnsi="Times New Roman" w:cs="Times New Roman"/>
          <w:b/>
          <w:sz w:val="24"/>
          <w:szCs w:val="24"/>
        </w:rPr>
      </w:pPr>
    </w:p>
    <w:p w:rsidR="005070FC" w:rsidRDefault="005070FC" w:rsidP="005070FC">
      <w:r w:rsidRPr="00587777">
        <w:rPr>
          <w:rFonts w:ascii="Times New Roman" w:hAnsi="Times New Roman" w:cs="Times New Roman"/>
          <w:noProof/>
          <w:color w:val="FF0000"/>
          <w:sz w:val="24"/>
          <w:szCs w:val="24"/>
          <w:lang w:eastAsia="en-GB"/>
        </w:rPr>
        <w:drawing>
          <wp:inline distT="0" distB="0" distL="0" distR="0" wp14:anchorId="742942DA" wp14:editId="6DF696B6">
            <wp:extent cx="5731510" cy="404213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831" t="4073" r="2086" b="4277"/>
                    <a:stretch/>
                  </pic:blipFill>
                  <pic:spPr bwMode="auto">
                    <a:xfrm>
                      <a:off x="0" y="0"/>
                      <a:ext cx="5731510" cy="4042130"/>
                    </a:xfrm>
                    <a:prstGeom prst="rect">
                      <a:avLst/>
                    </a:prstGeom>
                    <a:noFill/>
                    <a:ln>
                      <a:noFill/>
                    </a:ln>
                    <a:extLst>
                      <a:ext uri="{53640926-AAD7-44D8-BBD7-CCE9431645EC}">
                        <a14:shadowObscured xmlns:a14="http://schemas.microsoft.com/office/drawing/2010/main"/>
                      </a:ext>
                    </a:extLst>
                  </pic:spPr>
                </pic:pic>
              </a:graphicData>
            </a:graphic>
          </wp:inline>
        </w:drawing>
      </w:r>
    </w:p>
    <w:p w:rsidR="005070FC" w:rsidRDefault="005070FC" w:rsidP="005070FC"/>
    <w:p w:rsidR="005070FC" w:rsidRDefault="005070FC" w:rsidP="005070FC"/>
    <w:p w:rsidR="005070FC" w:rsidRDefault="005070FC" w:rsidP="005070FC"/>
    <w:p w:rsidR="005070FC" w:rsidRDefault="005070FC" w:rsidP="005070FC"/>
    <w:p w:rsidR="005070FC" w:rsidRDefault="005070FC" w:rsidP="005070FC"/>
    <w:p w:rsidR="005070FC" w:rsidRDefault="005070FC" w:rsidP="005070FC"/>
    <w:p w:rsidR="005070FC" w:rsidRDefault="005070FC" w:rsidP="005070FC"/>
    <w:p w:rsidR="005070FC" w:rsidRDefault="005070FC" w:rsidP="005070FC"/>
    <w:p w:rsidR="005070FC" w:rsidRDefault="005070FC" w:rsidP="005070FC"/>
    <w:p w:rsidR="005070FC" w:rsidRDefault="005070FC" w:rsidP="005070FC">
      <w:pPr>
        <w:rPr>
          <w:rFonts w:ascii="Times New Roman" w:hAnsi="Times New Roman" w:cs="Times New Roman"/>
          <w:b/>
          <w:sz w:val="24"/>
          <w:szCs w:val="24"/>
        </w:rPr>
      </w:pPr>
    </w:p>
    <w:p w:rsidR="005070FC" w:rsidRDefault="005070FC" w:rsidP="005070FC">
      <w:pPr>
        <w:rPr>
          <w:rFonts w:ascii="Times New Roman" w:hAnsi="Times New Roman" w:cs="Times New Roman"/>
          <w:b/>
          <w:sz w:val="24"/>
          <w:szCs w:val="24"/>
        </w:rPr>
      </w:pPr>
    </w:p>
    <w:p w:rsidR="005070FC" w:rsidRDefault="005070FC" w:rsidP="005070FC">
      <w:pPr>
        <w:rPr>
          <w:rFonts w:ascii="Times New Roman" w:hAnsi="Times New Roman" w:cs="Times New Roman"/>
          <w:b/>
          <w:sz w:val="24"/>
          <w:szCs w:val="24"/>
        </w:rPr>
      </w:pPr>
    </w:p>
    <w:p w:rsidR="005070FC" w:rsidRDefault="005070FC" w:rsidP="005070FC">
      <w:pP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Pr="006620FF">
        <w:rPr>
          <w:rFonts w:ascii="Times New Roman" w:hAnsi="Times New Roman" w:cs="Times New Roman"/>
          <w:b/>
          <w:sz w:val="24"/>
          <w:szCs w:val="24"/>
        </w:rPr>
        <w:t xml:space="preserve">FIGURE </w:t>
      </w:r>
      <w:r>
        <w:rPr>
          <w:rFonts w:ascii="Times New Roman" w:hAnsi="Times New Roman" w:cs="Times New Roman"/>
          <w:b/>
          <w:sz w:val="24"/>
          <w:szCs w:val="24"/>
        </w:rPr>
        <w:t>2</w:t>
      </w:r>
    </w:p>
    <w:p w:rsidR="005070FC" w:rsidRDefault="005070FC" w:rsidP="005070FC">
      <w:pPr>
        <w:rPr>
          <w:rFonts w:ascii="Times New Roman" w:hAnsi="Times New Roman" w:cs="Times New Roman"/>
          <w:b/>
          <w:sz w:val="24"/>
          <w:szCs w:val="24"/>
        </w:rPr>
      </w:pPr>
    </w:p>
    <w:p w:rsidR="005070FC" w:rsidRDefault="005070FC" w:rsidP="005070FC">
      <w:pPr>
        <w:rPr>
          <w:rFonts w:ascii="Times New Roman" w:hAnsi="Times New Roman" w:cs="Times New Roman"/>
          <w:b/>
          <w:sz w:val="24"/>
          <w:szCs w:val="24"/>
        </w:rPr>
      </w:pPr>
    </w:p>
    <w:p w:rsidR="005070FC" w:rsidRDefault="005070FC" w:rsidP="005070FC">
      <w:pPr>
        <w:rPr>
          <w:rFonts w:ascii="Times New Roman" w:hAnsi="Times New Roman" w:cs="Times New Roman"/>
          <w:b/>
          <w:sz w:val="24"/>
          <w:szCs w:val="24"/>
        </w:rPr>
      </w:pPr>
    </w:p>
    <w:p w:rsidR="005070FC" w:rsidRDefault="005070FC" w:rsidP="005070FC">
      <w:pPr>
        <w:rPr>
          <w:rFonts w:ascii="Times New Roman" w:hAnsi="Times New Roman" w:cs="Times New Roman"/>
          <w:b/>
          <w:sz w:val="24"/>
          <w:szCs w:val="24"/>
        </w:rPr>
      </w:pPr>
      <w:r w:rsidRPr="001A42AF">
        <w:rPr>
          <w:noProof/>
          <w:sz w:val="24"/>
          <w:szCs w:val="24"/>
          <w:lang w:eastAsia="en-GB"/>
        </w:rPr>
        <w:drawing>
          <wp:inline distT="0" distB="0" distL="0" distR="0" wp14:anchorId="2800A527" wp14:editId="3BCC8556">
            <wp:extent cx="5731510" cy="4038109"/>
            <wp:effectExtent l="0" t="0" r="254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35" t="3666" r="1938" b="4072"/>
                    <a:stretch/>
                  </pic:blipFill>
                  <pic:spPr bwMode="auto">
                    <a:xfrm>
                      <a:off x="0" y="0"/>
                      <a:ext cx="5731510" cy="4038109"/>
                    </a:xfrm>
                    <a:prstGeom prst="rect">
                      <a:avLst/>
                    </a:prstGeom>
                    <a:noFill/>
                    <a:ln>
                      <a:noFill/>
                    </a:ln>
                    <a:extLst>
                      <a:ext uri="{53640926-AAD7-44D8-BBD7-CCE9431645EC}">
                        <a14:shadowObscured xmlns:a14="http://schemas.microsoft.com/office/drawing/2010/main"/>
                      </a:ext>
                    </a:extLst>
                  </pic:spPr>
                </pic:pic>
              </a:graphicData>
            </a:graphic>
          </wp:inline>
        </w:drawing>
      </w:r>
    </w:p>
    <w:p w:rsidR="0009537F" w:rsidRDefault="0009537F" w:rsidP="0009537F">
      <w:pPr>
        <w:spacing w:after="0" w:line="480" w:lineRule="auto"/>
        <w:jc w:val="both"/>
        <w:rPr>
          <w:rFonts w:ascii="Times New Roman" w:hAnsi="Times New Roman" w:cs="Times New Roman"/>
          <w:b/>
          <w:sz w:val="24"/>
          <w:szCs w:val="24"/>
        </w:rPr>
      </w:pPr>
    </w:p>
    <w:p w:rsidR="005070FC" w:rsidRDefault="005070FC" w:rsidP="0009537F">
      <w:pPr>
        <w:spacing w:after="0" w:line="480" w:lineRule="auto"/>
        <w:jc w:val="both"/>
        <w:rPr>
          <w:rFonts w:ascii="Times New Roman" w:hAnsi="Times New Roman" w:cs="Times New Roman"/>
          <w:b/>
          <w:sz w:val="24"/>
          <w:szCs w:val="24"/>
        </w:rPr>
      </w:pPr>
    </w:p>
    <w:p w:rsidR="005070FC" w:rsidRDefault="005070FC" w:rsidP="0009537F">
      <w:pPr>
        <w:spacing w:after="0" w:line="480" w:lineRule="auto"/>
        <w:jc w:val="both"/>
        <w:rPr>
          <w:rFonts w:ascii="Times New Roman" w:hAnsi="Times New Roman" w:cs="Times New Roman"/>
          <w:b/>
          <w:sz w:val="24"/>
          <w:szCs w:val="24"/>
        </w:rPr>
      </w:pPr>
    </w:p>
    <w:p w:rsidR="005070FC" w:rsidRDefault="005070FC" w:rsidP="0009537F">
      <w:pPr>
        <w:spacing w:after="0" w:line="480" w:lineRule="auto"/>
        <w:jc w:val="both"/>
        <w:rPr>
          <w:rFonts w:ascii="Times New Roman" w:hAnsi="Times New Roman" w:cs="Times New Roman"/>
          <w:b/>
          <w:sz w:val="24"/>
          <w:szCs w:val="24"/>
        </w:rPr>
      </w:pPr>
    </w:p>
    <w:p w:rsidR="005070FC" w:rsidRDefault="005070FC" w:rsidP="0009537F">
      <w:pPr>
        <w:spacing w:after="0" w:line="480" w:lineRule="auto"/>
        <w:jc w:val="both"/>
        <w:rPr>
          <w:rFonts w:ascii="Times New Roman" w:hAnsi="Times New Roman" w:cs="Times New Roman"/>
          <w:b/>
          <w:sz w:val="24"/>
          <w:szCs w:val="24"/>
        </w:rPr>
      </w:pPr>
    </w:p>
    <w:p w:rsidR="005070FC" w:rsidRDefault="005070FC" w:rsidP="0009537F">
      <w:pPr>
        <w:spacing w:after="0" w:line="480" w:lineRule="auto"/>
        <w:jc w:val="both"/>
        <w:rPr>
          <w:rFonts w:ascii="Times New Roman" w:hAnsi="Times New Roman" w:cs="Times New Roman"/>
          <w:b/>
          <w:sz w:val="24"/>
          <w:szCs w:val="24"/>
        </w:rPr>
      </w:pPr>
    </w:p>
    <w:p w:rsidR="005070FC" w:rsidRDefault="005070FC" w:rsidP="0009537F">
      <w:pPr>
        <w:spacing w:after="0" w:line="480" w:lineRule="auto"/>
        <w:jc w:val="both"/>
        <w:rPr>
          <w:rFonts w:ascii="Times New Roman" w:hAnsi="Times New Roman" w:cs="Times New Roman"/>
          <w:b/>
          <w:sz w:val="24"/>
          <w:szCs w:val="24"/>
        </w:rPr>
      </w:pPr>
    </w:p>
    <w:p w:rsidR="005070FC" w:rsidRDefault="005070FC" w:rsidP="0009537F">
      <w:pPr>
        <w:spacing w:after="0" w:line="480" w:lineRule="auto"/>
        <w:jc w:val="both"/>
        <w:rPr>
          <w:rFonts w:ascii="Times New Roman" w:hAnsi="Times New Roman" w:cs="Times New Roman"/>
          <w:b/>
          <w:sz w:val="24"/>
          <w:szCs w:val="24"/>
        </w:rPr>
      </w:pPr>
    </w:p>
    <w:p w:rsidR="005070FC" w:rsidRDefault="005070FC" w:rsidP="0009537F">
      <w:pPr>
        <w:spacing w:after="0" w:line="480" w:lineRule="auto"/>
        <w:jc w:val="both"/>
        <w:rPr>
          <w:rFonts w:ascii="Times New Roman" w:hAnsi="Times New Roman" w:cs="Times New Roman"/>
          <w:b/>
          <w:sz w:val="24"/>
          <w:szCs w:val="24"/>
        </w:rPr>
      </w:pPr>
    </w:p>
    <w:p w:rsidR="00D73E4A" w:rsidRDefault="00D73E4A" w:rsidP="0009537F">
      <w:pPr>
        <w:spacing w:after="0" w:line="480" w:lineRule="auto"/>
        <w:jc w:val="both"/>
        <w:rPr>
          <w:rFonts w:ascii="Times New Roman" w:hAnsi="Times New Roman" w:cs="Times New Roman"/>
          <w:b/>
          <w:sz w:val="24"/>
          <w:szCs w:val="24"/>
        </w:rPr>
      </w:pPr>
    </w:p>
    <w:p w:rsidR="00D73E4A" w:rsidRPr="00D73E4A" w:rsidRDefault="00D73E4A" w:rsidP="00D73E4A">
      <w:pPr>
        <w:spacing w:after="0" w:line="240" w:lineRule="auto"/>
        <w:rPr>
          <w:rFonts w:ascii="Calibri" w:hAnsi="Calibri"/>
          <w:szCs w:val="21"/>
        </w:rPr>
      </w:pPr>
    </w:p>
    <w:tbl>
      <w:tblPr>
        <w:tblW w:w="10201" w:type="dxa"/>
        <w:tblLayout w:type="fixed"/>
        <w:tblCellMar>
          <w:left w:w="0" w:type="dxa"/>
          <w:right w:w="0" w:type="dxa"/>
        </w:tblCellMar>
        <w:tblLook w:val="0600" w:firstRow="0" w:lastRow="0" w:firstColumn="0" w:lastColumn="0" w:noHBand="1" w:noVBand="1"/>
      </w:tblPr>
      <w:tblGrid>
        <w:gridCol w:w="3823"/>
        <w:gridCol w:w="2551"/>
        <w:gridCol w:w="2552"/>
        <w:gridCol w:w="1275"/>
      </w:tblGrid>
      <w:tr w:rsidR="00D73E4A" w:rsidRPr="00D73E4A" w:rsidTr="003F1044">
        <w:trPr>
          <w:trHeight w:val="19"/>
        </w:trPr>
        <w:tc>
          <w:tcPr>
            <w:tcW w:w="10201" w:type="dxa"/>
            <w:gridSpan w:val="4"/>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 xml:space="preserve">Supplementary Table 1: </w:t>
            </w:r>
            <w:r w:rsidRPr="00D73E4A">
              <w:rPr>
                <w:rFonts w:ascii="Times New Roman" w:hAnsi="Times New Roman" w:cs="Times New Roman"/>
                <w:bCs/>
                <w:sz w:val="20"/>
                <w:szCs w:val="20"/>
              </w:rPr>
              <w:t>Patient demographics</w:t>
            </w:r>
          </w:p>
        </w:tc>
      </w:tr>
      <w:tr w:rsidR="00D73E4A" w:rsidRPr="00D73E4A" w:rsidTr="003F1044">
        <w:trPr>
          <w:trHeight w:val="19"/>
        </w:trPr>
        <w:tc>
          <w:tcPr>
            <w:tcW w:w="3823"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Variables</w:t>
            </w:r>
          </w:p>
        </w:tc>
        <w:tc>
          <w:tcPr>
            <w:tcW w:w="2551"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b/>
                <w:bCs/>
                <w:sz w:val="20"/>
                <w:szCs w:val="20"/>
              </w:rPr>
              <w:t>CLD (N=288)</w:t>
            </w:r>
          </w:p>
        </w:tc>
        <w:tc>
          <w:tcPr>
            <w:tcW w:w="2552"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b/>
                <w:bCs/>
                <w:sz w:val="20"/>
                <w:szCs w:val="20"/>
              </w:rPr>
              <w:t>HCC (N=493)</w:t>
            </w:r>
          </w:p>
        </w:tc>
        <w:tc>
          <w:tcPr>
            <w:tcW w:w="1275"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b/>
                <w:bCs/>
                <w:sz w:val="20"/>
                <w:szCs w:val="20"/>
              </w:rPr>
              <w:t>p-value (CLD vs HCC)</w:t>
            </w:r>
          </w:p>
        </w:tc>
      </w:tr>
      <w:tr w:rsidR="00D73E4A" w:rsidRPr="00D73E4A" w:rsidTr="003F1044">
        <w:trPr>
          <w:trHeight w:val="19"/>
        </w:trPr>
        <w:tc>
          <w:tcPr>
            <w:tcW w:w="3823" w:type="dxa"/>
            <w:tcBorders>
              <w:top w:val="single" w:sz="4" w:space="0" w:color="auto"/>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Age, years</w:t>
            </w:r>
          </w:p>
        </w:tc>
        <w:tc>
          <w:tcPr>
            <w:tcW w:w="2551" w:type="dxa"/>
            <w:tcBorders>
              <w:top w:val="single" w:sz="4" w:space="0" w:color="auto"/>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52.39 (44.29, 60.79), n=288</w:t>
            </w:r>
          </w:p>
        </w:tc>
        <w:tc>
          <w:tcPr>
            <w:tcW w:w="2552" w:type="dxa"/>
            <w:tcBorders>
              <w:top w:val="single" w:sz="4" w:space="0" w:color="auto"/>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65.54 (58.67, 73.06), n=493</w:t>
            </w:r>
          </w:p>
        </w:tc>
        <w:tc>
          <w:tcPr>
            <w:tcW w:w="1275" w:type="dxa"/>
            <w:tcBorders>
              <w:top w:val="single" w:sz="4" w:space="0" w:color="auto"/>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 xml:space="preserve">Male, </w:t>
            </w:r>
            <w:proofErr w:type="gramStart"/>
            <w:r w:rsidRPr="00D73E4A">
              <w:rPr>
                <w:rFonts w:ascii="Times New Roman" w:hAnsi="Times New Roman" w:cs="Times New Roman"/>
                <w:b/>
                <w:bCs/>
                <w:sz w:val="20"/>
                <w:szCs w:val="20"/>
              </w:rPr>
              <w:t>n(</w:t>
            </w:r>
            <w:proofErr w:type="gramEnd"/>
            <w:r w:rsidRPr="00D73E4A">
              <w:rPr>
                <w:rFonts w:ascii="Times New Roman" w:hAnsi="Times New Roman" w:cs="Times New Roman"/>
                <w:b/>
                <w:bCs/>
                <w:sz w:val="20"/>
                <w:szCs w:val="20"/>
              </w:rPr>
              <w:t>%)</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182 (63.19),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394 (79.92), n=493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rPr>
                <w:rFonts w:ascii="Times New Roman" w:hAnsi="Times New Roman" w:cs="Times New Roman"/>
                <w:sz w:val="20"/>
                <w:szCs w:val="20"/>
              </w:rPr>
            </w:pP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56" w:lineRule="auto"/>
              <w:rPr>
                <w:sz w:val="20"/>
                <w:szCs w:val="20"/>
                <w:lang w:eastAsia="en-GB"/>
              </w:rPr>
            </w:pP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56" w:lineRule="auto"/>
              <w:rPr>
                <w:sz w:val="20"/>
                <w:szCs w:val="20"/>
                <w:lang w:eastAsia="en-GB"/>
              </w:rPr>
            </w:pP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56" w:lineRule="auto"/>
              <w:rPr>
                <w:sz w:val="20"/>
                <w:szCs w:val="20"/>
                <w:lang w:eastAsia="en-GB"/>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 xml:space="preserve">Aetiology, </w:t>
            </w:r>
            <w:proofErr w:type="gramStart"/>
            <w:r w:rsidRPr="00D73E4A">
              <w:rPr>
                <w:rFonts w:ascii="Times New Roman" w:hAnsi="Times New Roman" w:cs="Times New Roman"/>
                <w:b/>
                <w:bCs/>
                <w:sz w:val="20"/>
                <w:szCs w:val="20"/>
              </w:rPr>
              <w:t>n(</w:t>
            </w:r>
            <w:proofErr w:type="gramEnd"/>
            <w:r w:rsidRPr="00D73E4A">
              <w:rPr>
                <w:rFonts w:ascii="Times New Roman" w:hAnsi="Times New Roman" w:cs="Times New Roman"/>
                <w:b/>
                <w:bCs/>
                <w:sz w:val="20"/>
                <w:szCs w:val="20"/>
              </w:rPr>
              <w:t>%)</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n=493</w:t>
            </w:r>
          </w:p>
        </w:tc>
        <w:tc>
          <w:tcPr>
            <w:tcW w:w="1275" w:type="dxa"/>
            <w:vMerge w:val="restar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sz w:val="20"/>
                <w:szCs w:val="20"/>
              </w:rPr>
              <w:t xml:space="preserve">                     Hepatitis C</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94 (32.64)</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93 (18.86)</w:t>
            </w: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rsidR="00D73E4A" w:rsidRPr="00D73E4A" w:rsidRDefault="00D73E4A" w:rsidP="00D73E4A">
            <w:pPr>
              <w:spacing w:after="0" w:line="256" w:lineRule="auto"/>
              <w:rPr>
                <w:rFonts w:ascii="Times New Roman" w:hAnsi="Times New Roman" w:cs="Times New Roman"/>
                <w:sz w:val="20"/>
                <w:szCs w:val="20"/>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sz w:val="20"/>
                <w:szCs w:val="20"/>
              </w:rPr>
              <w:t xml:space="preserve">                     Hepatitis B</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57 (19.79)</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42 (8.52)</w:t>
            </w: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rsidR="00D73E4A" w:rsidRPr="00D73E4A" w:rsidRDefault="00D73E4A" w:rsidP="00D73E4A">
            <w:pPr>
              <w:spacing w:after="0" w:line="256" w:lineRule="auto"/>
              <w:rPr>
                <w:rFonts w:ascii="Times New Roman" w:hAnsi="Times New Roman" w:cs="Times New Roman"/>
                <w:sz w:val="20"/>
                <w:szCs w:val="20"/>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sz w:val="20"/>
                <w:szCs w:val="20"/>
              </w:rPr>
              <w:t xml:space="preserve">                     Alcohol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47 (16.32)</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134 (27.18)</w:t>
            </w: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rsidR="00D73E4A" w:rsidRPr="00D73E4A" w:rsidRDefault="00D73E4A" w:rsidP="00D73E4A">
            <w:pPr>
              <w:spacing w:after="0" w:line="256" w:lineRule="auto"/>
              <w:rPr>
                <w:rFonts w:ascii="Times New Roman" w:hAnsi="Times New Roman" w:cs="Times New Roman"/>
                <w:sz w:val="20"/>
                <w:szCs w:val="20"/>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sz w:val="20"/>
                <w:szCs w:val="20"/>
              </w:rPr>
              <w:t xml:space="preserve">                     Other</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90 (31.25)</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224 (45.44)</w:t>
            </w: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rsidR="00D73E4A" w:rsidRPr="00D73E4A" w:rsidRDefault="00D73E4A" w:rsidP="00D73E4A">
            <w:pPr>
              <w:spacing w:after="0" w:line="256" w:lineRule="auto"/>
              <w:rPr>
                <w:rFonts w:ascii="Times New Roman" w:hAnsi="Times New Roman" w:cs="Times New Roman"/>
                <w:sz w:val="20"/>
                <w:szCs w:val="20"/>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rPr>
                <w:rFonts w:ascii="Times New Roman" w:hAnsi="Times New Roman" w:cs="Times New Roman"/>
                <w:sz w:val="20"/>
                <w:szCs w:val="20"/>
              </w:rPr>
            </w:pP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56" w:lineRule="auto"/>
              <w:rPr>
                <w:sz w:val="20"/>
                <w:szCs w:val="20"/>
                <w:lang w:eastAsia="en-GB"/>
              </w:rPr>
            </w:pP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56" w:lineRule="auto"/>
              <w:rPr>
                <w:sz w:val="20"/>
                <w:szCs w:val="20"/>
                <w:lang w:eastAsia="en-GB"/>
              </w:rPr>
            </w:pP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56" w:lineRule="auto"/>
              <w:rPr>
                <w:sz w:val="20"/>
                <w:szCs w:val="20"/>
                <w:lang w:eastAsia="en-GB"/>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 xml:space="preserve">Child-Pugh grade, </w:t>
            </w:r>
            <w:proofErr w:type="gramStart"/>
            <w:r w:rsidRPr="00D73E4A">
              <w:rPr>
                <w:rFonts w:ascii="Times New Roman" w:hAnsi="Times New Roman" w:cs="Times New Roman"/>
                <w:b/>
                <w:bCs/>
                <w:sz w:val="20"/>
                <w:szCs w:val="20"/>
              </w:rPr>
              <w:t>n(</w:t>
            </w:r>
            <w:proofErr w:type="gramEnd"/>
            <w:r w:rsidRPr="00D73E4A">
              <w:rPr>
                <w:rFonts w:ascii="Times New Roman" w:hAnsi="Times New Roman" w:cs="Times New Roman"/>
                <w:b/>
                <w:bCs/>
                <w:sz w:val="20"/>
                <w:szCs w:val="20"/>
              </w:rPr>
              <w:t>%)</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n=287</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n=486</w:t>
            </w:r>
          </w:p>
        </w:tc>
        <w:tc>
          <w:tcPr>
            <w:tcW w:w="1275" w:type="dxa"/>
            <w:vMerge w:val="restar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sz w:val="20"/>
                <w:szCs w:val="20"/>
              </w:rPr>
              <w:t xml:space="preserve">                     A</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265 (92.33)</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358 (73.66)</w:t>
            </w: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rsidR="00D73E4A" w:rsidRPr="00D73E4A" w:rsidRDefault="00D73E4A" w:rsidP="00D73E4A">
            <w:pPr>
              <w:spacing w:after="0" w:line="256" w:lineRule="auto"/>
              <w:rPr>
                <w:rFonts w:ascii="Times New Roman" w:hAnsi="Times New Roman" w:cs="Times New Roman"/>
                <w:sz w:val="20"/>
                <w:szCs w:val="20"/>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sz w:val="20"/>
                <w:szCs w:val="20"/>
              </w:rPr>
              <w:t xml:space="preserve">                     B</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21 (7.32)</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106 (21.81)</w:t>
            </w: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rsidR="00D73E4A" w:rsidRPr="00D73E4A" w:rsidRDefault="00D73E4A" w:rsidP="00D73E4A">
            <w:pPr>
              <w:spacing w:after="0" w:line="256" w:lineRule="auto"/>
              <w:rPr>
                <w:rFonts w:ascii="Times New Roman" w:hAnsi="Times New Roman" w:cs="Times New Roman"/>
                <w:sz w:val="20"/>
                <w:szCs w:val="20"/>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sz w:val="20"/>
                <w:szCs w:val="20"/>
              </w:rPr>
              <w:t xml:space="preserve">                     C</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 (0.35)</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22 (4.53)</w:t>
            </w:r>
          </w:p>
        </w:tc>
        <w:tc>
          <w:tcPr>
            <w:tcW w:w="1275" w:type="dxa"/>
            <w:vMerge/>
            <w:tcBorders>
              <w:top w:val="single" w:sz="8" w:space="0" w:color="000000"/>
              <w:left w:val="single" w:sz="8" w:space="0" w:color="000000"/>
              <w:bottom w:val="single" w:sz="8" w:space="0" w:color="000000"/>
              <w:right w:val="single" w:sz="8" w:space="0" w:color="000000"/>
            </w:tcBorders>
            <w:vAlign w:val="center"/>
            <w:hideMark/>
          </w:tcPr>
          <w:p w:rsidR="00D73E4A" w:rsidRPr="00D73E4A" w:rsidRDefault="00D73E4A" w:rsidP="00D73E4A">
            <w:pPr>
              <w:spacing w:after="0" w:line="256" w:lineRule="auto"/>
              <w:rPr>
                <w:rFonts w:ascii="Times New Roman" w:hAnsi="Times New Roman" w:cs="Times New Roman"/>
                <w:sz w:val="20"/>
                <w:szCs w:val="20"/>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rPr>
                <w:rFonts w:ascii="Times New Roman" w:hAnsi="Times New Roman" w:cs="Times New Roman"/>
                <w:sz w:val="20"/>
                <w:szCs w:val="20"/>
              </w:rPr>
            </w:pP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56" w:lineRule="auto"/>
              <w:rPr>
                <w:sz w:val="20"/>
                <w:szCs w:val="20"/>
                <w:lang w:eastAsia="en-GB"/>
              </w:rPr>
            </w:pP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56" w:lineRule="auto"/>
              <w:rPr>
                <w:sz w:val="20"/>
                <w:szCs w:val="20"/>
                <w:lang w:eastAsia="en-GB"/>
              </w:rPr>
            </w:pP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56" w:lineRule="auto"/>
              <w:rPr>
                <w:sz w:val="20"/>
                <w:szCs w:val="20"/>
                <w:lang w:eastAsia="en-GB"/>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Albumin, g/l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44 (42, 46),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39 (34, 43), n=493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Bilirubin, µmol/l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11 (8, 17),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16 (10, 30), n=492</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International normalised ratio (INR)</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1.00 (1.00, 1.10), n=284</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1.10 (1.00, 1.30), n=485</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Creatinine, µmol/l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72 (63, 85),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85 (69, 104), n=491</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Haemoglobin, g/l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13.90 (12.60, 15.10),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12.90 (11.60, 14.20), n=492</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Total white blood cell (WBC) count, x10</w:t>
            </w:r>
            <w:r w:rsidRPr="00D73E4A">
              <w:rPr>
                <w:rFonts w:ascii="Times New Roman" w:hAnsi="Times New Roman" w:cs="Times New Roman"/>
                <w:b/>
                <w:bCs/>
                <w:sz w:val="20"/>
                <w:szCs w:val="20"/>
                <w:vertAlign w:val="superscript"/>
              </w:rPr>
              <w:t>9</w:t>
            </w:r>
            <w:r w:rsidRPr="00D73E4A">
              <w:rPr>
                <w:rFonts w:ascii="Times New Roman" w:hAnsi="Times New Roman" w:cs="Times New Roman"/>
                <w:b/>
                <w:bCs/>
                <w:sz w:val="20"/>
                <w:szCs w:val="20"/>
              </w:rPr>
              <w:t>/l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5.60 (4.50, 7.10),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6.20 (4.60, 8.00), n=493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0.0022</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Neutrophil count, x10</w:t>
            </w:r>
            <w:r w:rsidRPr="00D73E4A">
              <w:rPr>
                <w:rFonts w:ascii="Times New Roman" w:hAnsi="Times New Roman" w:cs="Times New Roman"/>
                <w:b/>
                <w:bCs/>
                <w:sz w:val="20"/>
                <w:szCs w:val="20"/>
                <w:vertAlign w:val="superscript"/>
              </w:rPr>
              <w:t>9</w:t>
            </w:r>
            <w:r w:rsidRPr="00D73E4A">
              <w:rPr>
                <w:rFonts w:ascii="Times New Roman" w:hAnsi="Times New Roman" w:cs="Times New Roman"/>
                <w:b/>
                <w:bCs/>
                <w:sz w:val="20"/>
                <w:szCs w:val="20"/>
              </w:rPr>
              <w:t>/l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3.20 (2.40, 4.40),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3.80 (2.80, 5.30), n=493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Lymphocyte count, x10</w:t>
            </w:r>
            <w:r w:rsidRPr="00D73E4A">
              <w:rPr>
                <w:rFonts w:ascii="Times New Roman" w:hAnsi="Times New Roman" w:cs="Times New Roman"/>
                <w:b/>
                <w:bCs/>
                <w:sz w:val="20"/>
                <w:szCs w:val="20"/>
                <w:vertAlign w:val="superscript"/>
              </w:rPr>
              <w:t>9</w:t>
            </w:r>
            <w:r w:rsidRPr="00D73E4A">
              <w:rPr>
                <w:rFonts w:ascii="Times New Roman" w:hAnsi="Times New Roman" w:cs="Times New Roman"/>
                <w:b/>
                <w:bCs/>
                <w:sz w:val="20"/>
                <w:szCs w:val="20"/>
              </w:rPr>
              <w:t>/l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1.60 (1.20, 2.10),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1.30 (1.00, 1.80), n=493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Platelets, x10</w:t>
            </w:r>
            <w:r w:rsidRPr="00D73E4A">
              <w:rPr>
                <w:rFonts w:ascii="Times New Roman" w:hAnsi="Times New Roman" w:cs="Times New Roman"/>
                <w:b/>
                <w:bCs/>
                <w:sz w:val="20"/>
                <w:szCs w:val="20"/>
                <w:vertAlign w:val="superscript"/>
              </w:rPr>
              <w:t>9</w:t>
            </w:r>
            <w:r w:rsidRPr="00D73E4A">
              <w:rPr>
                <w:rFonts w:ascii="Times New Roman" w:hAnsi="Times New Roman" w:cs="Times New Roman"/>
                <w:b/>
                <w:bCs/>
                <w:sz w:val="20"/>
                <w:szCs w:val="20"/>
              </w:rPr>
              <w:t>/l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202 (135, 250),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156 (100, 239), n=491</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0.0003</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Neutrophil-to-lymphocyte ratio (NLR)</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2.00 (1.44, 3.09),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2.79 (1.89, 4.18), n=493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Alpha-fetoprotein (AFP), ng/ml</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2.80 (2.10, 4.65),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33.90 (6.00, 633.00), n=479</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 xml:space="preserve">Solitary tumours </w:t>
            </w:r>
            <w:proofErr w:type="gramStart"/>
            <w:r w:rsidRPr="00D73E4A">
              <w:rPr>
                <w:rFonts w:ascii="Times New Roman" w:hAnsi="Times New Roman" w:cs="Times New Roman"/>
                <w:b/>
                <w:bCs/>
                <w:sz w:val="20"/>
                <w:szCs w:val="20"/>
              </w:rPr>
              <w:t>n(</w:t>
            </w:r>
            <w:proofErr w:type="gramEnd"/>
            <w:r w:rsidRPr="00D73E4A">
              <w:rPr>
                <w:rFonts w:ascii="Times New Roman" w:hAnsi="Times New Roman" w:cs="Times New Roman"/>
                <w:b/>
                <w:bCs/>
                <w:sz w:val="20"/>
                <w:szCs w:val="20"/>
              </w:rPr>
              <w:t>%)</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253 (52.82), n=479</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NA</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Tumour size, cm</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4.60 (3.00, 8.00), n=436</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NA</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 xml:space="preserve">Vascular invasion, </w:t>
            </w:r>
            <w:proofErr w:type="gramStart"/>
            <w:r w:rsidRPr="00D73E4A">
              <w:rPr>
                <w:rFonts w:ascii="Times New Roman" w:hAnsi="Times New Roman" w:cs="Times New Roman"/>
                <w:b/>
                <w:bCs/>
                <w:sz w:val="20"/>
                <w:szCs w:val="20"/>
              </w:rPr>
              <w:t>n(</w:t>
            </w:r>
            <w:proofErr w:type="gramEnd"/>
            <w:r w:rsidRPr="00D73E4A">
              <w:rPr>
                <w:rFonts w:ascii="Times New Roman" w:hAnsi="Times New Roman" w:cs="Times New Roman"/>
                <w:b/>
                <w:bCs/>
                <w:sz w:val="20"/>
                <w:szCs w:val="20"/>
              </w:rPr>
              <w:t>%)</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118 (24.74), n=477</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NA</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 xml:space="preserve">Extra-hepatic disease (EHD), </w:t>
            </w:r>
            <w:proofErr w:type="gramStart"/>
            <w:r w:rsidRPr="00D73E4A">
              <w:rPr>
                <w:rFonts w:ascii="Times New Roman" w:hAnsi="Times New Roman" w:cs="Times New Roman"/>
                <w:b/>
                <w:bCs/>
                <w:sz w:val="20"/>
                <w:szCs w:val="20"/>
              </w:rPr>
              <w:t>n(</w:t>
            </w:r>
            <w:proofErr w:type="gramEnd"/>
            <w:r w:rsidRPr="00D73E4A">
              <w:rPr>
                <w:rFonts w:ascii="Times New Roman" w:hAnsi="Times New Roman" w:cs="Times New Roman"/>
                <w:b/>
                <w:bCs/>
                <w:sz w:val="20"/>
                <w:szCs w:val="20"/>
              </w:rPr>
              <w:t>%)</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46 (9.45), N=487</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b/>
                <w:bCs/>
                <w:color w:val="FF0000"/>
                <w:sz w:val="20"/>
                <w:szCs w:val="20"/>
              </w:rPr>
            </w:pPr>
            <w:r w:rsidRPr="00D73E4A">
              <w:rPr>
                <w:rFonts w:ascii="Times New Roman" w:hAnsi="Times New Roman" w:cs="Times New Roman"/>
                <w:b/>
                <w:bCs/>
                <w:sz w:val="20"/>
                <w:szCs w:val="20"/>
              </w:rPr>
              <w:t>Cirrhosis</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r w:rsidRPr="00D73E4A">
              <w:rPr>
                <w:rFonts w:ascii="Times New Roman" w:hAnsi="Times New Roman" w:cs="Times New Roman"/>
                <w:sz w:val="20"/>
                <w:szCs w:val="20"/>
                <w:lang w:val="pt-BR"/>
              </w:rPr>
              <w:t>77</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r w:rsidRPr="00D73E4A">
              <w:rPr>
                <w:rFonts w:ascii="Times New Roman" w:hAnsi="Times New Roman" w:cs="Times New Roman"/>
                <w:sz w:val="20"/>
                <w:szCs w:val="20"/>
                <w:lang w:val="pt-BR"/>
              </w:rPr>
              <w:t>88</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BCLC</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n=470</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Cs/>
                <w:sz w:val="20"/>
                <w:szCs w:val="20"/>
              </w:rPr>
            </w:pPr>
            <w:r w:rsidRPr="00D73E4A">
              <w:rPr>
                <w:rFonts w:ascii="Times New Roman" w:hAnsi="Times New Roman" w:cs="Times New Roman"/>
                <w:bCs/>
                <w:sz w:val="20"/>
                <w:szCs w:val="20"/>
              </w:rPr>
              <w:t xml:space="preserve">                     0/A</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48 (10.21)</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Cs/>
                <w:sz w:val="20"/>
                <w:szCs w:val="20"/>
              </w:rPr>
            </w:pPr>
            <w:r w:rsidRPr="00D73E4A">
              <w:rPr>
                <w:rFonts w:ascii="Times New Roman" w:hAnsi="Times New Roman" w:cs="Times New Roman"/>
                <w:bCs/>
                <w:sz w:val="20"/>
                <w:szCs w:val="20"/>
              </w:rPr>
              <w:t xml:space="preserve">                     B</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40 (8.51)</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Cs/>
                <w:sz w:val="20"/>
                <w:szCs w:val="20"/>
              </w:rPr>
            </w:pPr>
            <w:r w:rsidRPr="00D73E4A">
              <w:rPr>
                <w:rFonts w:ascii="Times New Roman" w:hAnsi="Times New Roman" w:cs="Times New Roman"/>
                <w:bCs/>
                <w:sz w:val="20"/>
                <w:szCs w:val="20"/>
              </w:rPr>
              <w:t xml:space="preserve">                     C</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344 (73.19)</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Cs/>
                <w:sz w:val="20"/>
                <w:szCs w:val="20"/>
              </w:rPr>
            </w:pPr>
            <w:r w:rsidRPr="00D73E4A">
              <w:rPr>
                <w:rFonts w:ascii="Times New Roman" w:hAnsi="Times New Roman" w:cs="Times New Roman"/>
                <w:bCs/>
                <w:sz w:val="20"/>
                <w:szCs w:val="20"/>
              </w:rPr>
              <w:t xml:space="preserve">                     D</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38 (8.09)</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r>
      <w:tr w:rsidR="00D73E4A" w:rsidRPr="00D73E4A" w:rsidTr="003F1044">
        <w:trPr>
          <w:trHeight w:val="108"/>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b/>
                <w:bCs/>
                <w:color w:val="FF0000"/>
                <w:sz w:val="20"/>
                <w:szCs w:val="20"/>
              </w:rPr>
            </w:pPr>
            <w:r w:rsidRPr="00D73E4A">
              <w:rPr>
                <w:rFonts w:ascii="Times New Roman" w:hAnsi="Times New Roman" w:cs="Times New Roman"/>
                <w:b/>
                <w:bCs/>
                <w:sz w:val="20"/>
                <w:szCs w:val="20"/>
              </w:rPr>
              <w:t>Treatment (%)</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color w:val="FF0000"/>
                <w:sz w:val="20"/>
                <w:szCs w:val="20"/>
                <w:lang w:val="pt-BR"/>
              </w:rPr>
            </w:pP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p>
        </w:tc>
      </w:tr>
      <w:tr w:rsidR="00D73E4A" w:rsidRPr="00D73E4A" w:rsidTr="003F1044">
        <w:trPr>
          <w:trHeight w:val="108"/>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Potentially curative</w:t>
            </w:r>
          </w:p>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Transplantation ;Resection : Ablation</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3; 3;12</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p>
        </w:tc>
      </w:tr>
      <w:tr w:rsidR="00D73E4A" w:rsidRPr="00D73E4A" w:rsidTr="003F1044">
        <w:trPr>
          <w:trHeight w:val="108"/>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Palliative</w:t>
            </w:r>
          </w:p>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TACE/TAE ; Systemic therapy</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40:24</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p>
        </w:tc>
      </w:tr>
      <w:tr w:rsidR="00D73E4A" w:rsidRPr="00D73E4A" w:rsidTr="003F1044">
        <w:trPr>
          <w:trHeight w:val="108"/>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Best supportive care</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15</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p>
        </w:tc>
      </w:tr>
      <w:tr w:rsidR="00D73E4A" w:rsidRPr="00D73E4A" w:rsidTr="003F1044">
        <w:trPr>
          <w:trHeight w:val="108"/>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 xml:space="preserve">Not known </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sz w:val="20"/>
                <w:szCs w:val="20"/>
                <w:lang w:val="pt-BR"/>
              </w:rPr>
            </w:pPr>
            <w:r w:rsidRPr="00D73E4A">
              <w:rPr>
                <w:rFonts w:ascii="Times New Roman" w:hAnsi="Times New Roman" w:cs="Times New Roman"/>
                <w:sz w:val="20"/>
                <w:szCs w:val="20"/>
                <w:lang w:val="pt-BR"/>
              </w:rPr>
              <w:t>NA</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color w:val="FF0000"/>
                <w:sz w:val="20"/>
                <w:szCs w:val="20"/>
                <w:lang w:val="pt-BR"/>
              </w:rPr>
            </w:pPr>
          </w:p>
        </w:tc>
      </w:tr>
      <w:tr w:rsidR="00D73E4A" w:rsidRPr="00D73E4A" w:rsidTr="003F1044">
        <w:trPr>
          <w:trHeight w:val="108"/>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b/>
                <w:bCs/>
                <w:sz w:val="20"/>
                <w:szCs w:val="20"/>
              </w:rPr>
            </w:pP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rPr>
                <w:rFonts w:ascii="Times New Roman" w:hAnsi="Times New Roman" w:cs="Times New Roman"/>
                <w:sz w:val="20"/>
                <w:szCs w:val="20"/>
                <w:lang w:val="pt-BR"/>
              </w:rPr>
            </w:pP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sz w:val="20"/>
                <w:szCs w:val="20"/>
                <w:lang w:val="pt-BR"/>
              </w:rPr>
            </w:pP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rsidR="00D73E4A" w:rsidRPr="00D73E4A" w:rsidRDefault="00D73E4A" w:rsidP="00D73E4A">
            <w:pPr>
              <w:spacing w:after="0" w:line="240" w:lineRule="auto"/>
              <w:jc w:val="center"/>
              <w:rPr>
                <w:rFonts w:ascii="Times New Roman" w:hAnsi="Times New Roman" w:cs="Times New Roman"/>
                <w:sz w:val="20"/>
                <w:szCs w:val="20"/>
                <w:lang w:val="pt-BR"/>
              </w:rPr>
            </w:pP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 xml:space="preserve">Death, </w:t>
            </w:r>
            <w:proofErr w:type="gramStart"/>
            <w:r w:rsidRPr="00D73E4A">
              <w:rPr>
                <w:rFonts w:ascii="Times New Roman" w:hAnsi="Times New Roman" w:cs="Times New Roman"/>
                <w:b/>
                <w:bCs/>
                <w:sz w:val="20"/>
                <w:szCs w:val="20"/>
              </w:rPr>
              <w:t>n(</w:t>
            </w:r>
            <w:proofErr w:type="gramEnd"/>
            <w:r w:rsidRPr="00D73E4A">
              <w:rPr>
                <w:rFonts w:ascii="Times New Roman" w:hAnsi="Times New Roman" w:cs="Times New Roman"/>
                <w:b/>
                <w:bCs/>
                <w:sz w:val="20"/>
                <w:szCs w:val="20"/>
              </w:rPr>
              <w:t>%)</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40 (13.89),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442 (89.66), n=493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sz w:val="20"/>
                <w:szCs w:val="20"/>
              </w:rPr>
            </w:pPr>
            <w:r w:rsidRPr="00D73E4A">
              <w:rPr>
                <w:rFonts w:ascii="Times New Roman" w:hAnsi="Times New Roman" w:cs="Times New Roman"/>
                <w:b/>
                <w:bCs/>
                <w:sz w:val="20"/>
                <w:szCs w:val="20"/>
              </w:rPr>
              <w:t>Median follow-up time, months (95% CI)</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75.76 (74.01, 79.44),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97.27 (79.93, 105.95), n=493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rPr>
            </w:pPr>
            <w:r w:rsidRPr="00D73E4A">
              <w:rPr>
                <w:rFonts w:ascii="Times New Roman" w:hAnsi="Times New Roman" w:cs="Times New Roman"/>
                <w:sz w:val="20"/>
                <w:szCs w:val="20"/>
                <w:lang w:val="pt-BR"/>
              </w:rPr>
              <w:t>&lt;0.0001</w:t>
            </w:r>
          </w:p>
        </w:tc>
      </w:tr>
      <w:tr w:rsidR="00D73E4A" w:rsidRPr="00D73E4A" w:rsidTr="003F1044">
        <w:trPr>
          <w:trHeight w:val="19"/>
        </w:trPr>
        <w:tc>
          <w:tcPr>
            <w:tcW w:w="3823"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rPr>
                <w:rFonts w:ascii="Times New Roman" w:hAnsi="Times New Roman" w:cs="Times New Roman"/>
                <w:b/>
                <w:bCs/>
                <w:sz w:val="20"/>
                <w:szCs w:val="20"/>
              </w:rPr>
            </w:pPr>
            <w:r w:rsidRPr="00D73E4A">
              <w:rPr>
                <w:rFonts w:ascii="Times New Roman" w:hAnsi="Times New Roman" w:cs="Times New Roman"/>
                <w:b/>
                <w:bCs/>
                <w:sz w:val="20"/>
                <w:szCs w:val="20"/>
              </w:rPr>
              <w:t>Median overall survival, months (95% CI)</w:t>
            </w:r>
          </w:p>
        </w:tc>
        <w:tc>
          <w:tcPr>
            <w:tcW w:w="2551"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Not reached, n=288</w:t>
            </w:r>
          </w:p>
        </w:tc>
        <w:tc>
          <w:tcPr>
            <w:tcW w:w="255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12.60 (10.23, 14.51), n=493</w:t>
            </w:r>
          </w:p>
        </w:tc>
        <w:tc>
          <w:tcPr>
            <w:tcW w:w="1275"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center"/>
              <w:rPr>
                <w:rFonts w:ascii="Times New Roman" w:hAnsi="Times New Roman" w:cs="Times New Roman"/>
                <w:sz w:val="20"/>
                <w:szCs w:val="20"/>
                <w:lang w:val="pt-BR"/>
              </w:rPr>
            </w:pPr>
            <w:r w:rsidRPr="00D73E4A">
              <w:rPr>
                <w:rFonts w:ascii="Times New Roman" w:hAnsi="Times New Roman" w:cs="Times New Roman"/>
                <w:sz w:val="20"/>
                <w:szCs w:val="20"/>
                <w:lang w:val="pt-BR"/>
              </w:rPr>
              <w:t>&lt;0.0001</w:t>
            </w:r>
          </w:p>
        </w:tc>
      </w:tr>
      <w:tr w:rsidR="00D73E4A" w:rsidRPr="00D73E4A" w:rsidTr="003F1044">
        <w:trPr>
          <w:trHeight w:val="19"/>
        </w:trPr>
        <w:tc>
          <w:tcPr>
            <w:tcW w:w="10201" w:type="dxa"/>
            <w:gridSpan w:val="4"/>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rsidR="00D73E4A" w:rsidRPr="00D73E4A" w:rsidRDefault="00D73E4A" w:rsidP="00D73E4A">
            <w:pPr>
              <w:spacing w:after="0" w:line="240" w:lineRule="auto"/>
              <w:jc w:val="both"/>
              <w:rPr>
                <w:rFonts w:ascii="Times New Roman" w:hAnsi="Times New Roman" w:cs="Times New Roman"/>
                <w:sz w:val="20"/>
                <w:szCs w:val="20"/>
                <w:lang w:val="pt-BR"/>
              </w:rPr>
            </w:pPr>
            <w:r w:rsidRPr="00D73E4A">
              <w:rPr>
                <w:rFonts w:ascii="Times New Roman" w:hAnsi="Times New Roman" w:cs="Times New Roman"/>
                <w:sz w:val="20"/>
                <w:szCs w:val="20"/>
                <w:lang w:val="pt-BR"/>
              </w:rPr>
              <w:t>Continous variables reported as median and interquartile range, categorical variables as counts and percentages. Abbreviations: CI, confidence intervals; NA, not applicable.</w:t>
            </w:r>
          </w:p>
        </w:tc>
      </w:tr>
    </w:tbl>
    <w:p w:rsidR="00D73E4A" w:rsidRPr="00D73E4A" w:rsidRDefault="00D73E4A" w:rsidP="00D73E4A">
      <w:pPr>
        <w:rPr>
          <w:rFonts w:ascii="Times New Roman" w:hAnsi="Times New Roman" w:cs="Times New Roman"/>
          <w:sz w:val="24"/>
          <w:szCs w:val="24"/>
        </w:rPr>
      </w:pPr>
      <w:r w:rsidRPr="00D73E4A">
        <w:rPr>
          <w:rFonts w:ascii="Times New Roman" w:hAnsi="Times New Roman" w:cs="Times New Roman"/>
          <w:sz w:val="24"/>
          <w:szCs w:val="24"/>
        </w:rPr>
        <w:br w:type="page"/>
      </w:r>
    </w:p>
    <w:p w:rsidR="00D73E4A" w:rsidRPr="00D73E4A" w:rsidRDefault="00D73E4A" w:rsidP="00D73E4A">
      <w:pPr>
        <w:spacing w:after="0" w:line="240" w:lineRule="auto"/>
        <w:jc w:val="both"/>
        <w:rPr>
          <w:rFonts w:ascii="Times New Roman" w:hAnsi="Times New Roman" w:cs="Times New Roman"/>
          <w:sz w:val="24"/>
          <w:szCs w:val="24"/>
        </w:rPr>
      </w:pPr>
    </w:p>
    <w:tbl>
      <w:tblPr>
        <w:tblW w:w="7288" w:type="dxa"/>
        <w:tblCellMar>
          <w:left w:w="0" w:type="dxa"/>
          <w:right w:w="0" w:type="dxa"/>
        </w:tblCellMar>
        <w:tblLook w:val="0600" w:firstRow="0" w:lastRow="0" w:firstColumn="0" w:lastColumn="0" w:noHBand="1" w:noVBand="1"/>
      </w:tblPr>
      <w:tblGrid>
        <w:gridCol w:w="2836"/>
        <w:gridCol w:w="3108"/>
        <w:gridCol w:w="1344"/>
      </w:tblGrid>
      <w:tr w:rsidR="00D73E4A" w:rsidRPr="00D73E4A" w:rsidTr="003F1044">
        <w:trPr>
          <w:trHeight w:val="18"/>
        </w:trPr>
        <w:tc>
          <w:tcPr>
            <w:tcW w:w="7288" w:type="dxa"/>
            <w:gridSpan w:val="3"/>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Supplementary Table 2:</w:t>
            </w:r>
            <w:r w:rsidR="0068360E">
              <w:rPr>
                <w:rFonts w:ascii="Times New Roman" w:hAnsi="Times New Roman" w:cs="Times New Roman"/>
                <w:bCs/>
                <w:sz w:val="24"/>
                <w:szCs w:val="24"/>
              </w:rPr>
              <w:t xml:space="preserve"> U</w:t>
            </w:r>
            <w:bookmarkStart w:id="0" w:name="_GoBack"/>
            <w:bookmarkEnd w:id="0"/>
            <w:r w:rsidRPr="00D73E4A">
              <w:rPr>
                <w:rFonts w:ascii="Times New Roman" w:hAnsi="Times New Roman" w:cs="Times New Roman"/>
                <w:bCs/>
                <w:sz w:val="24"/>
                <w:szCs w:val="24"/>
              </w:rPr>
              <w:t>nivariable cox regression analysis (HCC patients)</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sz w:val="24"/>
                <w:szCs w:val="24"/>
              </w:rPr>
            </w:pPr>
            <w:r w:rsidRPr="00D73E4A">
              <w:rPr>
                <w:rFonts w:ascii="Times New Roman" w:hAnsi="Times New Roman" w:cs="Times New Roman"/>
                <w:b/>
                <w:bCs/>
                <w:sz w:val="24"/>
                <w:szCs w:val="24"/>
              </w:rPr>
              <w:t>Variables</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b/>
                <w:bCs/>
                <w:sz w:val="24"/>
                <w:szCs w:val="24"/>
              </w:rPr>
              <w:t>Hazard Ratio (95% CI)</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b/>
                <w:bCs/>
                <w:sz w:val="24"/>
                <w:szCs w:val="24"/>
              </w:rPr>
              <w:t>p-value</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Age, years</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1.02 (1.01, 1.03)</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rPr>
                <w:rFonts w:ascii="Times New Roman" w:hAnsi="Times New Roman" w:cs="Times New Roman"/>
                <w:b/>
                <w:bCs/>
                <w:sz w:val="24"/>
                <w:szCs w:val="24"/>
              </w:rPr>
            </w:pP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Sex</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Cs/>
                <w:sz w:val="24"/>
                <w:szCs w:val="24"/>
              </w:rPr>
            </w:pPr>
            <w:r w:rsidRPr="00D73E4A">
              <w:rPr>
                <w:rFonts w:ascii="Times New Roman" w:hAnsi="Times New Roman" w:cs="Times New Roman"/>
                <w:bCs/>
                <w:sz w:val="24"/>
                <w:szCs w:val="24"/>
              </w:rPr>
              <w:t xml:space="preserve">            Female</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Cs/>
                <w:sz w:val="24"/>
                <w:szCs w:val="24"/>
              </w:rPr>
            </w:pPr>
            <w:r w:rsidRPr="00D73E4A">
              <w:rPr>
                <w:rFonts w:ascii="Times New Roman" w:hAnsi="Times New Roman" w:cs="Times New Roman"/>
                <w:bCs/>
                <w:sz w:val="24"/>
                <w:szCs w:val="24"/>
              </w:rPr>
              <w:t xml:space="preserve">            Male</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0.87 (0.69, 1.10)</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0.242</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rPr>
                <w:rFonts w:ascii="Times New Roman" w:hAnsi="Times New Roman" w:cs="Times New Roman"/>
                <w:b/>
                <w:bCs/>
                <w:sz w:val="24"/>
                <w:szCs w:val="24"/>
              </w:rPr>
            </w:pP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ln(bilirubin, µmol/l)</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1.22 (1.08, 1.38)</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1/(INR</w:t>
            </w:r>
            <w:r w:rsidRPr="00D73E4A">
              <w:rPr>
                <w:rFonts w:ascii="Times New Roman" w:hAnsi="Times New Roman" w:cs="Times New Roman"/>
                <w:b/>
                <w:bCs/>
                <w:sz w:val="24"/>
                <w:szCs w:val="24"/>
                <w:vertAlign w:val="superscript"/>
              </w:rPr>
              <w:t>3</w:t>
            </w:r>
            <w:r w:rsidRPr="00D73E4A">
              <w:rPr>
                <w:rFonts w:ascii="Times New Roman" w:hAnsi="Times New Roman" w:cs="Times New Roman"/>
                <w:b/>
                <w:bCs/>
                <w:sz w:val="24"/>
                <w:szCs w:val="24"/>
              </w:rPr>
              <w:t>)</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0.76 (0.55, 1.05)</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0.093</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Albumin, g/l</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0.96 (0.94, 0.97)</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ln(creatinine, µmol/l)</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1.08 (0.86, 1.37)</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0.507</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Cs/>
                <w:sz w:val="24"/>
                <w:szCs w:val="24"/>
              </w:rPr>
            </w:pPr>
            <w:r w:rsidRPr="00D73E4A">
              <w:rPr>
                <w:rFonts w:ascii="Times New Roman" w:hAnsi="Times New Roman" w:cs="Times New Roman"/>
                <w:b/>
                <w:bCs/>
                <w:sz w:val="24"/>
                <w:szCs w:val="24"/>
              </w:rPr>
              <w:t>ln(AFP, ng/ml)</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1.16 (1.13, 1.20)</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Cs/>
                <w:sz w:val="24"/>
                <w:szCs w:val="24"/>
              </w:rPr>
            </w:pPr>
            <w:r w:rsidRPr="00D73E4A">
              <w:rPr>
                <w:rFonts w:ascii="Times New Roman" w:hAnsi="Times New Roman" w:cs="Times New Roman"/>
                <w:b/>
                <w:bCs/>
                <w:sz w:val="24"/>
                <w:szCs w:val="24"/>
              </w:rPr>
              <w:t>Haemoglobin, g/l</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0.84 (0.80, 0.89)</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Cs/>
                <w:sz w:val="24"/>
                <w:szCs w:val="24"/>
              </w:rPr>
            </w:pPr>
            <w:r w:rsidRPr="00D73E4A">
              <w:rPr>
                <w:rFonts w:ascii="Times New Roman" w:hAnsi="Times New Roman" w:cs="Times New Roman"/>
                <w:b/>
                <w:bCs/>
                <w:sz w:val="24"/>
                <w:szCs w:val="24"/>
              </w:rPr>
              <w:t>ln(WBC, x10</w:t>
            </w:r>
            <w:r w:rsidRPr="00D73E4A">
              <w:rPr>
                <w:rFonts w:ascii="Times New Roman" w:hAnsi="Times New Roman" w:cs="Times New Roman"/>
                <w:b/>
                <w:bCs/>
                <w:sz w:val="24"/>
                <w:szCs w:val="24"/>
                <w:vertAlign w:val="superscript"/>
              </w:rPr>
              <w:t>9</w:t>
            </w:r>
            <w:r w:rsidRPr="00D73E4A">
              <w:rPr>
                <w:rFonts w:ascii="Times New Roman" w:hAnsi="Times New Roman" w:cs="Times New Roman"/>
                <w:b/>
                <w:bCs/>
                <w:sz w:val="24"/>
                <w:szCs w:val="24"/>
              </w:rPr>
              <w:t>/l)</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2.07 (1.63, 2.64)</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ln(Platelets, x10</w:t>
            </w:r>
            <w:r w:rsidRPr="00D73E4A">
              <w:rPr>
                <w:rFonts w:ascii="Times New Roman" w:hAnsi="Times New Roman" w:cs="Times New Roman"/>
                <w:b/>
                <w:bCs/>
                <w:sz w:val="24"/>
                <w:szCs w:val="24"/>
                <w:vertAlign w:val="superscript"/>
              </w:rPr>
              <w:t>9</w:t>
            </w:r>
            <w:r w:rsidRPr="00D73E4A">
              <w:rPr>
                <w:rFonts w:ascii="Times New Roman" w:hAnsi="Times New Roman" w:cs="Times New Roman"/>
                <w:b/>
                <w:bCs/>
                <w:sz w:val="24"/>
                <w:szCs w:val="24"/>
              </w:rPr>
              <w:t>/l)</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1.47 (1.26, 1.72)</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rPr>
                <w:rFonts w:ascii="Times New Roman" w:hAnsi="Times New Roman" w:cs="Times New Roman"/>
                <w:bCs/>
                <w:sz w:val="24"/>
                <w:szCs w:val="24"/>
              </w:rPr>
            </w:pP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Cs/>
                <w:sz w:val="24"/>
                <w:szCs w:val="24"/>
              </w:rPr>
            </w:pPr>
            <w:r w:rsidRPr="00D73E4A">
              <w:rPr>
                <w:rFonts w:ascii="Times New Roman" w:hAnsi="Times New Roman" w:cs="Times New Roman"/>
                <w:b/>
                <w:bCs/>
                <w:sz w:val="24"/>
                <w:szCs w:val="24"/>
              </w:rPr>
              <w:t>Aetiology</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Cs/>
                <w:sz w:val="24"/>
                <w:szCs w:val="24"/>
              </w:rPr>
            </w:pPr>
            <w:r w:rsidRPr="00D73E4A">
              <w:rPr>
                <w:rFonts w:ascii="Times New Roman" w:hAnsi="Times New Roman" w:cs="Times New Roman"/>
                <w:sz w:val="24"/>
                <w:szCs w:val="24"/>
              </w:rPr>
              <w:t xml:space="preserve">            Hepatitis C</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Cs/>
                <w:sz w:val="24"/>
                <w:szCs w:val="24"/>
              </w:rPr>
            </w:pPr>
            <w:r w:rsidRPr="00D73E4A">
              <w:rPr>
                <w:rFonts w:ascii="Times New Roman" w:hAnsi="Times New Roman" w:cs="Times New Roman"/>
                <w:sz w:val="24"/>
                <w:szCs w:val="24"/>
              </w:rPr>
              <w:t xml:space="preserve">            Hepatitis B</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0.94 (0.63, 1.42)</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0.776</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Cs/>
                <w:sz w:val="24"/>
                <w:szCs w:val="24"/>
              </w:rPr>
            </w:pPr>
            <w:r w:rsidRPr="00D73E4A">
              <w:rPr>
                <w:rFonts w:ascii="Times New Roman" w:hAnsi="Times New Roman" w:cs="Times New Roman"/>
                <w:sz w:val="24"/>
                <w:szCs w:val="24"/>
              </w:rPr>
              <w:t xml:space="preserve">            Alcohol</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1.11 (0.83, 1.47)</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0.477</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sz w:val="24"/>
                <w:szCs w:val="24"/>
              </w:rPr>
              <w:t xml:space="preserve">            Other</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1.23 (0.95, 1.60)</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0.120</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rPr>
                <w:rFonts w:ascii="Times New Roman" w:hAnsi="Times New Roman" w:cs="Times New Roman"/>
                <w:b/>
                <w:bCs/>
                <w:sz w:val="24"/>
                <w:szCs w:val="24"/>
              </w:rPr>
            </w:pP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BCLC stage</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Cs/>
                <w:sz w:val="24"/>
                <w:szCs w:val="24"/>
              </w:rPr>
              <w:t xml:space="preserve">         0/A</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Cs/>
                <w:sz w:val="24"/>
                <w:szCs w:val="24"/>
              </w:rPr>
              <w:t xml:space="preserve">         B</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2.45 (1.54, 3.92)</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Cs/>
                <w:sz w:val="24"/>
                <w:szCs w:val="24"/>
              </w:rPr>
              <w:t xml:space="preserve">         C</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2.27 (1.58, 3.26)</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Cs/>
                <w:sz w:val="24"/>
                <w:szCs w:val="24"/>
              </w:rPr>
              <w:t xml:space="preserve">         D</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5.83 (3.62, 9.41)</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rPr>
                <w:rFonts w:ascii="Times New Roman" w:hAnsi="Times New Roman" w:cs="Times New Roman"/>
                <w:b/>
                <w:bCs/>
                <w:sz w:val="24"/>
                <w:szCs w:val="24"/>
              </w:rPr>
            </w:pP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tcPr>
          <w:p w:rsidR="00D73E4A" w:rsidRPr="00D73E4A" w:rsidRDefault="00D73E4A" w:rsidP="00D73E4A">
            <w:pPr>
              <w:spacing w:after="0" w:line="240" w:lineRule="auto"/>
              <w:jc w:val="center"/>
              <w:rPr>
                <w:rFonts w:ascii="Times New Roman" w:hAnsi="Times New Roman" w:cs="Times New Roman"/>
                <w:sz w:val="24"/>
                <w:szCs w:val="24"/>
              </w:rPr>
            </w:pPr>
          </w:p>
        </w:tc>
      </w:tr>
      <w:tr w:rsidR="00D73E4A" w:rsidRPr="00D73E4A" w:rsidTr="003F1044">
        <w:trPr>
          <w:trHeight w:val="18"/>
        </w:trPr>
        <w:tc>
          <w:tcPr>
            <w:tcW w:w="2836"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rPr>
                <w:rFonts w:ascii="Times New Roman" w:hAnsi="Times New Roman" w:cs="Times New Roman"/>
                <w:b/>
                <w:bCs/>
                <w:sz w:val="24"/>
                <w:szCs w:val="24"/>
              </w:rPr>
            </w:pPr>
            <w:r w:rsidRPr="00D73E4A">
              <w:rPr>
                <w:rFonts w:ascii="Times New Roman" w:hAnsi="Times New Roman" w:cs="Times New Roman"/>
                <w:b/>
                <w:bCs/>
                <w:sz w:val="24"/>
                <w:szCs w:val="24"/>
              </w:rPr>
              <w:t>ln(NLR)</w:t>
            </w:r>
          </w:p>
        </w:tc>
        <w:tc>
          <w:tcPr>
            <w:tcW w:w="3108"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1.98 (1.68, 2.35)</w:t>
            </w:r>
          </w:p>
        </w:tc>
        <w:tc>
          <w:tcPr>
            <w:tcW w:w="1344" w:type="dxa"/>
            <w:tcBorders>
              <w:top w:val="single" w:sz="8" w:space="0" w:color="000000"/>
              <w:left w:val="single" w:sz="8" w:space="0" w:color="000000"/>
              <w:bottom w:val="single" w:sz="8" w:space="0" w:color="000000"/>
              <w:right w:val="single" w:sz="8" w:space="0" w:color="000000"/>
            </w:tcBorders>
            <w:tcMar>
              <w:top w:w="31" w:type="dxa"/>
              <w:left w:w="62" w:type="dxa"/>
              <w:bottom w:w="31" w:type="dxa"/>
              <w:right w:w="62" w:type="dxa"/>
            </w:tcMar>
            <w:vAlign w:val="center"/>
            <w:hideMark/>
          </w:tcPr>
          <w:p w:rsidR="00D73E4A" w:rsidRPr="00D73E4A" w:rsidRDefault="00D73E4A" w:rsidP="00D73E4A">
            <w:pPr>
              <w:spacing w:after="0" w:line="240" w:lineRule="auto"/>
              <w:jc w:val="center"/>
              <w:rPr>
                <w:rFonts w:ascii="Times New Roman" w:hAnsi="Times New Roman" w:cs="Times New Roman"/>
                <w:sz w:val="24"/>
                <w:szCs w:val="24"/>
              </w:rPr>
            </w:pPr>
            <w:r w:rsidRPr="00D73E4A">
              <w:rPr>
                <w:rFonts w:ascii="Times New Roman" w:hAnsi="Times New Roman" w:cs="Times New Roman"/>
                <w:sz w:val="24"/>
                <w:szCs w:val="24"/>
              </w:rPr>
              <w:t>&lt;0.0001</w:t>
            </w:r>
          </w:p>
        </w:tc>
      </w:tr>
    </w:tbl>
    <w:p w:rsidR="00D73E4A" w:rsidRPr="00D73E4A" w:rsidRDefault="00D73E4A" w:rsidP="00D73E4A">
      <w:pPr>
        <w:spacing w:after="0" w:line="240" w:lineRule="auto"/>
        <w:jc w:val="both"/>
        <w:rPr>
          <w:rFonts w:ascii="Times New Roman" w:hAnsi="Times New Roman" w:cs="Times New Roman"/>
          <w:sz w:val="24"/>
          <w:szCs w:val="24"/>
        </w:rPr>
      </w:pPr>
    </w:p>
    <w:p w:rsidR="00D73E4A" w:rsidRPr="00D73E4A" w:rsidRDefault="00D73E4A" w:rsidP="00D73E4A">
      <w:pPr>
        <w:rPr>
          <w:rFonts w:ascii="Times New Roman" w:hAnsi="Times New Roman" w:cs="Times New Roman"/>
          <w:sz w:val="24"/>
          <w:szCs w:val="24"/>
        </w:rPr>
      </w:pPr>
      <w:r w:rsidRPr="00D73E4A">
        <w:rPr>
          <w:rFonts w:ascii="Times New Roman" w:hAnsi="Times New Roman" w:cs="Times New Roman"/>
          <w:sz w:val="24"/>
          <w:szCs w:val="24"/>
        </w:rPr>
        <w:br w:type="page"/>
      </w:r>
    </w:p>
    <w:p w:rsidR="00D73E4A" w:rsidRPr="00D73E4A" w:rsidRDefault="00D73E4A" w:rsidP="00D73E4A">
      <w:pPr>
        <w:spacing w:after="0" w:line="240" w:lineRule="auto"/>
        <w:jc w:val="both"/>
        <w:rPr>
          <w:rFonts w:ascii="Times New Roman" w:hAnsi="Times New Roman" w:cs="Times New Roman"/>
          <w:sz w:val="24"/>
          <w:szCs w:val="24"/>
        </w:rPr>
      </w:pPr>
    </w:p>
    <w:p w:rsidR="00D73E4A" w:rsidRDefault="00D73E4A" w:rsidP="0009537F">
      <w:pPr>
        <w:spacing w:after="0" w:line="480" w:lineRule="auto"/>
        <w:jc w:val="both"/>
        <w:rPr>
          <w:rFonts w:ascii="Times New Roman" w:hAnsi="Times New Roman" w:cs="Times New Roman"/>
          <w:b/>
          <w:sz w:val="24"/>
          <w:szCs w:val="24"/>
        </w:rPr>
      </w:pPr>
    </w:p>
    <w:p w:rsidR="00D73E4A" w:rsidRDefault="00D73E4A" w:rsidP="0009537F">
      <w:pPr>
        <w:spacing w:after="0" w:line="480" w:lineRule="auto"/>
        <w:jc w:val="both"/>
        <w:rPr>
          <w:rFonts w:ascii="Times New Roman" w:hAnsi="Times New Roman" w:cs="Times New Roman"/>
          <w:b/>
          <w:sz w:val="24"/>
          <w:szCs w:val="24"/>
        </w:rPr>
      </w:pPr>
    </w:p>
    <w:p w:rsidR="00D73E4A" w:rsidRDefault="00D73E4A" w:rsidP="0009537F">
      <w:pPr>
        <w:spacing w:after="0" w:line="480" w:lineRule="auto"/>
        <w:jc w:val="both"/>
        <w:rPr>
          <w:rFonts w:ascii="Times New Roman" w:hAnsi="Times New Roman" w:cs="Times New Roman"/>
          <w:b/>
          <w:sz w:val="24"/>
          <w:szCs w:val="24"/>
        </w:rPr>
      </w:pPr>
    </w:p>
    <w:p w:rsidR="00D73E4A" w:rsidRDefault="00D73E4A" w:rsidP="0009537F">
      <w:pPr>
        <w:spacing w:after="0" w:line="480" w:lineRule="auto"/>
        <w:jc w:val="both"/>
        <w:rPr>
          <w:rFonts w:ascii="Times New Roman" w:hAnsi="Times New Roman" w:cs="Times New Roman"/>
          <w:b/>
          <w:sz w:val="24"/>
          <w:szCs w:val="24"/>
        </w:rPr>
      </w:pPr>
    </w:p>
    <w:p w:rsidR="0009537F" w:rsidRDefault="0009537F" w:rsidP="0009537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LEGENDS TO SUPPLEMENTARY FIGURES</w:t>
      </w:r>
    </w:p>
    <w:p w:rsidR="0009537F" w:rsidRPr="00EA75ED" w:rsidRDefault="0009537F" w:rsidP="0009537F">
      <w:pPr>
        <w:spacing w:after="160" w:line="259" w:lineRule="auto"/>
        <w:rPr>
          <w:rFonts w:ascii="Times New Roman" w:hAnsi="Times New Roman" w:cs="Times New Roman"/>
          <w:b/>
          <w:sz w:val="24"/>
          <w:szCs w:val="24"/>
        </w:rPr>
      </w:pPr>
      <w:r w:rsidRPr="00EA75ED">
        <w:rPr>
          <w:rFonts w:ascii="Times New Roman" w:hAnsi="Times New Roman" w:cs="Times New Roman"/>
          <w:b/>
          <w:sz w:val="24"/>
          <w:szCs w:val="24"/>
        </w:rPr>
        <w:t>Supplementary Figure 1.  Box plots of NLR at baseline versus last visit/death for each of the CLD and HCC groups.</w:t>
      </w:r>
    </w:p>
    <w:p w:rsidR="0009537F" w:rsidRPr="00EA75ED" w:rsidRDefault="0009537F" w:rsidP="0009537F">
      <w:pPr>
        <w:spacing w:after="160" w:line="259" w:lineRule="auto"/>
        <w:rPr>
          <w:rFonts w:ascii="Times New Roman" w:hAnsi="Times New Roman" w:cs="Times New Roman"/>
          <w:b/>
          <w:sz w:val="24"/>
          <w:szCs w:val="24"/>
        </w:rPr>
      </w:pPr>
      <w:r w:rsidRPr="00EA75ED">
        <w:rPr>
          <w:rFonts w:ascii="Times New Roman" w:hAnsi="Times New Roman" w:cs="Times New Roman"/>
          <w:b/>
          <w:sz w:val="24"/>
          <w:szCs w:val="24"/>
        </w:rPr>
        <w:t>Supplementary Figure 2. Kaplan- Meier survival curves according to CLD and HCC groups. Log-rank test, p-value &lt;.0001.</w:t>
      </w:r>
    </w:p>
    <w:p w:rsidR="00D82FC7" w:rsidRDefault="00D82FC7"/>
    <w:sectPr w:rsidR="00D82FC7" w:rsidSect="008B4554">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117" w:rsidRDefault="00C34117" w:rsidP="008B4554">
      <w:pPr>
        <w:spacing w:after="0" w:line="240" w:lineRule="auto"/>
      </w:pPr>
      <w:r>
        <w:separator/>
      </w:r>
    </w:p>
  </w:endnote>
  <w:endnote w:type="continuationSeparator" w:id="0">
    <w:p w:rsidR="00C34117" w:rsidRDefault="00C34117" w:rsidP="008B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268565"/>
      <w:docPartObj>
        <w:docPartGallery w:val="Page Numbers (Bottom of Page)"/>
        <w:docPartUnique/>
      </w:docPartObj>
    </w:sdtPr>
    <w:sdtEndPr>
      <w:rPr>
        <w:noProof/>
      </w:rPr>
    </w:sdtEndPr>
    <w:sdtContent>
      <w:p w:rsidR="00535E43" w:rsidRDefault="00535E43">
        <w:pPr>
          <w:pStyle w:val="Footer"/>
          <w:jc w:val="center"/>
        </w:pPr>
        <w:r>
          <w:fldChar w:fldCharType="begin"/>
        </w:r>
        <w:r>
          <w:instrText xml:space="preserve"> PAGE   \* MERGEFORMAT </w:instrText>
        </w:r>
        <w:r>
          <w:fldChar w:fldCharType="separate"/>
        </w:r>
        <w:r w:rsidR="0068360E">
          <w:rPr>
            <w:noProof/>
          </w:rPr>
          <w:t>7</w:t>
        </w:r>
        <w:r>
          <w:rPr>
            <w:noProof/>
          </w:rPr>
          <w:fldChar w:fldCharType="end"/>
        </w:r>
      </w:p>
    </w:sdtContent>
  </w:sdt>
  <w:p w:rsidR="00535E43" w:rsidRDefault="00535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117" w:rsidRDefault="00C34117" w:rsidP="008B4554">
      <w:pPr>
        <w:spacing w:after="0" w:line="240" w:lineRule="auto"/>
      </w:pPr>
      <w:r>
        <w:separator/>
      </w:r>
    </w:p>
  </w:footnote>
  <w:footnote w:type="continuationSeparator" w:id="0">
    <w:p w:rsidR="00C34117" w:rsidRDefault="00C34117" w:rsidP="008B45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0td0apegwxrs7etvxf5dw9gdp5srw0vwted&quot;&gt;Endnote&lt;record-ids&gt;&lt;item&gt;3065&lt;/item&gt;&lt;item&gt;4010&lt;/item&gt;&lt;item&gt;4250&lt;/item&gt;&lt;item&gt;4282&lt;/item&gt;&lt;item&gt;4297&lt;/item&gt;&lt;item&gt;4299&lt;/item&gt;&lt;item&gt;4357&lt;/item&gt;&lt;item&gt;4359&lt;/item&gt;&lt;item&gt;4439&lt;/item&gt;&lt;item&gt;4460&lt;/item&gt;&lt;/record-ids&gt;&lt;/item&gt;&lt;/Libraries&gt;"/>
  </w:docVars>
  <w:rsids>
    <w:rsidRoot w:val="003111D5"/>
    <w:rsid w:val="00057F9E"/>
    <w:rsid w:val="00087CBC"/>
    <w:rsid w:val="0009537F"/>
    <w:rsid w:val="00095C48"/>
    <w:rsid w:val="000B5108"/>
    <w:rsid w:val="00212433"/>
    <w:rsid w:val="00272CC7"/>
    <w:rsid w:val="002A1F7A"/>
    <w:rsid w:val="002B3A47"/>
    <w:rsid w:val="002E3FAA"/>
    <w:rsid w:val="003111D5"/>
    <w:rsid w:val="00315465"/>
    <w:rsid w:val="003262BA"/>
    <w:rsid w:val="00360F3D"/>
    <w:rsid w:val="003705EF"/>
    <w:rsid w:val="003A1521"/>
    <w:rsid w:val="003E2080"/>
    <w:rsid w:val="00435F52"/>
    <w:rsid w:val="004B6619"/>
    <w:rsid w:val="004E228D"/>
    <w:rsid w:val="004E61B7"/>
    <w:rsid w:val="005070FC"/>
    <w:rsid w:val="00535E43"/>
    <w:rsid w:val="005A040B"/>
    <w:rsid w:val="005C4BBE"/>
    <w:rsid w:val="006370A4"/>
    <w:rsid w:val="00637436"/>
    <w:rsid w:val="00654737"/>
    <w:rsid w:val="0068360E"/>
    <w:rsid w:val="006C36A4"/>
    <w:rsid w:val="007E31AE"/>
    <w:rsid w:val="008B4554"/>
    <w:rsid w:val="008C565C"/>
    <w:rsid w:val="008E40C6"/>
    <w:rsid w:val="00986BAA"/>
    <w:rsid w:val="00996B47"/>
    <w:rsid w:val="009A69EA"/>
    <w:rsid w:val="009A7D25"/>
    <w:rsid w:val="009B6015"/>
    <w:rsid w:val="009C772D"/>
    <w:rsid w:val="00A23758"/>
    <w:rsid w:val="00AD020F"/>
    <w:rsid w:val="00AE5189"/>
    <w:rsid w:val="00B001EA"/>
    <w:rsid w:val="00B02B30"/>
    <w:rsid w:val="00B315ED"/>
    <w:rsid w:val="00B87F18"/>
    <w:rsid w:val="00C34117"/>
    <w:rsid w:val="00C54677"/>
    <w:rsid w:val="00CD3A39"/>
    <w:rsid w:val="00D357F6"/>
    <w:rsid w:val="00D533A1"/>
    <w:rsid w:val="00D73E4A"/>
    <w:rsid w:val="00D82FC7"/>
    <w:rsid w:val="00E12866"/>
    <w:rsid w:val="00E23A62"/>
    <w:rsid w:val="00E81F95"/>
    <w:rsid w:val="00EA75ED"/>
    <w:rsid w:val="00F515EF"/>
    <w:rsid w:val="00FA7A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98066"/>
  <w15:chartTrackingRefBased/>
  <w15:docId w15:val="{DBC853C9-F8E9-4879-B868-D26AEDB14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1D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11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111D5"/>
    <w:rPr>
      <w:color w:val="0563C1" w:themeColor="hyperlink"/>
      <w:u w:val="single"/>
    </w:rPr>
  </w:style>
  <w:style w:type="paragraph" w:customStyle="1" w:styleId="EndNoteBibliography">
    <w:name w:val="EndNote Bibliography"/>
    <w:basedOn w:val="Normal"/>
    <w:link w:val="EndNoteBibliographyChar"/>
    <w:rsid w:val="00AE5189"/>
    <w:pPr>
      <w:spacing w:after="160"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AE5189"/>
    <w:rPr>
      <w:rFonts w:ascii="Calibri" w:hAnsi="Calibri" w:cs="Calibri"/>
      <w:noProof/>
      <w:lang w:val="en-US"/>
    </w:rPr>
  </w:style>
  <w:style w:type="paragraph" w:styleId="Header">
    <w:name w:val="header"/>
    <w:basedOn w:val="Normal"/>
    <w:link w:val="HeaderChar"/>
    <w:uiPriority w:val="99"/>
    <w:unhideWhenUsed/>
    <w:rsid w:val="008B45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4554"/>
  </w:style>
  <w:style w:type="paragraph" w:styleId="Footer">
    <w:name w:val="footer"/>
    <w:basedOn w:val="Normal"/>
    <w:link w:val="FooterChar"/>
    <w:uiPriority w:val="99"/>
    <w:unhideWhenUsed/>
    <w:rsid w:val="008B45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554"/>
  </w:style>
  <w:style w:type="paragraph" w:styleId="EndnoteText">
    <w:name w:val="endnote text"/>
    <w:basedOn w:val="Normal"/>
    <w:link w:val="EndnoteTextChar"/>
    <w:uiPriority w:val="99"/>
    <w:semiHidden/>
    <w:unhideWhenUsed/>
    <w:rsid w:val="000B51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B5108"/>
    <w:rPr>
      <w:sz w:val="20"/>
      <w:szCs w:val="20"/>
    </w:rPr>
  </w:style>
  <w:style w:type="character" w:styleId="EndnoteReference">
    <w:name w:val="endnote reference"/>
    <w:basedOn w:val="DefaultParagraphFont"/>
    <w:uiPriority w:val="99"/>
    <w:semiHidden/>
    <w:unhideWhenUsed/>
    <w:rsid w:val="000B5108"/>
    <w:rPr>
      <w:vertAlign w:val="superscript"/>
    </w:rPr>
  </w:style>
  <w:style w:type="paragraph" w:customStyle="1" w:styleId="EndNoteBibliographyTitle">
    <w:name w:val="EndNote Bibliography Title"/>
    <w:basedOn w:val="Normal"/>
    <w:link w:val="EndNoteBibliographyTitleChar"/>
    <w:rsid w:val="000B510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B5108"/>
    <w:rPr>
      <w:rFonts w:ascii="Calibri" w:hAnsi="Calibri" w:cs="Calibri"/>
      <w:noProof/>
      <w:lang w:val="en-US"/>
    </w:rPr>
  </w:style>
  <w:style w:type="table" w:styleId="TableGrid">
    <w:name w:val="Table Grid"/>
    <w:basedOn w:val="TableNormal"/>
    <w:uiPriority w:val="59"/>
    <w:rsid w:val="00360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4B661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B6619"/>
    <w:rPr>
      <w:rFonts w:ascii="Calibri" w:hAnsi="Calibri"/>
      <w:szCs w:val="21"/>
    </w:rPr>
  </w:style>
  <w:style w:type="table" w:customStyle="1" w:styleId="TableGridLight1">
    <w:name w:val="Table Grid Light1"/>
    <w:basedOn w:val="TableNormal"/>
    <w:uiPriority w:val="40"/>
    <w:rsid w:val="004B6619"/>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280514">
      <w:bodyDiv w:val="1"/>
      <w:marLeft w:val="0"/>
      <w:marRight w:val="0"/>
      <w:marTop w:val="0"/>
      <w:marBottom w:val="0"/>
      <w:divBdr>
        <w:top w:val="none" w:sz="0" w:space="0" w:color="auto"/>
        <w:left w:val="none" w:sz="0" w:space="0" w:color="auto"/>
        <w:bottom w:val="none" w:sz="0" w:space="0" w:color="auto"/>
        <w:right w:val="none" w:sz="0" w:space="0" w:color="auto"/>
      </w:divBdr>
    </w:div>
    <w:div w:id="82301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C6C32-27D1-422D-93A7-2FE8A8AA0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Philip</dc:creator>
  <cp:keywords/>
  <dc:description/>
  <cp:lastModifiedBy>Johnson, Philip</cp:lastModifiedBy>
  <cp:revision>8</cp:revision>
  <dcterms:created xsi:type="dcterms:W3CDTF">2021-04-13T09:50:00Z</dcterms:created>
  <dcterms:modified xsi:type="dcterms:W3CDTF">2021-04-13T10:02:00Z</dcterms:modified>
</cp:coreProperties>
</file>