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DA2" w:rsidRPr="00920DA2" w:rsidRDefault="00920DA2" w:rsidP="00920DA2">
      <w:pPr>
        <w:spacing w:after="0" w:line="360" w:lineRule="auto"/>
        <w:jc w:val="both"/>
        <w:rPr>
          <w:rFonts w:ascii="Times New Roman" w:eastAsia="Times New Roman" w:hAnsi="Times New Roman" w:cs="Times New Roman"/>
          <w:b/>
          <w:lang w:val="en-US" w:eastAsia="it-IT"/>
        </w:rPr>
      </w:pPr>
      <w:r w:rsidRPr="00920DA2">
        <w:rPr>
          <w:rFonts w:ascii="Times New Roman" w:eastAsia="Times New Roman" w:hAnsi="Times New Roman" w:cs="Times New Roman"/>
          <w:b/>
          <w:lang w:val="en-US" w:eastAsia="it-IT"/>
        </w:rPr>
        <w:t>Supplementary Figure 1: Targeted RNAseq of BC cell lines.</w:t>
      </w:r>
    </w:p>
    <w:p w:rsidR="00920DA2" w:rsidRPr="00920DA2" w:rsidRDefault="00920DA2" w:rsidP="00920DA2">
      <w:pPr>
        <w:spacing w:after="0" w:line="360" w:lineRule="auto"/>
        <w:jc w:val="both"/>
        <w:rPr>
          <w:rFonts w:ascii="Times New Roman" w:eastAsia="Times New Roman" w:hAnsi="Times New Roman" w:cs="Times New Roman"/>
          <w:bCs/>
          <w:lang w:val="en-US" w:eastAsia="it-IT"/>
        </w:rPr>
      </w:pPr>
      <w:r w:rsidRPr="00920DA2">
        <w:rPr>
          <w:rFonts w:ascii="Times New Roman" w:eastAsia="Times New Roman" w:hAnsi="Times New Roman" w:cs="Times New Roman"/>
          <w:bCs/>
          <w:lang w:val="en-US" w:eastAsia="it-IT"/>
        </w:rPr>
        <w:t xml:space="preserve">(A)The PCA plot shows similarities and differences among BC cell lines with different tissue tropism (i.e. “BONE”= P7 bone-homing cells, in blue; “MET”= P0 + LM cells, in yellow) as well as in comparison with the human MCF10A cell line, derived from healthy breast epithelium. In the three-dimensional plot, all samples </w:t>
      </w:r>
      <w:proofErr w:type="gramStart"/>
      <w:r w:rsidRPr="00920DA2">
        <w:rPr>
          <w:rFonts w:ascii="Times New Roman" w:eastAsia="Times New Roman" w:hAnsi="Times New Roman" w:cs="Times New Roman"/>
          <w:bCs/>
          <w:lang w:val="en-US" w:eastAsia="it-IT"/>
        </w:rPr>
        <w:t>are represented</w:t>
      </w:r>
      <w:proofErr w:type="gramEnd"/>
      <w:r w:rsidRPr="00920DA2">
        <w:rPr>
          <w:rFonts w:ascii="Times New Roman" w:eastAsia="Times New Roman" w:hAnsi="Times New Roman" w:cs="Times New Roman"/>
          <w:bCs/>
          <w:lang w:val="en-US" w:eastAsia="it-IT"/>
        </w:rPr>
        <w:t xml:space="preserve"> as spheres whose reciprocal distance reflects the degree of GEP similarity.</w:t>
      </w:r>
    </w:p>
    <w:p w:rsidR="00920DA2" w:rsidRPr="00920DA2" w:rsidRDefault="00920DA2" w:rsidP="00920DA2">
      <w:pPr>
        <w:spacing w:after="0" w:line="360" w:lineRule="auto"/>
        <w:jc w:val="both"/>
        <w:rPr>
          <w:rFonts w:ascii="Times New Roman" w:eastAsia="Times New Roman" w:hAnsi="Times New Roman" w:cs="Times New Roman"/>
          <w:bCs/>
          <w:lang w:val="en-US" w:eastAsia="it-IT"/>
        </w:rPr>
      </w:pPr>
      <w:r w:rsidRPr="00920DA2">
        <w:rPr>
          <w:rFonts w:ascii="Times New Roman" w:eastAsia="Times New Roman" w:hAnsi="Times New Roman" w:cs="Times New Roman"/>
          <w:bCs/>
          <w:lang w:val="en-US" w:eastAsia="it-IT"/>
        </w:rPr>
        <w:t xml:space="preserve">(B) </w:t>
      </w:r>
      <w:proofErr w:type="spellStart"/>
      <w:r w:rsidRPr="00920DA2">
        <w:rPr>
          <w:rFonts w:ascii="Times New Roman" w:eastAsia="Times New Roman" w:hAnsi="Times New Roman" w:cs="Times New Roman"/>
          <w:bCs/>
          <w:lang w:val="en-US" w:eastAsia="it-IT"/>
        </w:rPr>
        <w:t>Heatmap</w:t>
      </w:r>
      <w:proofErr w:type="spellEnd"/>
      <w:r w:rsidRPr="00920DA2">
        <w:rPr>
          <w:rFonts w:ascii="Times New Roman" w:eastAsia="Times New Roman" w:hAnsi="Times New Roman" w:cs="Times New Roman"/>
          <w:bCs/>
          <w:lang w:val="en-US" w:eastAsia="it-IT"/>
        </w:rPr>
        <w:t xml:space="preserve"> of the 134 genes, with unsupervised hierarchical clustering based on normalized read count, of BC cell line samples (i.e. P0, P7, </w:t>
      </w:r>
      <w:proofErr w:type="gramStart"/>
      <w:r w:rsidRPr="00920DA2">
        <w:rPr>
          <w:rFonts w:ascii="Times New Roman" w:eastAsia="Times New Roman" w:hAnsi="Times New Roman" w:cs="Times New Roman"/>
          <w:bCs/>
          <w:lang w:val="en-US" w:eastAsia="it-IT"/>
        </w:rPr>
        <w:t>LM</w:t>
      </w:r>
      <w:proofErr w:type="gramEnd"/>
      <w:r w:rsidRPr="00920DA2">
        <w:rPr>
          <w:rFonts w:ascii="Times New Roman" w:eastAsia="Times New Roman" w:hAnsi="Times New Roman" w:cs="Times New Roman"/>
          <w:bCs/>
          <w:lang w:val="en-US" w:eastAsia="it-IT"/>
        </w:rPr>
        <w:t>) and healthy MCF10A cells, analyzed in triplicate.</w:t>
      </w:r>
    </w:p>
    <w:p w:rsidR="00920DA2" w:rsidRPr="00920DA2" w:rsidRDefault="00920DA2" w:rsidP="00920DA2">
      <w:pPr>
        <w:spacing w:after="0" w:line="360" w:lineRule="auto"/>
        <w:jc w:val="both"/>
        <w:rPr>
          <w:rFonts w:ascii="Times New Roman" w:eastAsia="Times New Roman" w:hAnsi="Times New Roman" w:cs="Times New Roman"/>
          <w:bCs/>
          <w:lang w:val="en-US" w:eastAsia="it-IT"/>
        </w:rPr>
      </w:pPr>
      <w:r w:rsidRPr="00920DA2">
        <w:rPr>
          <w:rFonts w:ascii="Times New Roman" w:eastAsia="Times New Roman" w:hAnsi="Times New Roman" w:cs="Times New Roman"/>
          <w:bCs/>
          <w:lang w:val="en-US" w:eastAsia="it-IT"/>
        </w:rPr>
        <w:t>Abbreviations: BC=breast cancer; PCA=principal component analysis.</w:t>
      </w:r>
    </w:p>
    <w:p w:rsidR="00920DA2" w:rsidRDefault="00920DA2" w:rsidP="00920DA2">
      <w:pPr>
        <w:spacing w:after="0" w:line="360" w:lineRule="auto"/>
        <w:jc w:val="both"/>
        <w:rPr>
          <w:rFonts w:ascii="Times New Roman" w:eastAsia="Times New Roman" w:hAnsi="Times New Roman" w:cs="Times New Roman"/>
          <w:b/>
          <w:lang w:val="en-US" w:eastAsia="it-IT"/>
        </w:rPr>
      </w:pPr>
    </w:p>
    <w:p w:rsidR="00920DA2" w:rsidRPr="00920DA2" w:rsidRDefault="00920DA2" w:rsidP="00920DA2">
      <w:pPr>
        <w:spacing w:after="0" w:line="360" w:lineRule="auto"/>
        <w:jc w:val="both"/>
        <w:rPr>
          <w:rFonts w:ascii="Times New Roman" w:eastAsia="Times New Roman" w:hAnsi="Times New Roman" w:cs="Times New Roman"/>
          <w:b/>
          <w:lang w:val="en-US" w:eastAsia="it-IT"/>
        </w:rPr>
      </w:pPr>
    </w:p>
    <w:p w:rsidR="00920DA2" w:rsidRPr="00920DA2" w:rsidRDefault="00920DA2" w:rsidP="00920DA2">
      <w:pPr>
        <w:spacing w:after="0" w:line="360" w:lineRule="auto"/>
        <w:jc w:val="both"/>
        <w:rPr>
          <w:rFonts w:ascii="Times New Roman" w:eastAsia="Times New Roman" w:hAnsi="Times New Roman" w:cs="Times New Roman"/>
          <w:b/>
          <w:lang w:val="en-US" w:eastAsia="it-IT"/>
        </w:rPr>
      </w:pPr>
      <w:r w:rsidRPr="00920DA2">
        <w:rPr>
          <w:rFonts w:ascii="Times New Roman" w:eastAsia="Times New Roman" w:hAnsi="Times New Roman" w:cs="Times New Roman"/>
          <w:b/>
          <w:lang w:val="en-US" w:eastAsia="it-IT"/>
        </w:rPr>
        <w:t>Supplementary Figure 2: Inter-group comparison of CTCs based on targeted RNAseq gene expression</w:t>
      </w:r>
    </w:p>
    <w:p w:rsidR="00920DA2" w:rsidRPr="00920DA2" w:rsidRDefault="00920DA2" w:rsidP="00920DA2">
      <w:pPr>
        <w:spacing w:after="0" w:line="360" w:lineRule="auto"/>
        <w:jc w:val="both"/>
        <w:rPr>
          <w:rFonts w:ascii="Times New Roman" w:eastAsia="Times New Roman" w:hAnsi="Times New Roman" w:cs="Times New Roman"/>
          <w:b/>
          <w:lang w:val="en-US" w:eastAsia="it-IT"/>
        </w:rPr>
      </w:pPr>
      <w:proofErr w:type="gramStart"/>
      <w:r w:rsidRPr="00920DA2">
        <w:rPr>
          <w:rFonts w:ascii="Times New Roman" w:eastAsia="Times New Roman" w:hAnsi="Times New Roman" w:cs="Times New Roman"/>
          <w:b/>
          <w:lang w:val="en-US" w:eastAsia="it-IT"/>
        </w:rPr>
        <w:t>data</w:t>
      </w:r>
      <w:proofErr w:type="gramEnd"/>
      <w:r w:rsidRPr="00920DA2">
        <w:rPr>
          <w:rFonts w:ascii="Times New Roman" w:eastAsia="Times New Roman" w:hAnsi="Times New Roman" w:cs="Times New Roman"/>
          <w:b/>
          <w:lang w:val="en-US" w:eastAsia="it-IT"/>
        </w:rPr>
        <w:t>.</w:t>
      </w:r>
    </w:p>
    <w:p w:rsidR="00920DA2" w:rsidRPr="00920DA2" w:rsidRDefault="00920DA2" w:rsidP="00920DA2">
      <w:pPr>
        <w:spacing w:after="0" w:line="360" w:lineRule="auto"/>
        <w:jc w:val="both"/>
        <w:rPr>
          <w:rFonts w:ascii="Times New Roman" w:eastAsia="Times New Roman" w:hAnsi="Times New Roman" w:cs="Times New Roman"/>
          <w:bCs/>
          <w:lang w:val="en-US" w:eastAsia="it-IT"/>
        </w:rPr>
      </w:pPr>
      <w:r w:rsidRPr="00920DA2">
        <w:rPr>
          <w:rFonts w:ascii="Times New Roman" w:eastAsia="Times New Roman" w:hAnsi="Times New Roman" w:cs="Times New Roman"/>
          <w:bCs/>
          <w:lang w:val="en-US" w:eastAsia="it-IT"/>
        </w:rPr>
        <w:t>Volcano plot of deregulated genes emerged from the comparison of “BM” vs “BM+ES” CTCs (A) and</w:t>
      </w:r>
      <w:r>
        <w:rPr>
          <w:rFonts w:ascii="Times New Roman" w:eastAsia="Times New Roman" w:hAnsi="Times New Roman" w:cs="Times New Roman"/>
          <w:bCs/>
          <w:lang w:val="en-US" w:eastAsia="it-IT"/>
        </w:rPr>
        <w:t xml:space="preserve"> </w:t>
      </w:r>
      <w:r w:rsidRPr="00920DA2">
        <w:rPr>
          <w:rFonts w:ascii="Times New Roman" w:eastAsia="Times New Roman" w:hAnsi="Times New Roman" w:cs="Times New Roman"/>
          <w:bCs/>
          <w:lang w:val="en-US" w:eastAsia="it-IT"/>
        </w:rPr>
        <w:t xml:space="preserve">“BM+ES” vs “ES” patient groups (B). </w:t>
      </w:r>
    </w:p>
    <w:p w:rsidR="00920DA2" w:rsidRPr="00920DA2" w:rsidRDefault="00920DA2" w:rsidP="00920DA2">
      <w:pPr>
        <w:spacing w:after="0" w:line="360" w:lineRule="auto"/>
        <w:jc w:val="both"/>
        <w:rPr>
          <w:rFonts w:ascii="Times New Roman" w:eastAsia="Times New Roman" w:hAnsi="Times New Roman" w:cs="Times New Roman"/>
          <w:bCs/>
          <w:lang w:val="en-US" w:eastAsia="it-IT"/>
        </w:rPr>
      </w:pPr>
      <w:r w:rsidRPr="00920DA2">
        <w:rPr>
          <w:rFonts w:ascii="Times New Roman" w:eastAsia="Times New Roman" w:hAnsi="Times New Roman" w:cs="Times New Roman"/>
          <w:bCs/>
          <w:lang w:val="en-US" w:eastAsia="it-IT"/>
        </w:rPr>
        <w:t>Abbreviations: BM=bone metastases only; BM+ES=bone and extra-skeletal metastases; CTCs=circulating tumor cells; ES=extra-skeletal metastases.</w:t>
      </w:r>
    </w:p>
    <w:p w:rsidR="00920DA2" w:rsidRDefault="00920DA2" w:rsidP="00920DA2">
      <w:pPr>
        <w:spacing w:after="0" w:line="360" w:lineRule="auto"/>
        <w:jc w:val="both"/>
        <w:rPr>
          <w:rFonts w:ascii="Times New Roman" w:eastAsia="Times New Roman" w:hAnsi="Times New Roman" w:cs="Times New Roman"/>
          <w:b/>
          <w:lang w:val="en-US" w:eastAsia="it-IT"/>
        </w:rPr>
      </w:pPr>
    </w:p>
    <w:p w:rsidR="00920DA2" w:rsidRDefault="00920DA2" w:rsidP="00920DA2">
      <w:pPr>
        <w:spacing w:after="0" w:line="360" w:lineRule="auto"/>
        <w:jc w:val="both"/>
        <w:rPr>
          <w:rFonts w:ascii="Times New Roman" w:eastAsia="Times New Roman" w:hAnsi="Times New Roman" w:cs="Times New Roman"/>
          <w:b/>
          <w:lang w:val="en-US" w:eastAsia="it-IT"/>
        </w:rPr>
      </w:pPr>
    </w:p>
    <w:p w:rsidR="00920DA2" w:rsidRPr="00920DA2" w:rsidRDefault="00920DA2" w:rsidP="00920DA2">
      <w:pPr>
        <w:spacing w:after="0" w:line="360" w:lineRule="auto"/>
        <w:jc w:val="both"/>
        <w:rPr>
          <w:rFonts w:ascii="Times New Roman" w:eastAsia="Times New Roman" w:hAnsi="Times New Roman" w:cs="Times New Roman"/>
          <w:b/>
          <w:lang w:val="en-US" w:eastAsia="it-IT"/>
        </w:rPr>
      </w:pPr>
      <w:r w:rsidRPr="00920DA2">
        <w:rPr>
          <w:rFonts w:ascii="Times New Roman" w:eastAsia="Times New Roman" w:hAnsi="Times New Roman" w:cs="Times New Roman"/>
          <w:b/>
          <w:lang w:val="en-US" w:eastAsia="it-IT"/>
        </w:rPr>
        <w:t>Supplementary Figure 3: Survival probability analyses of stage IV BC patients in our cohort, based on</w:t>
      </w:r>
    </w:p>
    <w:p w:rsidR="00920DA2" w:rsidRPr="00920DA2" w:rsidRDefault="00920DA2" w:rsidP="00920DA2">
      <w:pPr>
        <w:spacing w:after="0" w:line="360" w:lineRule="auto"/>
        <w:jc w:val="both"/>
        <w:rPr>
          <w:rFonts w:ascii="Times New Roman" w:eastAsia="Times New Roman" w:hAnsi="Times New Roman" w:cs="Times New Roman"/>
          <w:b/>
          <w:lang w:val="en-US" w:eastAsia="it-IT"/>
        </w:rPr>
      </w:pPr>
      <w:proofErr w:type="gramStart"/>
      <w:r w:rsidRPr="00920DA2">
        <w:rPr>
          <w:rFonts w:ascii="Times New Roman" w:eastAsia="Times New Roman" w:hAnsi="Times New Roman" w:cs="Times New Roman"/>
          <w:b/>
          <w:lang w:val="en-US" w:eastAsia="it-IT"/>
        </w:rPr>
        <w:t>differential</w:t>
      </w:r>
      <w:proofErr w:type="gramEnd"/>
      <w:r w:rsidRPr="00920DA2">
        <w:rPr>
          <w:rFonts w:ascii="Times New Roman" w:eastAsia="Times New Roman" w:hAnsi="Times New Roman" w:cs="Times New Roman"/>
          <w:b/>
          <w:lang w:val="en-US" w:eastAsia="it-IT"/>
        </w:rPr>
        <w:t xml:space="preserve"> gene expression data deriving from targeted RNAseq.</w:t>
      </w:r>
    </w:p>
    <w:p w:rsidR="00920DA2" w:rsidRPr="00920DA2" w:rsidRDefault="00920DA2" w:rsidP="00920DA2">
      <w:pPr>
        <w:spacing w:after="0" w:line="360" w:lineRule="auto"/>
        <w:jc w:val="both"/>
        <w:rPr>
          <w:rFonts w:ascii="Times New Roman" w:eastAsia="Times New Roman" w:hAnsi="Times New Roman" w:cs="Times New Roman"/>
          <w:bCs/>
          <w:lang w:val="en-US" w:eastAsia="it-IT"/>
        </w:rPr>
      </w:pPr>
      <w:r w:rsidRPr="00920DA2">
        <w:rPr>
          <w:rFonts w:ascii="Times New Roman" w:eastAsia="Times New Roman" w:hAnsi="Times New Roman" w:cs="Times New Roman"/>
          <w:bCs/>
          <w:lang w:val="en-US" w:eastAsia="it-IT"/>
        </w:rPr>
        <w:t xml:space="preserve">Survival tables </w:t>
      </w:r>
      <w:proofErr w:type="gramStart"/>
      <w:r w:rsidRPr="00920DA2">
        <w:rPr>
          <w:rFonts w:ascii="Times New Roman" w:eastAsia="Times New Roman" w:hAnsi="Times New Roman" w:cs="Times New Roman"/>
          <w:bCs/>
          <w:lang w:val="en-US" w:eastAsia="it-IT"/>
        </w:rPr>
        <w:t>were generated</w:t>
      </w:r>
      <w:proofErr w:type="gramEnd"/>
      <w:r w:rsidRPr="00920DA2">
        <w:rPr>
          <w:rFonts w:ascii="Times New Roman" w:eastAsia="Times New Roman" w:hAnsi="Times New Roman" w:cs="Times New Roman"/>
          <w:bCs/>
          <w:lang w:val="en-US" w:eastAsia="it-IT"/>
        </w:rPr>
        <w:t xml:space="preserve"> in our patient cohort to explore the association between putative biomarkers and survival. Patients were allocated into “altered” and “not altered” gene expression groups, based on the expression levels of the top-10 deregulated genes (CAPG, HRAS, IL1B, FGFR4, MAF, SERPINB2, CTSK, HMGA2, ANLN, MCM2) emerging from the comparison of “BM” vs “ES” CTCs. For the OS analysis, the probability of survival, calculated either from the time of BC diagnosis (on the left) or from the time of distant metastasis onset (in the middle), was visualized through Kaplan-Meier curves and did not significantly differ between the two groups. A non-significant difference between the two groups was also found in terms of median time-to-BM onset (on the right), calculated as the time lapse between BC diagnosis and detection date of BM. The table on the bottom shows patient stratification according to previous systemic treatments.</w:t>
      </w:r>
    </w:p>
    <w:p w:rsidR="00920DA2" w:rsidRDefault="00920DA2" w:rsidP="00920DA2">
      <w:pPr>
        <w:spacing w:after="0" w:line="360" w:lineRule="auto"/>
        <w:jc w:val="both"/>
        <w:rPr>
          <w:rFonts w:ascii="Times New Roman" w:eastAsia="Times New Roman" w:hAnsi="Times New Roman" w:cs="Times New Roman"/>
          <w:b/>
          <w:lang w:val="en-US" w:eastAsia="it-IT"/>
        </w:rPr>
      </w:pPr>
    </w:p>
    <w:p w:rsidR="00920DA2" w:rsidRDefault="00920DA2" w:rsidP="00920DA2">
      <w:pPr>
        <w:spacing w:after="0" w:line="360" w:lineRule="auto"/>
        <w:jc w:val="both"/>
        <w:rPr>
          <w:rFonts w:ascii="Times New Roman" w:eastAsia="Times New Roman" w:hAnsi="Times New Roman" w:cs="Times New Roman"/>
          <w:b/>
          <w:lang w:val="en-US" w:eastAsia="it-IT"/>
        </w:rPr>
      </w:pPr>
    </w:p>
    <w:p w:rsidR="00920DA2" w:rsidRPr="00920DA2" w:rsidRDefault="00920DA2" w:rsidP="00920DA2">
      <w:pPr>
        <w:spacing w:after="0" w:line="360" w:lineRule="auto"/>
        <w:jc w:val="both"/>
        <w:rPr>
          <w:rFonts w:ascii="Times New Roman" w:eastAsia="Times New Roman" w:hAnsi="Times New Roman" w:cs="Times New Roman"/>
          <w:b/>
          <w:lang w:val="en-US" w:eastAsia="it-IT"/>
        </w:rPr>
      </w:pPr>
      <w:bookmarkStart w:id="0" w:name="_GoBack"/>
      <w:bookmarkEnd w:id="0"/>
      <w:r w:rsidRPr="00920DA2">
        <w:rPr>
          <w:rFonts w:ascii="Times New Roman" w:eastAsia="Times New Roman" w:hAnsi="Times New Roman" w:cs="Times New Roman"/>
          <w:b/>
          <w:lang w:val="en-US" w:eastAsia="it-IT"/>
        </w:rPr>
        <w:t>Supplementary Figure 4: Time-to-first SRE in BC patients with BM enrolled in our cohort, based on differential gene expression data deriving from targeted RNAseq.</w:t>
      </w:r>
    </w:p>
    <w:p w:rsidR="00920DA2" w:rsidRPr="00920DA2" w:rsidRDefault="00920DA2" w:rsidP="00920DA2">
      <w:pPr>
        <w:spacing w:after="0" w:line="360" w:lineRule="auto"/>
        <w:jc w:val="both"/>
        <w:rPr>
          <w:rFonts w:ascii="Times New Roman" w:eastAsia="Times New Roman" w:hAnsi="Times New Roman" w:cs="Times New Roman"/>
          <w:bCs/>
          <w:lang w:val="en-US" w:eastAsia="it-IT"/>
        </w:rPr>
      </w:pPr>
      <w:r w:rsidRPr="00920DA2">
        <w:rPr>
          <w:rFonts w:ascii="Times New Roman" w:eastAsia="Times New Roman" w:hAnsi="Times New Roman" w:cs="Times New Roman"/>
          <w:bCs/>
          <w:lang w:val="en-US" w:eastAsia="it-IT"/>
        </w:rPr>
        <w:t xml:space="preserve">Patients with BM </w:t>
      </w:r>
      <w:proofErr w:type="gramStart"/>
      <w:r w:rsidRPr="00920DA2">
        <w:rPr>
          <w:rFonts w:ascii="Times New Roman" w:eastAsia="Times New Roman" w:hAnsi="Times New Roman" w:cs="Times New Roman"/>
          <w:bCs/>
          <w:lang w:val="en-US" w:eastAsia="it-IT"/>
        </w:rPr>
        <w:t>were allocated</w:t>
      </w:r>
      <w:proofErr w:type="gramEnd"/>
      <w:r w:rsidRPr="00920DA2">
        <w:rPr>
          <w:rFonts w:ascii="Times New Roman" w:eastAsia="Times New Roman" w:hAnsi="Times New Roman" w:cs="Times New Roman"/>
          <w:bCs/>
          <w:lang w:val="en-US" w:eastAsia="it-IT"/>
        </w:rPr>
        <w:t xml:space="preserve"> into “altered” and “not altered” gene expression groups, as previously described. The time-to-first SRE was calculated as the time lapse between BM diagnosis and the date of onset of the first SRE (i.e. pathological fracture; spinal cord compression, need for radiation or surgery for pain </w:t>
      </w:r>
      <w:r w:rsidRPr="00920DA2">
        <w:rPr>
          <w:rFonts w:ascii="Times New Roman" w:eastAsia="Times New Roman" w:hAnsi="Times New Roman" w:cs="Times New Roman"/>
          <w:bCs/>
          <w:lang w:val="en-US" w:eastAsia="it-IT"/>
        </w:rPr>
        <w:lastRenderedPageBreak/>
        <w:t xml:space="preserve">relief, </w:t>
      </w:r>
      <w:proofErr w:type="spellStart"/>
      <w:r w:rsidRPr="00920DA2">
        <w:rPr>
          <w:rFonts w:ascii="Times New Roman" w:eastAsia="Times New Roman" w:hAnsi="Times New Roman" w:cs="Times New Roman"/>
          <w:bCs/>
          <w:lang w:val="en-US" w:eastAsia="it-IT"/>
        </w:rPr>
        <w:t>hypercalcaemia</w:t>
      </w:r>
      <w:proofErr w:type="spellEnd"/>
      <w:r w:rsidRPr="00920DA2">
        <w:rPr>
          <w:rFonts w:ascii="Times New Roman" w:eastAsia="Times New Roman" w:hAnsi="Times New Roman" w:cs="Times New Roman"/>
          <w:bCs/>
          <w:lang w:val="en-US" w:eastAsia="it-IT"/>
        </w:rPr>
        <w:t>) and a non-significant difference between the two groups was found. The table on the right shows patient stratification according to previous/subsequent treatment with bone targeting agents.</w:t>
      </w:r>
    </w:p>
    <w:p w:rsidR="00920DA2" w:rsidRPr="00920DA2" w:rsidRDefault="00920DA2" w:rsidP="00920DA2">
      <w:pPr>
        <w:spacing w:after="0" w:line="360" w:lineRule="auto"/>
        <w:jc w:val="both"/>
        <w:rPr>
          <w:rFonts w:ascii="Times New Roman" w:eastAsia="Times New Roman" w:hAnsi="Times New Roman" w:cs="Times New Roman"/>
          <w:bCs/>
          <w:lang w:val="en-US" w:eastAsia="it-IT"/>
        </w:rPr>
      </w:pPr>
      <w:r w:rsidRPr="00920DA2">
        <w:rPr>
          <w:rFonts w:ascii="Times New Roman" w:eastAsia="Times New Roman" w:hAnsi="Times New Roman" w:cs="Times New Roman"/>
          <w:bCs/>
          <w:lang w:val="en-US" w:eastAsia="it-IT"/>
        </w:rPr>
        <w:t>Abbreviations: BTA= bone targeting agents; SRE= skeletal-related events.</w:t>
      </w:r>
    </w:p>
    <w:p w:rsidR="00423BD6" w:rsidRPr="00920DA2" w:rsidRDefault="00920DA2">
      <w:pPr>
        <w:rPr>
          <w:lang w:val="en-US"/>
        </w:rPr>
      </w:pPr>
    </w:p>
    <w:sectPr w:rsidR="00423BD6" w:rsidRPr="00920D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6BC"/>
    <w:rsid w:val="00920DA2"/>
    <w:rsid w:val="00AF66BC"/>
    <w:rsid w:val="00B939FB"/>
    <w:rsid w:val="00CF68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7E049D-CAD6-46D7-8F0A-C814CDB90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2554</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Silvestris</dc:creator>
  <cp:keywords/>
  <dc:description/>
  <cp:lastModifiedBy>Silvestris</cp:lastModifiedBy>
  <cp:revision>2</cp:revision>
  <dcterms:created xsi:type="dcterms:W3CDTF">2021-06-04T12:46:00Z</dcterms:created>
  <dcterms:modified xsi:type="dcterms:W3CDTF">2021-06-04T12:47:00Z</dcterms:modified>
</cp:coreProperties>
</file>