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CB61F" w14:textId="77777777" w:rsidR="00A400E0" w:rsidRPr="008F7FA8" w:rsidRDefault="00A400E0" w:rsidP="00A400E0">
      <w:pPr>
        <w:adjustRightInd w:val="0"/>
        <w:snapToGrid w:val="0"/>
        <w:spacing w:line="360" w:lineRule="auto"/>
        <w:rPr>
          <w:b/>
        </w:rPr>
      </w:pPr>
      <w:bookmarkStart w:id="0" w:name="_GoBack"/>
      <w:bookmarkEnd w:id="0"/>
      <w:r w:rsidRPr="008F7FA8">
        <w:rPr>
          <w:rFonts w:hint="eastAsia"/>
          <w:b/>
        </w:rPr>
        <w:t>Supplementary Fig. 1</w:t>
      </w:r>
    </w:p>
    <w:p w14:paraId="29E3BBAC" w14:textId="77777777" w:rsidR="00A400E0" w:rsidRPr="008F7FA8" w:rsidRDefault="00A400E0" w:rsidP="00A400E0">
      <w:pPr>
        <w:adjustRightInd w:val="0"/>
        <w:snapToGrid w:val="0"/>
        <w:spacing w:line="360" w:lineRule="auto"/>
        <w:rPr>
          <w:b/>
        </w:rPr>
      </w:pPr>
    </w:p>
    <w:p w14:paraId="20A38B6E" w14:textId="77777777" w:rsidR="00A400E0" w:rsidRPr="008F7FA8" w:rsidRDefault="00A400E0" w:rsidP="00A400E0">
      <w:pPr>
        <w:adjustRightInd w:val="0"/>
        <w:snapToGrid w:val="0"/>
        <w:spacing w:line="360" w:lineRule="auto"/>
      </w:pPr>
      <w:r w:rsidRPr="008F7FA8">
        <w:rPr>
          <w:rFonts w:hint="eastAsia"/>
          <w:b/>
        </w:rPr>
        <w:t xml:space="preserve">Supplementary </w:t>
      </w:r>
      <w:r w:rsidRPr="008F7FA8">
        <w:rPr>
          <w:b/>
        </w:rPr>
        <w:t xml:space="preserve">Figure </w:t>
      </w:r>
      <w:r w:rsidRPr="008F7FA8">
        <w:rPr>
          <w:rFonts w:hint="eastAsia"/>
          <w:b/>
        </w:rPr>
        <w:t>1</w:t>
      </w:r>
      <w:r w:rsidRPr="008F7FA8">
        <w:rPr>
          <w:b/>
        </w:rPr>
        <w:t xml:space="preserve">. Tumor initiation property and </w:t>
      </w:r>
      <w:r w:rsidRPr="008F7FA8">
        <w:rPr>
          <w:rFonts w:hint="eastAsia"/>
          <w:b/>
        </w:rPr>
        <w:t>pluripotency of</w:t>
      </w:r>
      <w:r w:rsidRPr="008F7FA8">
        <w:rPr>
          <w:b/>
        </w:rPr>
        <w:t xml:space="preserve"> </w:t>
      </w:r>
      <w:r w:rsidRPr="008F7FA8">
        <w:rPr>
          <w:b/>
          <w:bCs/>
        </w:rPr>
        <w:t>ALDH</w:t>
      </w:r>
      <w:r w:rsidRPr="008F7FA8">
        <w:rPr>
          <w:b/>
          <w:bCs/>
          <w:vertAlign w:val="superscript"/>
        </w:rPr>
        <w:t>+</w:t>
      </w:r>
      <w:r w:rsidRPr="008F7FA8">
        <w:rPr>
          <w:rFonts w:hint="eastAsia"/>
          <w:b/>
          <w:bCs/>
          <w:vertAlign w:val="superscript"/>
        </w:rPr>
        <w:t xml:space="preserve"> </w:t>
      </w:r>
      <w:r w:rsidRPr="008F7FA8">
        <w:rPr>
          <w:b/>
          <w:bCs/>
        </w:rPr>
        <w:t>CD44</w:t>
      </w:r>
      <w:r w:rsidRPr="008F7FA8">
        <w:rPr>
          <w:b/>
          <w:bCs/>
          <w:vertAlign w:val="superscript"/>
        </w:rPr>
        <w:t>+</w:t>
      </w:r>
      <w:r w:rsidRPr="008F7FA8">
        <w:rPr>
          <w:rFonts w:hint="eastAsia"/>
          <w:b/>
          <w:bCs/>
          <w:vertAlign w:val="superscript"/>
        </w:rPr>
        <w:t xml:space="preserve"> </w:t>
      </w:r>
      <w:r w:rsidRPr="008F7FA8">
        <w:rPr>
          <w:b/>
          <w:bCs/>
        </w:rPr>
        <w:t>CXCR4</w:t>
      </w:r>
      <w:r w:rsidRPr="008F7FA8">
        <w:rPr>
          <w:b/>
          <w:bCs/>
          <w:vertAlign w:val="superscript"/>
        </w:rPr>
        <w:t>+</w:t>
      </w:r>
      <w:r w:rsidRPr="008F7FA8">
        <w:rPr>
          <w:rFonts w:hint="eastAsia"/>
          <w:b/>
          <w:bCs/>
          <w:vertAlign w:val="superscript"/>
        </w:rPr>
        <w:t xml:space="preserve"> </w:t>
      </w:r>
      <w:r w:rsidRPr="008F7FA8">
        <w:rPr>
          <w:b/>
          <w:bCs/>
        </w:rPr>
        <w:t>CD24</w:t>
      </w:r>
      <w:r w:rsidRPr="008F7FA8">
        <w:rPr>
          <w:b/>
          <w:bCs/>
          <w:vertAlign w:val="superscript"/>
        </w:rPr>
        <w:t>+</w:t>
      </w:r>
      <w:r w:rsidRPr="008F7FA8">
        <w:rPr>
          <w:b/>
          <w:bCs/>
        </w:rPr>
        <w:t>-</w:t>
      </w:r>
      <w:proofErr w:type="spellStart"/>
      <w:r w:rsidRPr="008F7FA8">
        <w:rPr>
          <w:b/>
          <w:bCs/>
        </w:rPr>
        <w:t>PCa</w:t>
      </w:r>
      <w:proofErr w:type="spellEnd"/>
      <w:r w:rsidRPr="008F7FA8">
        <w:rPr>
          <w:b/>
          <w:bCs/>
        </w:rPr>
        <w:t xml:space="preserve"> cells. </w:t>
      </w:r>
      <w:r w:rsidRPr="008F7FA8">
        <w:rPr>
          <w:bCs/>
        </w:rPr>
        <w:t>ALDH</w:t>
      </w:r>
      <w:r w:rsidRPr="008F7FA8">
        <w:rPr>
          <w:bCs/>
          <w:vertAlign w:val="superscript"/>
        </w:rPr>
        <w:t>+</w:t>
      </w:r>
      <w:r w:rsidRPr="008F7FA8">
        <w:rPr>
          <w:rFonts w:hint="eastAsia"/>
          <w:bCs/>
          <w:vertAlign w:val="superscript"/>
        </w:rPr>
        <w:t xml:space="preserve"> </w:t>
      </w:r>
      <w:r w:rsidRPr="008F7FA8">
        <w:rPr>
          <w:bCs/>
        </w:rPr>
        <w:t>CD44</w:t>
      </w:r>
      <w:r w:rsidRPr="008F7FA8">
        <w:rPr>
          <w:bCs/>
          <w:vertAlign w:val="superscript"/>
        </w:rPr>
        <w:t>+</w:t>
      </w:r>
      <w:r w:rsidRPr="008F7FA8">
        <w:rPr>
          <w:bCs/>
        </w:rPr>
        <w:t>-,</w:t>
      </w:r>
      <w:r w:rsidRPr="008F7FA8">
        <w:rPr>
          <w:bCs/>
          <w:vertAlign w:val="superscript"/>
        </w:rPr>
        <w:t xml:space="preserve"> </w:t>
      </w:r>
      <w:r w:rsidRPr="008F7FA8">
        <w:rPr>
          <w:rFonts w:eastAsia="SimSun"/>
        </w:rPr>
        <w:t>ALDH</w:t>
      </w:r>
      <w:r w:rsidRPr="008F7FA8">
        <w:rPr>
          <w:rFonts w:eastAsia="SimSun"/>
          <w:vertAlign w:val="superscript"/>
        </w:rPr>
        <w:t>+</w:t>
      </w:r>
      <w:r w:rsidRPr="008F7FA8">
        <w:rPr>
          <w:rFonts w:hint="eastAsia"/>
          <w:bCs/>
          <w:vertAlign w:val="superscript"/>
        </w:rPr>
        <w:t xml:space="preserve"> </w:t>
      </w:r>
      <w:r w:rsidRPr="008F7FA8">
        <w:rPr>
          <w:rFonts w:eastAsia="SimSun"/>
        </w:rPr>
        <w:t>CD44</w:t>
      </w:r>
      <w:r w:rsidRPr="008F7FA8">
        <w:rPr>
          <w:rFonts w:eastAsia="SimSun"/>
          <w:vertAlign w:val="superscript"/>
        </w:rPr>
        <w:t>+</w:t>
      </w:r>
      <w:r w:rsidRPr="008F7FA8">
        <w:rPr>
          <w:rFonts w:hint="eastAsia"/>
          <w:bCs/>
          <w:vertAlign w:val="superscript"/>
        </w:rPr>
        <w:t xml:space="preserve"> </w:t>
      </w:r>
      <w:r w:rsidRPr="008F7FA8">
        <w:rPr>
          <w:rFonts w:eastAsia="SimSun"/>
        </w:rPr>
        <w:t>CXCR4</w:t>
      </w:r>
      <w:r w:rsidRPr="008F7FA8">
        <w:rPr>
          <w:rFonts w:eastAsia="SimSun"/>
          <w:vertAlign w:val="superscript"/>
        </w:rPr>
        <w:t>+</w:t>
      </w:r>
      <w:r w:rsidRPr="008F7FA8">
        <w:rPr>
          <w:rFonts w:hint="eastAsia"/>
          <w:bCs/>
          <w:vertAlign w:val="superscript"/>
        </w:rPr>
        <w:t xml:space="preserve"> </w:t>
      </w:r>
      <w:r w:rsidRPr="008F7FA8">
        <w:rPr>
          <w:rFonts w:eastAsia="SimSun"/>
        </w:rPr>
        <w:t>CD24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/>
        </w:rPr>
        <w:t>-, and ALDH</w:t>
      </w:r>
      <w:r w:rsidRPr="008F7FA8">
        <w:rPr>
          <w:vertAlign w:val="superscript"/>
        </w:rPr>
        <w:t>−</w:t>
      </w:r>
      <w:r w:rsidRPr="008F7FA8">
        <w:rPr>
          <w:rFonts w:hint="eastAsia"/>
          <w:bCs/>
          <w:vertAlign w:val="superscript"/>
        </w:rPr>
        <w:t xml:space="preserve"> </w:t>
      </w:r>
      <w:r w:rsidRPr="008F7FA8">
        <w:rPr>
          <w:rFonts w:eastAsia="SimSun"/>
        </w:rPr>
        <w:t>CD44</w:t>
      </w:r>
      <w:r w:rsidRPr="008F7FA8">
        <w:rPr>
          <w:vertAlign w:val="superscript"/>
        </w:rPr>
        <w:t>−</w:t>
      </w:r>
      <w:r w:rsidRPr="008F7FA8">
        <w:rPr>
          <w:rFonts w:hint="eastAsia"/>
          <w:bCs/>
          <w:vertAlign w:val="superscript"/>
        </w:rPr>
        <w:t xml:space="preserve"> </w:t>
      </w:r>
      <w:r w:rsidRPr="008F7FA8">
        <w:rPr>
          <w:rFonts w:eastAsia="SimSun"/>
        </w:rPr>
        <w:t>CXCR4</w:t>
      </w:r>
      <w:r w:rsidRPr="008F7FA8">
        <w:rPr>
          <w:vertAlign w:val="superscript"/>
        </w:rPr>
        <w:t>−</w:t>
      </w:r>
      <w:r w:rsidRPr="008F7FA8">
        <w:rPr>
          <w:rFonts w:hint="eastAsia"/>
          <w:bCs/>
          <w:vertAlign w:val="superscript"/>
        </w:rPr>
        <w:t xml:space="preserve"> </w:t>
      </w:r>
      <w:r w:rsidRPr="008F7FA8">
        <w:rPr>
          <w:rFonts w:eastAsia="SimSun"/>
        </w:rPr>
        <w:t>CD24</w:t>
      </w:r>
      <w:r w:rsidRPr="008F7FA8">
        <w:rPr>
          <w:vertAlign w:val="superscript"/>
        </w:rPr>
        <w:t>−</w:t>
      </w:r>
      <w:r w:rsidRPr="008F7FA8">
        <w:rPr>
          <w:rFonts w:eastAsia="SimSun"/>
        </w:rPr>
        <w:t>-</w:t>
      </w:r>
      <w:proofErr w:type="spellStart"/>
      <w:r w:rsidRPr="008F7FA8">
        <w:rPr>
          <w:rFonts w:eastAsia="SimSun"/>
        </w:rPr>
        <w:t>PCa</w:t>
      </w:r>
      <w:proofErr w:type="spellEnd"/>
      <w:r w:rsidRPr="008F7FA8">
        <w:rPr>
          <w:rFonts w:eastAsia="SimSun"/>
        </w:rPr>
        <w:t xml:space="preserve"> cells were obtained from orthotopic CWR22- or LAPC4-implanted tumors by FACS using respective antibodies. </w:t>
      </w:r>
      <w:r w:rsidRPr="008F7FA8">
        <w:t xml:space="preserve">(A, B) Tumor sphere formation assay. Each subset of </w:t>
      </w:r>
      <w:proofErr w:type="spellStart"/>
      <w:r w:rsidRPr="008F7FA8">
        <w:t>PCa</w:t>
      </w:r>
      <w:proofErr w:type="spellEnd"/>
      <w:r w:rsidRPr="008F7FA8">
        <w:t xml:space="preserve"> cells was seeded in an ultra-low attachment T25 flask at a density of 5×10</w:t>
      </w:r>
      <w:r w:rsidRPr="008F7FA8">
        <w:rPr>
          <w:vertAlign w:val="superscript"/>
        </w:rPr>
        <w:t>4</w:t>
      </w:r>
      <w:r w:rsidRPr="008F7FA8">
        <w:t xml:space="preserve"> cells/</w:t>
      </w:r>
      <w:proofErr w:type="gramStart"/>
      <w:r w:rsidRPr="008F7FA8">
        <w:t>flask, and</w:t>
      </w:r>
      <w:proofErr w:type="gramEnd"/>
      <w:r w:rsidRPr="008F7FA8">
        <w:t xml:space="preserve"> grown in RPMI supplemented with 10%</w:t>
      </w:r>
      <w:r w:rsidRPr="008F7FA8">
        <w:rPr>
          <w:bCs/>
        </w:rPr>
        <w:t xml:space="preserve"> charcoal dextran-stripped serum</w:t>
      </w:r>
      <w:r w:rsidRPr="008F7FA8">
        <w:t xml:space="preserve"> (CDSS). Tumor sphere formation was observed after 8 days of culture. In each flask, tumor spheres were counted at 10× magnification. Representative images are shown. Scale bar, 500 µm. Data are expressed as mean ± standard deviation (SD). * </w:t>
      </w:r>
      <w:r w:rsidRPr="008F7FA8">
        <w:rPr>
          <w:i/>
          <w:iCs/>
        </w:rPr>
        <w:t>p</w:t>
      </w:r>
      <w:r w:rsidRPr="008F7FA8">
        <w:t xml:space="preserve"> &lt; 0.05 vs. ALDH</w:t>
      </w:r>
      <w:r w:rsidRPr="008F7FA8">
        <w:rPr>
          <w:vertAlign w:val="superscript"/>
        </w:rPr>
        <w:t xml:space="preserve">+ </w:t>
      </w:r>
      <w:r w:rsidRPr="008F7FA8">
        <w:t>CD44</w:t>
      </w:r>
      <w:r w:rsidRPr="008F7FA8">
        <w:rPr>
          <w:vertAlign w:val="superscript"/>
        </w:rPr>
        <w:t xml:space="preserve">+ </w:t>
      </w:r>
      <w:r w:rsidRPr="008F7FA8">
        <w:t>CXCR4</w:t>
      </w:r>
      <w:r w:rsidRPr="008F7FA8">
        <w:rPr>
          <w:vertAlign w:val="superscript"/>
        </w:rPr>
        <w:t xml:space="preserve">+ </w:t>
      </w:r>
      <w:r w:rsidRPr="008F7FA8">
        <w:t>CD24</w:t>
      </w:r>
      <w:r w:rsidRPr="008F7FA8">
        <w:rPr>
          <w:vertAlign w:val="superscript"/>
        </w:rPr>
        <w:t>+</w:t>
      </w:r>
      <w:r w:rsidRPr="008F7FA8">
        <w:t xml:space="preserve">. (C, D) </w:t>
      </w:r>
      <w:r w:rsidRPr="008F7FA8">
        <w:rPr>
          <w:rFonts w:hint="eastAsia"/>
        </w:rPr>
        <w:t xml:space="preserve">Colony formation assay. </w:t>
      </w:r>
      <w:r w:rsidRPr="008F7FA8">
        <w:t xml:space="preserve">Each subset of </w:t>
      </w:r>
      <w:r w:rsidRPr="008F7FA8">
        <w:rPr>
          <w:rFonts w:eastAsia="SimSun"/>
        </w:rPr>
        <w:t xml:space="preserve">LAPC4 cells </w:t>
      </w:r>
      <w:r w:rsidRPr="008F7FA8">
        <w:t>was seeded in poly-L-ornithine- and laminin-coated 6-well plates at a density of 1×10</w:t>
      </w:r>
      <w:r w:rsidRPr="008F7FA8">
        <w:rPr>
          <w:vertAlign w:val="superscript"/>
        </w:rPr>
        <w:t>4</w:t>
      </w:r>
      <w:r w:rsidRPr="008F7FA8">
        <w:t xml:space="preserve"> cells/</w:t>
      </w:r>
      <w:proofErr w:type="gramStart"/>
      <w:r w:rsidRPr="008F7FA8">
        <w:t>well, and</w:t>
      </w:r>
      <w:proofErr w:type="gramEnd"/>
      <w:r w:rsidRPr="008F7FA8">
        <w:t xml:space="preserve"> maintained in IMDM supplemented with 15% CDSS. Colony formation was observed after 2 weeks of culture with medium refreshment every other day. The colonies formed were counted in each well at 10× magnification. Representative images are shown. Scale bar, 500 µm. Data are expressed as mean ± SD. * </w:t>
      </w:r>
      <w:r w:rsidRPr="008F7FA8">
        <w:rPr>
          <w:i/>
          <w:iCs/>
        </w:rPr>
        <w:t>p</w:t>
      </w:r>
      <w:r w:rsidRPr="008F7FA8">
        <w:t xml:space="preserve"> &lt; 0.05 vs. ALDH</w:t>
      </w:r>
      <w:r w:rsidRPr="008F7FA8">
        <w:rPr>
          <w:vertAlign w:val="superscript"/>
        </w:rPr>
        <w:t xml:space="preserve">+ </w:t>
      </w:r>
      <w:r w:rsidRPr="008F7FA8">
        <w:t>CD44</w:t>
      </w:r>
      <w:r w:rsidRPr="008F7FA8">
        <w:rPr>
          <w:vertAlign w:val="superscript"/>
        </w:rPr>
        <w:t xml:space="preserve">+ </w:t>
      </w:r>
      <w:r w:rsidRPr="008F7FA8">
        <w:t>CXCR4</w:t>
      </w:r>
      <w:r w:rsidRPr="008F7FA8">
        <w:rPr>
          <w:vertAlign w:val="superscript"/>
        </w:rPr>
        <w:t xml:space="preserve">+ </w:t>
      </w:r>
      <w:r w:rsidRPr="008F7FA8">
        <w:t>CD24</w:t>
      </w:r>
      <w:r w:rsidRPr="008F7FA8">
        <w:rPr>
          <w:vertAlign w:val="superscript"/>
        </w:rPr>
        <w:t>+</w:t>
      </w:r>
      <w:r w:rsidRPr="008F7FA8">
        <w:t>. (E) Pluripotency assay. 1×10</w:t>
      </w:r>
      <w:r w:rsidRPr="008F7FA8">
        <w:rPr>
          <w:vertAlign w:val="superscript"/>
        </w:rPr>
        <w:t>3</w:t>
      </w:r>
      <w:r w:rsidRPr="008F7FA8">
        <w:t xml:space="preserve"> </w:t>
      </w:r>
      <w:r w:rsidRPr="008F7FA8">
        <w:rPr>
          <w:rFonts w:eastAsia="SimSun"/>
        </w:rPr>
        <w:t>ALDH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 w:hint="eastAsia"/>
          <w:vertAlign w:val="superscript"/>
        </w:rPr>
        <w:t xml:space="preserve"> </w:t>
      </w:r>
      <w:r w:rsidRPr="008F7FA8">
        <w:rPr>
          <w:rFonts w:eastAsia="SimSun"/>
        </w:rPr>
        <w:t>CD44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 w:hint="eastAsia"/>
          <w:vertAlign w:val="superscript"/>
        </w:rPr>
        <w:t xml:space="preserve"> </w:t>
      </w:r>
      <w:r w:rsidRPr="008F7FA8">
        <w:rPr>
          <w:rFonts w:eastAsia="SimSun"/>
        </w:rPr>
        <w:t>CXCR4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 w:hint="eastAsia"/>
          <w:vertAlign w:val="superscript"/>
        </w:rPr>
        <w:t xml:space="preserve"> </w:t>
      </w:r>
      <w:r w:rsidRPr="008F7FA8">
        <w:rPr>
          <w:rFonts w:eastAsia="SimSun"/>
        </w:rPr>
        <w:t>CD24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/>
        </w:rPr>
        <w:t xml:space="preserve">-CWR22 cells were resuspended in a mixture of </w:t>
      </w:r>
      <w:r w:rsidRPr="008F7FA8">
        <w:t xml:space="preserve">20 </w:t>
      </w:r>
      <w:proofErr w:type="spellStart"/>
      <w:r w:rsidRPr="008F7FA8">
        <w:t>μl</w:t>
      </w:r>
      <w:proofErr w:type="spellEnd"/>
      <w:r w:rsidRPr="008F7FA8">
        <w:t xml:space="preserve"> medium and 20 </w:t>
      </w:r>
      <w:proofErr w:type="spellStart"/>
      <w:r w:rsidRPr="008F7FA8">
        <w:t>μl</w:t>
      </w:r>
      <w:proofErr w:type="spellEnd"/>
      <w:r w:rsidRPr="008F7FA8">
        <w:t xml:space="preserve"> Matrigel. The cell suspension was inoculated </w:t>
      </w:r>
      <w:r w:rsidRPr="008F7FA8">
        <w:rPr>
          <w:bCs/>
        </w:rPr>
        <w:t xml:space="preserve">into the dorsal prostates of </w:t>
      </w:r>
      <w:r w:rsidRPr="008F7FA8">
        <w:t>6</w:t>
      </w:r>
      <w:r>
        <w:t>-</w:t>
      </w:r>
      <w:r w:rsidRPr="008F7FA8">
        <w:t>8 week</w:t>
      </w:r>
      <w:r>
        <w:t>s</w:t>
      </w:r>
      <w:r w:rsidRPr="008F7FA8">
        <w:t xml:space="preserve"> old NOD/SCID male mice supplemented with dihydrotestosterone pellets (0.2 mg/mouse embedded subcutaneously). Tumors were harvested after 6 weeks of inoculation, and FACS analysis was performed to isolate subpopulations of CWR22 cells. After </w:t>
      </w:r>
      <w:r w:rsidRPr="008F7FA8">
        <w:rPr>
          <w:i/>
        </w:rPr>
        <w:t xml:space="preserve">in vivo </w:t>
      </w:r>
      <w:r w:rsidRPr="008F7FA8">
        <w:t xml:space="preserve">implantation, </w:t>
      </w:r>
      <w:r w:rsidRPr="008F7FA8">
        <w:rPr>
          <w:rFonts w:eastAsia="SimSun"/>
          <w:spacing w:val="-1"/>
        </w:rPr>
        <w:t>the original ALDH</w:t>
      </w:r>
      <w:r w:rsidRPr="008F7FA8">
        <w:rPr>
          <w:rFonts w:eastAsia="SimSun"/>
          <w:spacing w:val="-1"/>
          <w:vertAlign w:val="superscript"/>
        </w:rPr>
        <w:t>+</w:t>
      </w:r>
      <w:r w:rsidRPr="008F7FA8">
        <w:rPr>
          <w:rFonts w:eastAsia="SimSun"/>
          <w:spacing w:val="-1"/>
        </w:rPr>
        <w:t>CD44</w:t>
      </w:r>
      <w:r w:rsidRPr="008F7FA8">
        <w:rPr>
          <w:rFonts w:eastAsia="SimSun"/>
          <w:spacing w:val="-1"/>
          <w:vertAlign w:val="superscript"/>
        </w:rPr>
        <w:t>+</w:t>
      </w:r>
      <w:r w:rsidRPr="008F7FA8">
        <w:rPr>
          <w:rFonts w:eastAsia="SimSun"/>
          <w:spacing w:val="-1"/>
        </w:rPr>
        <w:t>CXCR4</w:t>
      </w:r>
      <w:r w:rsidRPr="008F7FA8">
        <w:rPr>
          <w:rFonts w:eastAsia="SimSun"/>
          <w:spacing w:val="-1"/>
          <w:vertAlign w:val="superscript"/>
        </w:rPr>
        <w:t>+</w:t>
      </w:r>
      <w:r w:rsidRPr="008F7FA8">
        <w:rPr>
          <w:rFonts w:eastAsia="SimSun"/>
          <w:spacing w:val="-1"/>
        </w:rPr>
        <w:t>CD24</w:t>
      </w:r>
      <w:r w:rsidRPr="008F7FA8">
        <w:rPr>
          <w:rFonts w:eastAsia="SimSun"/>
          <w:spacing w:val="-1"/>
          <w:vertAlign w:val="superscript"/>
        </w:rPr>
        <w:t>+</w:t>
      </w:r>
      <w:r w:rsidRPr="008F7FA8">
        <w:rPr>
          <w:rFonts w:eastAsia="SimSun"/>
          <w:spacing w:val="-1"/>
        </w:rPr>
        <w:t>-</w:t>
      </w:r>
      <w:proofErr w:type="spellStart"/>
      <w:r w:rsidRPr="008F7FA8">
        <w:rPr>
          <w:rFonts w:eastAsia="SimSun"/>
          <w:spacing w:val="-1"/>
        </w:rPr>
        <w:t>PCa</w:t>
      </w:r>
      <w:proofErr w:type="spellEnd"/>
      <w:r w:rsidRPr="008F7FA8">
        <w:rPr>
          <w:rFonts w:eastAsia="SimSun"/>
          <w:spacing w:val="-1"/>
        </w:rPr>
        <w:t xml:space="preserve"> cells could be differentiated into subpopulations of P1, P2 and P3, as indicated.</w:t>
      </w:r>
    </w:p>
    <w:p w14:paraId="3D28BB8D" w14:textId="77777777" w:rsidR="00A400E0" w:rsidRPr="008F7FA8" w:rsidRDefault="00A400E0" w:rsidP="00A400E0">
      <w:pPr>
        <w:spacing w:line="360" w:lineRule="auto"/>
      </w:pPr>
      <w:r w:rsidRPr="008F7FA8">
        <w:br w:type="page"/>
      </w:r>
    </w:p>
    <w:p w14:paraId="5EAFD9BA" w14:textId="77777777" w:rsidR="00A400E0" w:rsidRPr="008F7FA8" w:rsidRDefault="00A400E0" w:rsidP="00A400E0">
      <w:pPr>
        <w:adjustRightInd w:val="0"/>
        <w:snapToGrid w:val="0"/>
        <w:spacing w:line="360" w:lineRule="auto"/>
        <w:rPr>
          <w:rFonts w:eastAsiaTheme="minorEastAsia"/>
          <w:b/>
        </w:rPr>
      </w:pPr>
      <w:r w:rsidRPr="008F7FA8">
        <w:rPr>
          <w:rFonts w:hint="eastAsia"/>
          <w:b/>
        </w:rPr>
        <w:lastRenderedPageBreak/>
        <w:t>Supplementary Fig. 2</w:t>
      </w:r>
    </w:p>
    <w:p w14:paraId="1B4095AE" w14:textId="77777777" w:rsidR="00A400E0" w:rsidRPr="008F7FA8" w:rsidRDefault="00A400E0" w:rsidP="00A400E0">
      <w:pPr>
        <w:adjustRightInd w:val="0"/>
        <w:snapToGrid w:val="0"/>
        <w:spacing w:line="360" w:lineRule="auto"/>
        <w:rPr>
          <w:b/>
        </w:rPr>
      </w:pPr>
    </w:p>
    <w:p w14:paraId="17BAF746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  <w:r w:rsidRPr="008F7FA8">
        <w:rPr>
          <w:rFonts w:hint="eastAsia"/>
          <w:b/>
        </w:rPr>
        <w:t xml:space="preserve">Supplementary </w:t>
      </w:r>
      <w:r w:rsidRPr="008F7FA8">
        <w:rPr>
          <w:b/>
        </w:rPr>
        <w:t xml:space="preserve">Figure </w:t>
      </w:r>
      <w:r w:rsidRPr="008F7FA8">
        <w:rPr>
          <w:rFonts w:hint="eastAsia"/>
          <w:b/>
        </w:rPr>
        <w:t>2</w:t>
      </w:r>
      <w:r w:rsidRPr="008F7FA8">
        <w:rPr>
          <w:b/>
        </w:rPr>
        <w:t xml:space="preserve">. </w:t>
      </w:r>
      <w:r w:rsidRPr="008F7FA8">
        <w:rPr>
          <w:rFonts w:hint="eastAsia"/>
          <w:b/>
        </w:rPr>
        <w:t>Tumorigenic capacity</w:t>
      </w:r>
      <w:r w:rsidRPr="008F7FA8">
        <w:rPr>
          <w:b/>
        </w:rPr>
        <w:t xml:space="preserve"> of cell subpopulations derived from </w:t>
      </w:r>
      <w:r w:rsidRPr="008F7FA8">
        <w:rPr>
          <w:b/>
          <w:bCs/>
        </w:rPr>
        <w:t xml:space="preserve">orthotopic implant tumors. </w:t>
      </w:r>
      <w:r w:rsidRPr="008F7FA8">
        <w:rPr>
          <w:rFonts w:eastAsia="SimSun"/>
        </w:rPr>
        <w:t>CD44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/>
        </w:rPr>
        <w:t>-, CD44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 w:hint="eastAsia"/>
          <w:vertAlign w:val="superscript"/>
        </w:rPr>
        <w:t xml:space="preserve"> </w:t>
      </w:r>
      <w:r w:rsidRPr="008F7FA8">
        <w:rPr>
          <w:rFonts w:eastAsia="SimSun"/>
        </w:rPr>
        <w:t>α2β1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/>
        </w:rPr>
        <w:t>-, ALDH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 w:hint="eastAsia"/>
          <w:vertAlign w:val="superscript"/>
        </w:rPr>
        <w:t xml:space="preserve"> </w:t>
      </w:r>
      <w:r w:rsidRPr="008F7FA8">
        <w:rPr>
          <w:rFonts w:eastAsia="SimSun"/>
        </w:rPr>
        <w:t>CD44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 w:hint="eastAsia"/>
          <w:vertAlign w:val="superscript"/>
        </w:rPr>
        <w:t xml:space="preserve"> </w:t>
      </w:r>
      <w:r w:rsidRPr="008F7FA8">
        <w:rPr>
          <w:rFonts w:eastAsia="SimSun"/>
        </w:rPr>
        <w:t>α2β1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/>
        </w:rPr>
        <w:t>-, and ALDH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 w:hint="eastAsia"/>
          <w:vertAlign w:val="superscript"/>
        </w:rPr>
        <w:t xml:space="preserve"> </w:t>
      </w:r>
      <w:r w:rsidRPr="008F7FA8">
        <w:rPr>
          <w:rFonts w:eastAsia="SimSun"/>
        </w:rPr>
        <w:t>CD44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 w:hint="eastAsia"/>
          <w:vertAlign w:val="superscript"/>
        </w:rPr>
        <w:t xml:space="preserve"> </w:t>
      </w:r>
      <w:r w:rsidRPr="008F7FA8">
        <w:rPr>
          <w:rFonts w:eastAsia="SimSun"/>
        </w:rPr>
        <w:t>CXCR4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 w:hint="eastAsia"/>
          <w:vertAlign w:val="superscript"/>
        </w:rPr>
        <w:t xml:space="preserve"> </w:t>
      </w:r>
      <w:r w:rsidRPr="008F7FA8">
        <w:rPr>
          <w:rFonts w:eastAsia="SimSun"/>
        </w:rPr>
        <w:t>CD24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/>
        </w:rPr>
        <w:t>-</w:t>
      </w:r>
      <w:proofErr w:type="spellStart"/>
      <w:r w:rsidRPr="008F7FA8">
        <w:rPr>
          <w:rFonts w:eastAsia="SimSun"/>
        </w:rPr>
        <w:t>PCa</w:t>
      </w:r>
      <w:proofErr w:type="spellEnd"/>
      <w:r w:rsidRPr="008F7FA8">
        <w:rPr>
          <w:rFonts w:eastAsia="SimSun"/>
        </w:rPr>
        <w:t xml:space="preserve"> cells were obtained from orthotopic CWR22 tumors by FACS using the respective</w:t>
      </w:r>
      <w:r>
        <w:rPr>
          <w:rFonts w:eastAsia="SimSun"/>
        </w:rPr>
        <w:t xml:space="preserve"> </w:t>
      </w:r>
      <w:r w:rsidRPr="008F7FA8">
        <w:rPr>
          <w:rFonts w:eastAsia="SimSun"/>
        </w:rPr>
        <w:t>antibodies</w:t>
      </w:r>
      <w:r>
        <w:rPr>
          <w:rFonts w:eastAsia="SimSun"/>
        </w:rPr>
        <w:t>,</w:t>
      </w:r>
      <w:r w:rsidRPr="008F7FA8">
        <w:rPr>
          <w:rFonts w:eastAsia="SimSun" w:hint="eastAsia"/>
        </w:rPr>
        <w:t xml:space="preserve"> whereas </w:t>
      </w:r>
      <w:r w:rsidRPr="008F7FA8">
        <w:rPr>
          <w:rFonts w:eastAsia="SimSun" w:hint="eastAsia"/>
          <w:i/>
        </w:rPr>
        <w:t>HOXB9</w:t>
      </w:r>
      <w:r w:rsidRPr="008F7FA8">
        <w:rPr>
          <w:rFonts w:eastAsia="SimSun" w:hint="eastAsia"/>
        </w:rPr>
        <w:t>-silenced</w:t>
      </w:r>
      <w:r w:rsidRPr="008F7FA8">
        <w:rPr>
          <w:rFonts w:eastAsia="SimSun"/>
        </w:rPr>
        <w:t xml:space="preserve"> ALDH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 w:hint="eastAsia"/>
          <w:vertAlign w:val="superscript"/>
        </w:rPr>
        <w:t xml:space="preserve"> </w:t>
      </w:r>
      <w:r w:rsidRPr="008F7FA8">
        <w:rPr>
          <w:rFonts w:eastAsia="SimSun"/>
        </w:rPr>
        <w:t>CD44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 w:hint="eastAsia"/>
          <w:vertAlign w:val="superscript"/>
        </w:rPr>
        <w:t xml:space="preserve"> </w:t>
      </w:r>
      <w:r w:rsidRPr="008F7FA8">
        <w:rPr>
          <w:rFonts w:eastAsia="SimSun"/>
        </w:rPr>
        <w:t>CXCR4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 w:hint="eastAsia"/>
          <w:vertAlign w:val="superscript"/>
        </w:rPr>
        <w:t xml:space="preserve"> </w:t>
      </w:r>
      <w:r w:rsidRPr="008F7FA8">
        <w:rPr>
          <w:rFonts w:eastAsia="SimSun"/>
        </w:rPr>
        <w:t>CD24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/>
        </w:rPr>
        <w:t>-</w:t>
      </w:r>
      <w:proofErr w:type="spellStart"/>
      <w:r w:rsidRPr="008F7FA8">
        <w:rPr>
          <w:rFonts w:eastAsia="SimSun"/>
        </w:rPr>
        <w:t>PCa</w:t>
      </w:r>
      <w:proofErr w:type="spellEnd"/>
      <w:r w:rsidRPr="008F7FA8">
        <w:rPr>
          <w:rFonts w:eastAsia="SimSun"/>
        </w:rPr>
        <w:t xml:space="preserve"> cells </w:t>
      </w:r>
      <w:r w:rsidRPr="008F7FA8">
        <w:rPr>
          <w:rFonts w:eastAsia="SimSun" w:hint="eastAsia"/>
        </w:rPr>
        <w:t xml:space="preserve">were derived from </w:t>
      </w:r>
      <w:r w:rsidRPr="008F7FA8">
        <w:rPr>
          <w:rFonts w:eastAsia="SimSun"/>
        </w:rPr>
        <w:t>ALDH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 w:hint="eastAsia"/>
          <w:vertAlign w:val="superscript"/>
        </w:rPr>
        <w:t xml:space="preserve"> </w:t>
      </w:r>
      <w:r w:rsidRPr="008F7FA8">
        <w:rPr>
          <w:rFonts w:eastAsia="SimSun"/>
        </w:rPr>
        <w:t>CD44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 w:hint="eastAsia"/>
          <w:vertAlign w:val="superscript"/>
        </w:rPr>
        <w:t xml:space="preserve"> </w:t>
      </w:r>
      <w:r w:rsidRPr="008F7FA8">
        <w:rPr>
          <w:rFonts w:eastAsia="SimSun"/>
        </w:rPr>
        <w:t>CXCR4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 w:hint="eastAsia"/>
          <w:vertAlign w:val="superscript"/>
        </w:rPr>
        <w:t xml:space="preserve"> </w:t>
      </w:r>
      <w:r w:rsidRPr="008F7FA8">
        <w:rPr>
          <w:rFonts w:eastAsia="SimSun"/>
        </w:rPr>
        <w:t>CD24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/>
        </w:rPr>
        <w:t>-cells</w:t>
      </w:r>
      <w:r w:rsidRPr="008F7FA8">
        <w:rPr>
          <w:rFonts w:eastAsia="SimSun" w:hint="eastAsia"/>
        </w:rPr>
        <w:t xml:space="preserve">. </w:t>
      </w:r>
      <w:r w:rsidRPr="008F7FA8">
        <w:rPr>
          <w:rFonts w:eastAsia="SimSun"/>
        </w:rPr>
        <w:t>Orthotopic tumor models were established using these subsets of cells, respectively. Mice were sacrificed at week 14 after inoculation. The time for developing a palpable tumor (A), tumor weights (B), and the quantity of metastatic foci (</w:t>
      </w:r>
      <w:r w:rsidRPr="008F7FA8">
        <w:rPr>
          <w:rFonts w:eastAsia="SimSun" w:hint="eastAsia"/>
        </w:rPr>
        <w:t xml:space="preserve">derived from </w:t>
      </w:r>
      <w:r w:rsidRPr="008F7FA8">
        <w:rPr>
          <w:rFonts w:hint="eastAsia"/>
          <w:bCs/>
        </w:rPr>
        <w:t>1</w:t>
      </w:r>
      <w:r w:rsidRPr="008F7FA8">
        <w:rPr>
          <w:bCs/>
        </w:rPr>
        <w:t>×</w:t>
      </w:r>
      <w:r w:rsidRPr="008F7FA8">
        <w:rPr>
          <w:rFonts w:hint="eastAsia"/>
          <w:bCs/>
        </w:rPr>
        <w:t>10</w:t>
      </w:r>
      <w:r w:rsidRPr="008F7FA8">
        <w:rPr>
          <w:rFonts w:hint="eastAsia"/>
          <w:bCs/>
          <w:vertAlign w:val="superscript"/>
        </w:rPr>
        <w:t>3</w:t>
      </w:r>
      <w:r w:rsidRPr="008F7FA8">
        <w:rPr>
          <w:rFonts w:hint="eastAsia"/>
          <w:bCs/>
        </w:rPr>
        <w:t xml:space="preserve"> cell transplant; </w:t>
      </w:r>
      <w:r w:rsidRPr="008F7FA8">
        <w:rPr>
          <w:rFonts w:eastAsia="SimSun"/>
        </w:rPr>
        <w:t xml:space="preserve">C) were recorded. * </w:t>
      </w:r>
      <w:r w:rsidRPr="008F7FA8">
        <w:rPr>
          <w:rFonts w:eastAsia="SimSun" w:hint="eastAsia"/>
          <w:i/>
        </w:rPr>
        <w:t>p</w:t>
      </w:r>
      <w:r w:rsidRPr="008F7FA8">
        <w:rPr>
          <w:rFonts w:eastAsia="SimSun"/>
        </w:rPr>
        <w:t xml:space="preserve"> &lt; 0.05 </w:t>
      </w:r>
      <w:r w:rsidRPr="008F7FA8">
        <w:rPr>
          <w:rFonts w:eastAsia="SimSun" w:hint="eastAsia"/>
        </w:rPr>
        <w:t>vs.</w:t>
      </w:r>
      <w:r w:rsidRPr="008F7FA8">
        <w:rPr>
          <w:rFonts w:eastAsia="SimSun"/>
        </w:rPr>
        <w:t xml:space="preserve"> </w:t>
      </w:r>
      <w:r w:rsidRPr="008F7FA8">
        <w:rPr>
          <w:rFonts w:eastAsia="SimSun" w:hint="eastAsia"/>
        </w:rPr>
        <w:t>CD44</w:t>
      </w:r>
      <w:r w:rsidRPr="008F7FA8">
        <w:rPr>
          <w:rFonts w:eastAsia="SimSun"/>
          <w:vertAlign w:val="superscript"/>
        </w:rPr>
        <w:t>+</w:t>
      </w:r>
      <w:r w:rsidRPr="008F7FA8">
        <w:rPr>
          <w:rFonts w:eastAsia="SimSun"/>
        </w:rPr>
        <w:t xml:space="preserve"> cells-based implantation.</w:t>
      </w:r>
    </w:p>
    <w:p w14:paraId="7AAD01B5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5A276F51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35E66C4A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63D52201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02867960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7BEB18C2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0521D639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7E2409F7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479F50F3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45F15CCF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57824591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3BB3B9BF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78E9A7B4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36D3A3FF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70472DFF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75BC90F6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0042AD55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19003786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385ED883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29A4F0B7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37B36157" w14:textId="77777777" w:rsidR="00A400E0" w:rsidRDefault="00A400E0" w:rsidP="00A400E0">
      <w:pPr>
        <w:adjustRightInd w:val="0"/>
        <w:snapToGrid w:val="0"/>
        <w:spacing w:line="360" w:lineRule="auto"/>
        <w:rPr>
          <w:b/>
        </w:rPr>
      </w:pPr>
      <w:r>
        <w:rPr>
          <w:rFonts w:hint="eastAsia"/>
          <w:b/>
        </w:rPr>
        <w:lastRenderedPageBreak/>
        <w:t>Supplementary Fig. 3</w:t>
      </w:r>
    </w:p>
    <w:p w14:paraId="77AA1DAB" w14:textId="77777777" w:rsidR="00A400E0" w:rsidRDefault="00A400E0" w:rsidP="00A400E0">
      <w:pPr>
        <w:adjustRightInd w:val="0"/>
        <w:snapToGrid w:val="0"/>
        <w:spacing w:line="360" w:lineRule="auto"/>
        <w:rPr>
          <w:b/>
        </w:rPr>
      </w:pPr>
    </w:p>
    <w:p w14:paraId="54412BDF" w14:textId="77777777" w:rsidR="00A400E0" w:rsidRPr="00260418" w:rsidRDefault="00A400E0" w:rsidP="00A400E0">
      <w:pPr>
        <w:adjustRightInd w:val="0"/>
        <w:snapToGrid w:val="0"/>
        <w:spacing w:line="360" w:lineRule="auto"/>
      </w:pPr>
      <w:r>
        <w:rPr>
          <w:rFonts w:hint="eastAsia"/>
          <w:b/>
        </w:rPr>
        <w:t xml:space="preserve">Supplementary </w:t>
      </w:r>
      <w:r w:rsidRPr="00BE08F4">
        <w:rPr>
          <w:b/>
        </w:rPr>
        <w:t xml:space="preserve">Figure </w:t>
      </w:r>
      <w:r>
        <w:rPr>
          <w:rFonts w:hint="eastAsia"/>
          <w:b/>
        </w:rPr>
        <w:t>3</w:t>
      </w:r>
      <w:r w:rsidRPr="00BE08F4">
        <w:rPr>
          <w:b/>
        </w:rPr>
        <w:t>.</w:t>
      </w:r>
      <w:r w:rsidRPr="00BE08F4">
        <w:t xml:space="preserve"> </w:t>
      </w:r>
      <w:r w:rsidRPr="00BE08F4">
        <w:rPr>
          <w:rFonts w:eastAsia="SimSun"/>
          <w:b/>
        </w:rPr>
        <w:t xml:space="preserve">HOXB9/TGFβ2 signaling in </w:t>
      </w:r>
      <w:r w:rsidRPr="00462796">
        <w:rPr>
          <w:rFonts w:eastAsia="SimSun"/>
          <w:b/>
        </w:rPr>
        <w:t xml:space="preserve">the </w:t>
      </w:r>
      <w:r w:rsidRPr="00BE08F4">
        <w:rPr>
          <w:b/>
          <w:bCs/>
        </w:rPr>
        <w:t>ALDH</w:t>
      </w:r>
      <w:r w:rsidRPr="00BE08F4">
        <w:rPr>
          <w:b/>
          <w:bCs/>
          <w:vertAlign w:val="superscript"/>
        </w:rPr>
        <w:t>+</w:t>
      </w:r>
      <w:r w:rsidRPr="00BE08F4">
        <w:rPr>
          <w:b/>
          <w:bCs/>
        </w:rPr>
        <w:t>CD44</w:t>
      </w:r>
      <w:r w:rsidRPr="00BE08F4">
        <w:rPr>
          <w:b/>
          <w:bCs/>
          <w:vertAlign w:val="superscript"/>
        </w:rPr>
        <w:t>+</w:t>
      </w:r>
      <w:r w:rsidRPr="00BE08F4">
        <w:rPr>
          <w:b/>
          <w:bCs/>
        </w:rPr>
        <w:t>CXCR4</w:t>
      </w:r>
      <w:r w:rsidRPr="00BE08F4">
        <w:rPr>
          <w:b/>
          <w:bCs/>
          <w:vertAlign w:val="superscript"/>
        </w:rPr>
        <w:t>+</w:t>
      </w:r>
      <w:r w:rsidRPr="00BE08F4">
        <w:rPr>
          <w:b/>
          <w:bCs/>
        </w:rPr>
        <w:t>CD24</w:t>
      </w:r>
      <w:r w:rsidRPr="00BE08F4">
        <w:rPr>
          <w:b/>
          <w:bCs/>
          <w:vertAlign w:val="superscript"/>
        </w:rPr>
        <w:t>+</w:t>
      </w:r>
      <w:r w:rsidRPr="00BE08F4">
        <w:rPr>
          <w:b/>
          <w:bCs/>
        </w:rPr>
        <w:t xml:space="preserve"> subpopulation derived from </w:t>
      </w:r>
      <w:proofErr w:type="spellStart"/>
      <w:r>
        <w:rPr>
          <w:b/>
          <w:bCs/>
        </w:rPr>
        <w:t>PCa</w:t>
      </w:r>
      <w:proofErr w:type="spellEnd"/>
      <w:r>
        <w:rPr>
          <w:b/>
          <w:bCs/>
        </w:rPr>
        <w:t xml:space="preserve"> </w:t>
      </w:r>
      <w:r w:rsidRPr="00BE08F4">
        <w:rPr>
          <w:b/>
          <w:bCs/>
        </w:rPr>
        <w:t>xenografts</w:t>
      </w:r>
      <w:r w:rsidRPr="00260418">
        <w:rPr>
          <w:b/>
          <w:bCs/>
        </w:rPr>
        <w:t>.</w:t>
      </w:r>
      <w:r w:rsidRPr="00260418">
        <w:rPr>
          <w:rFonts w:eastAsia="SimSun"/>
          <w:b/>
        </w:rPr>
        <w:t xml:space="preserve"> </w:t>
      </w:r>
      <w:r w:rsidRPr="00260418">
        <w:t>(A) T</w:t>
      </w:r>
      <w:r w:rsidRPr="00260418">
        <w:rPr>
          <w:rFonts w:eastAsia="SimSun"/>
        </w:rPr>
        <w:t xml:space="preserve">he protein expression of HOXB9 and TGFβ2 in different subsets of cells </w:t>
      </w:r>
      <w:r>
        <w:rPr>
          <w:rFonts w:eastAsia="SimSun" w:hint="eastAsia"/>
        </w:rPr>
        <w:t xml:space="preserve">(as indicated) </w:t>
      </w:r>
      <w:r w:rsidRPr="00260418">
        <w:rPr>
          <w:rFonts w:eastAsia="SimSun"/>
        </w:rPr>
        <w:t xml:space="preserve">derived from orthotopic </w:t>
      </w:r>
      <w:r>
        <w:rPr>
          <w:rFonts w:eastAsia="SimSun"/>
        </w:rPr>
        <w:t>CWR22</w:t>
      </w:r>
      <w:r w:rsidRPr="00260418">
        <w:rPr>
          <w:rFonts w:eastAsia="SimSun"/>
        </w:rPr>
        <w:t xml:space="preserve"> </w:t>
      </w:r>
      <w:r>
        <w:rPr>
          <w:rFonts w:eastAsia="SimSun"/>
        </w:rPr>
        <w:t xml:space="preserve">implant </w:t>
      </w:r>
      <w:r w:rsidRPr="00260418">
        <w:rPr>
          <w:rFonts w:eastAsia="SimSun"/>
        </w:rPr>
        <w:t xml:space="preserve">tumors was determined by Western blot assay. β-actin was used </w:t>
      </w:r>
      <w:r>
        <w:rPr>
          <w:rFonts w:eastAsia="SimSun"/>
        </w:rPr>
        <w:t xml:space="preserve">as </w:t>
      </w:r>
      <w:r w:rsidRPr="00260418">
        <w:rPr>
          <w:rFonts w:eastAsia="SimSun"/>
        </w:rPr>
        <w:t xml:space="preserve">an internal control. </w:t>
      </w:r>
      <w:r w:rsidRPr="00260418">
        <w:t>The c</w:t>
      </w:r>
      <w:r w:rsidRPr="00260418">
        <w:rPr>
          <w:bCs/>
        </w:rPr>
        <w:t xml:space="preserve">ell migratory (B) and invasive abilities (C) were evaluated in the presence or absence of </w:t>
      </w:r>
      <w:r w:rsidRPr="00260418">
        <w:t xml:space="preserve">TGFβ inhibitor SD208 (5 </w:t>
      </w:r>
      <w:proofErr w:type="spellStart"/>
      <w:r w:rsidRPr="00260418">
        <w:t>μM</w:t>
      </w:r>
      <w:proofErr w:type="spellEnd"/>
      <w:r w:rsidRPr="00260418">
        <w:t xml:space="preserve">) </w:t>
      </w:r>
      <w:r w:rsidRPr="00260418">
        <w:rPr>
          <w:bCs/>
        </w:rPr>
        <w:t xml:space="preserve">using wound healing and </w:t>
      </w:r>
      <w:proofErr w:type="spellStart"/>
      <w:r w:rsidRPr="00260418">
        <w:rPr>
          <w:bCs/>
        </w:rPr>
        <w:t>transwell</w:t>
      </w:r>
      <w:proofErr w:type="spellEnd"/>
      <w:r w:rsidRPr="00260418">
        <w:rPr>
          <w:bCs/>
        </w:rPr>
        <w:t xml:space="preserve"> assays, respectively. Representative images of invading cells are shown in (C). Scale bar, 30 µm. 1×10</w:t>
      </w:r>
      <w:r w:rsidRPr="00260418">
        <w:rPr>
          <w:bCs/>
          <w:vertAlign w:val="superscript"/>
        </w:rPr>
        <w:t>3</w:t>
      </w:r>
      <w:r w:rsidRPr="00260418">
        <w:rPr>
          <w:bCs/>
        </w:rPr>
        <w:t xml:space="preserve"> ALDH</w:t>
      </w:r>
      <w:r w:rsidRPr="00260418">
        <w:rPr>
          <w:bCs/>
          <w:vertAlign w:val="superscript"/>
        </w:rPr>
        <w:t>+</w:t>
      </w:r>
      <w:r>
        <w:rPr>
          <w:rFonts w:hint="eastAsia"/>
          <w:bCs/>
          <w:vertAlign w:val="superscript"/>
        </w:rPr>
        <w:t xml:space="preserve"> </w:t>
      </w:r>
      <w:r w:rsidRPr="00260418">
        <w:rPr>
          <w:bCs/>
        </w:rPr>
        <w:t>CD44</w:t>
      </w:r>
      <w:r w:rsidRPr="00260418">
        <w:rPr>
          <w:bCs/>
          <w:vertAlign w:val="superscript"/>
        </w:rPr>
        <w:t>+</w:t>
      </w:r>
      <w:r>
        <w:rPr>
          <w:rFonts w:hint="eastAsia"/>
          <w:bCs/>
          <w:vertAlign w:val="superscript"/>
        </w:rPr>
        <w:t xml:space="preserve"> </w:t>
      </w:r>
      <w:r w:rsidRPr="00260418">
        <w:rPr>
          <w:bCs/>
        </w:rPr>
        <w:t>CXCR4</w:t>
      </w:r>
      <w:r w:rsidRPr="00260418">
        <w:rPr>
          <w:bCs/>
          <w:vertAlign w:val="superscript"/>
        </w:rPr>
        <w:t>+</w:t>
      </w:r>
      <w:r>
        <w:rPr>
          <w:rFonts w:hint="eastAsia"/>
          <w:bCs/>
          <w:vertAlign w:val="superscript"/>
        </w:rPr>
        <w:t xml:space="preserve"> </w:t>
      </w:r>
      <w:r w:rsidRPr="00260418">
        <w:rPr>
          <w:bCs/>
        </w:rPr>
        <w:t>CD24</w:t>
      </w:r>
      <w:r w:rsidRPr="00260418">
        <w:rPr>
          <w:bCs/>
          <w:vertAlign w:val="superscript"/>
        </w:rPr>
        <w:t>+</w:t>
      </w:r>
      <w:r>
        <w:rPr>
          <w:bCs/>
        </w:rPr>
        <w:t xml:space="preserve"> </w:t>
      </w:r>
      <w:r w:rsidRPr="00260418">
        <w:rPr>
          <w:bCs/>
        </w:rPr>
        <w:t xml:space="preserve">cells pretreated with </w:t>
      </w:r>
      <w:r w:rsidRPr="00260418">
        <w:t xml:space="preserve">TGFβ inhibitor SD208 (5 </w:t>
      </w:r>
      <w:proofErr w:type="spellStart"/>
      <w:r w:rsidRPr="00260418">
        <w:t>μM</w:t>
      </w:r>
      <w:proofErr w:type="spellEnd"/>
      <w:r w:rsidRPr="00260418">
        <w:t xml:space="preserve">) or control </w:t>
      </w:r>
      <w:r w:rsidRPr="00260418">
        <w:rPr>
          <w:bCs/>
        </w:rPr>
        <w:t xml:space="preserve">were implanted into </w:t>
      </w:r>
      <w:r>
        <w:rPr>
          <w:bCs/>
        </w:rPr>
        <w:t xml:space="preserve">the </w:t>
      </w:r>
      <w:r w:rsidRPr="00260418">
        <w:rPr>
          <w:bCs/>
        </w:rPr>
        <w:t>dorsal prostate</w:t>
      </w:r>
      <w:r>
        <w:rPr>
          <w:bCs/>
        </w:rPr>
        <w:t>s</w:t>
      </w:r>
      <w:r w:rsidRPr="00260418">
        <w:rPr>
          <w:bCs/>
        </w:rPr>
        <w:t xml:space="preserve"> of mice</w:t>
      </w:r>
      <w:r w:rsidRPr="00260418">
        <w:t xml:space="preserve">, which were sacrificed at week 10 after implantation. </w:t>
      </w:r>
      <w:r w:rsidRPr="00260418">
        <w:rPr>
          <w:rFonts w:eastAsia="SimSun"/>
        </w:rPr>
        <w:t>The time for developing palpable tumor</w:t>
      </w:r>
      <w:r>
        <w:rPr>
          <w:rFonts w:eastAsia="SimSun"/>
        </w:rPr>
        <w:t>s</w:t>
      </w:r>
      <w:r w:rsidRPr="00260418">
        <w:rPr>
          <w:rFonts w:eastAsia="SimSun"/>
        </w:rPr>
        <w:t xml:space="preserve"> (D), tumor weights (E), and the </w:t>
      </w:r>
      <w:r>
        <w:rPr>
          <w:rFonts w:eastAsia="SimSun"/>
        </w:rPr>
        <w:t>quantity</w:t>
      </w:r>
      <w:r w:rsidRPr="00260418">
        <w:rPr>
          <w:rFonts w:eastAsia="SimSun"/>
        </w:rPr>
        <w:t xml:space="preserve"> of metastatic foci in </w:t>
      </w:r>
      <w:r>
        <w:rPr>
          <w:rFonts w:eastAsia="SimSun"/>
        </w:rPr>
        <w:t>the lungs (F) were recorded. n=</w:t>
      </w:r>
      <w:r w:rsidRPr="00260418">
        <w:rPr>
          <w:rFonts w:eastAsia="SimSun"/>
        </w:rPr>
        <w:t xml:space="preserve">12. </w:t>
      </w:r>
      <w:r>
        <w:t>*</w:t>
      </w:r>
      <w:r w:rsidRPr="00260418">
        <w:rPr>
          <w:i/>
        </w:rPr>
        <w:t>P</w:t>
      </w:r>
      <w:r w:rsidRPr="00260418">
        <w:t xml:space="preserve">&lt;0.05 vs. </w:t>
      </w:r>
      <w:r>
        <w:t>the c</w:t>
      </w:r>
      <w:r w:rsidRPr="00260418">
        <w:t>ontrol.</w:t>
      </w:r>
      <w:r w:rsidRPr="00260418">
        <w:fldChar w:fldCharType="begin"/>
      </w:r>
      <w:r w:rsidRPr="00260418">
        <w:instrText xml:space="preserve"> ADDIN </w:instrText>
      </w:r>
      <w:r w:rsidRPr="00260418">
        <w:fldChar w:fldCharType="end"/>
      </w:r>
    </w:p>
    <w:p w14:paraId="633CE280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31CA3632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358DF302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21B05B36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05A7E509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150A4983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46B2E5C1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5824FBAC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1DD7D82B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7C8CA58F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3AB86B24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4FF31839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3BF51BDF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453B19B2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47CDD89B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3EFB9058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53DD583C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6D8ECE96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</w:rPr>
      </w:pPr>
    </w:p>
    <w:p w14:paraId="1A9833B3" w14:textId="77777777" w:rsidR="00A400E0" w:rsidRPr="002607C8" w:rsidRDefault="00A400E0" w:rsidP="00A400E0">
      <w:pPr>
        <w:adjustRightInd w:val="0"/>
        <w:snapToGrid w:val="0"/>
        <w:spacing w:line="360" w:lineRule="auto"/>
        <w:rPr>
          <w:b/>
        </w:rPr>
      </w:pPr>
      <w:r w:rsidRPr="002B77E7">
        <w:rPr>
          <w:b/>
        </w:rPr>
        <w:lastRenderedPageBreak/>
        <w:t>Supplementary table</w:t>
      </w:r>
      <w:r>
        <w:rPr>
          <w:b/>
        </w:rPr>
        <w:t xml:space="preserve"> 1. </w:t>
      </w:r>
      <w:r w:rsidRPr="002607C8">
        <w:rPr>
          <w:b/>
        </w:rPr>
        <w:t>shRNA sequences of 12 cancer stem cell (CSC) growth-related genes.</w:t>
      </w:r>
    </w:p>
    <w:p w14:paraId="5C042062" w14:textId="77777777" w:rsidR="00A400E0" w:rsidRDefault="00A400E0" w:rsidP="00A400E0">
      <w:pPr>
        <w:adjustRightInd w:val="0"/>
        <w:snapToGrid w:val="0"/>
        <w:spacing w:line="360" w:lineRule="auto"/>
        <w:rPr>
          <w:bCs/>
        </w:rPr>
      </w:pPr>
    </w:p>
    <w:p w14:paraId="255B3EF2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  <w:b/>
          <w:bCs/>
        </w:rPr>
      </w:pPr>
      <w:r w:rsidRPr="002B77E7">
        <w:rPr>
          <w:b/>
        </w:rPr>
        <w:t>Supplementary table</w:t>
      </w:r>
      <w:r>
        <w:rPr>
          <w:b/>
        </w:rPr>
        <w:t xml:space="preserve"> 2. </w:t>
      </w:r>
      <w:r w:rsidRPr="002607C8">
        <w:rPr>
          <w:rFonts w:eastAsia="SimSun"/>
          <w:b/>
          <w:bCs/>
        </w:rPr>
        <w:t>Primer sequences for RT-PCR</w:t>
      </w:r>
      <w:r>
        <w:rPr>
          <w:rFonts w:eastAsia="SimSun"/>
          <w:b/>
          <w:bCs/>
        </w:rPr>
        <w:t>.</w:t>
      </w:r>
    </w:p>
    <w:p w14:paraId="388AA09B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  <w:b/>
          <w:bCs/>
        </w:rPr>
      </w:pPr>
    </w:p>
    <w:p w14:paraId="39403A38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  <w:b/>
          <w:bCs/>
        </w:rPr>
      </w:pPr>
      <w:r w:rsidRPr="002B77E7">
        <w:rPr>
          <w:b/>
        </w:rPr>
        <w:t>Supplementary table</w:t>
      </w:r>
      <w:r>
        <w:rPr>
          <w:b/>
        </w:rPr>
        <w:t xml:space="preserve"> 3. </w:t>
      </w:r>
      <w:r w:rsidRPr="00DF7E99">
        <w:rPr>
          <w:rFonts w:eastAsia="SimSun" w:hint="eastAsia"/>
          <w:b/>
          <w:bCs/>
        </w:rPr>
        <w:t>Quantification of metastatic sites of CWR22, Du-145, LNCaP, LAPC4 and LAPC9 in the orthotopically and ectopically implanted mouse models</w:t>
      </w:r>
      <w:r>
        <w:rPr>
          <w:rFonts w:eastAsia="SimSun"/>
          <w:b/>
          <w:bCs/>
        </w:rPr>
        <w:t>.</w:t>
      </w:r>
    </w:p>
    <w:p w14:paraId="70063D00" w14:textId="77777777" w:rsidR="00A400E0" w:rsidRDefault="00A400E0" w:rsidP="00A400E0">
      <w:pPr>
        <w:adjustRightInd w:val="0"/>
        <w:snapToGrid w:val="0"/>
        <w:spacing w:line="360" w:lineRule="auto"/>
        <w:rPr>
          <w:rFonts w:eastAsia="SimSun"/>
          <w:b/>
          <w:bCs/>
        </w:rPr>
      </w:pPr>
    </w:p>
    <w:p w14:paraId="3A5F0DDB" w14:textId="77777777" w:rsidR="00A400E0" w:rsidRPr="00332E42" w:rsidRDefault="00A400E0" w:rsidP="00A400E0">
      <w:pPr>
        <w:adjustRightInd w:val="0"/>
        <w:snapToGrid w:val="0"/>
        <w:spacing w:line="360" w:lineRule="auto"/>
        <w:rPr>
          <w:b/>
        </w:rPr>
      </w:pPr>
      <w:r w:rsidRPr="002B77E7">
        <w:rPr>
          <w:b/>
        </w:rPr>
        <w:t>Supplementary table</w:t>
      </w:r>
      <w:r>
        <w:rPr>
          <w:b/>
        </w:rPr>
        <w:t xml:space="preserve"> 4. Top </w:t>
      </w:r>
      <w:r w:rsidRPr="00332E42">
        <w:rPr>
          <w:b/>
        </w:rPr>
        <w:t>50 up-regulated genes</w:t>
      </w:r>
      <w:r>
        <w:rPr>
          <w:b/>
        </w:rPr>
        <w:t>.</w:t>
      </w:r>
    </w:p>
    <w:p w14:paraId="45C90989" w14:textId="77777777" w:rsidR="007577B0" w:rsidRDefault="00A400E0"/>
    <w:sectPr w:rsidR="007577B0" w:rsidSect="00E845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0E0"/>
    <w:rsid w:val="0000018D"/>
    <w:rsid w:val="00007B48"/>
    <w:rsid w:val="000660B3"/>
    <w:rsid w:val="00092D20"/>
    <w:rsid w:val="000A72FF"/>
    <w:rsid w:val="000C6B72"/>
    <w:rsid w:val="000D0CE5"/>
    <w:rsid w:val="000E38C9"/>
    <w:rsid w:val="000E5771"/>
    <w:rsid w:val="000F2B3B"/>
    <w:rsid w:val="000F6A2A"/>
    <w:rsid w:val="00150FC1"/>
    <w:rsid w:val="0015287F"/>
    <w:rsid w:val="0016045B"/>
    <w:rsid w:val="001A0E4B"/>
    <w:rsid w:val="001A7B8B"/>
    <w:rsid w:val="001C40F6"/>
    <w:rsid w:val="001D5C07"/>
    <w:rsid w:val="001E0E98"/>
    <w:rsid w:val="001E1BA3"/>
    <w:rsid w:val="001E67BF"/>
    <w:rsid w:val="001F1B79"/>
    <w:rsid w:val="002041E6"/>
    <w:rsid w:val="00213AB9"/>
    <w:rsid w:val="00233DD1"/>
    <w:rsid w:val="00272014"/>
    <w:rsid w:val="00272B11"/>
    <w:rsid w:val="00273442"/>
    <w:rsid w:val="00274EE0"/>
    <w:rsid w:val="002B191D"/>
    <w:rsid w:val="002C2DAF"/>
    <w:rsid w:val="002E0752"/>
    <w:rsid w:val="002E372D"/>
    <w:rsid w:val="00335032"/>
    <w:rsid w:val="003528D2"/>
    <w:rsid w:val="00352C16"/>
    <w:rsid w:val="00353E64"/>
    <w:rsid w:val="003A6693"/>
    <w:rsid w:val="003B1C70"/>
    <w:rsid w:val="003B4AA1"/>
    <w:rsid w:val="003E1F13"/>
    <w:rsid w:val="00414716"/>
    <w:rsid w:val="00431A32"/>
    <w:rsid w:val="00453FF4"/>
    <w:rsid w:val="0047309D"/>
    <w:rsid w:val="00475A2D"/>
    <w:rsid w:val="004A2B19"/>
    <w:rsid w:val="004B7211"/>
    <w:rsid w:val="004E1B0E"/>
    <w:rsid w:val="00521854"/>
    <w:rsid w:val="00531830"/>
    <w:rsid w:val="00532661"/>
    <w:rsid w:val="0054648E"/>
    <w:rsid w:val="00550EC5"/>
    <w:rsid w:val="005612E6"/>
    <w:rsid w:val="005703A8"/>
    <w:rsid w:val="00581E04"/>
    <w:rsid w:val="00593084"/>
    <w:rsid w:val="005B35C5"/>
    <w:rsid w:val="005D37E5"/>
    <w:rsid w:val="00622E5F"/>
    <w:rsid w:val="0063002B"/>
    <w:rsid w:val="00633E70"/>
    <w:rsid w:val="00641185"/>
    <w:rsid w:val="0064756C"/>
    <w:rsid w:val="0069273B"/>
    <w:rsid w:val="00697A1B"/>
    <w:rsid w:val="006B2B8A"/>
    <w:rsid w:val="006C77D1"/>
    <w:rsid w:val="006F4BE9"/>
    <w:rsid w:val="00741231"/>
    <w:rsid w:val="007469BF"/>
    <w:rsid w:val="00755C37"/>
    <w:rsid w:val="00761B82"/>
    <w:rsid w:val="0077312C"/>
    <w:rsid w:val="00774AB5"/>
    <w:rsid w:val="00775D58"/>
    <w:rsid w:val="0079167C"/>
    <w:rsid w:val="00795518"/>
    <w:rsid w:val="007B441E"/>
    <w:rsid w:val="007E66FC"/>
    <w:rsid w:val="007F7298"/>
    <w:rsid w:val="008016FF"/>
    <w:rsid w:val="008278D2"/>
    <w:rsid w:val="00846EF0"/>
    <w:rsid w:val="00857773"/>
    <w:rsid w:val="008C21B1"/>
    <w:rsid w:val="008C7CAC"/>
    <w:rsid w:val="00903A0D"/>
    <w:rsid w:val="00903A66"/>
    <w:rsid w:val="00903D28"/>
    <w:rsid w:val="009040BD"/>
    <w:rsid w:val="00943F35"/>
    <w:rsid w:val="00947319"/>
    <w:rsid w:val="009778BD"/>
    <w:rsid w:val="00985C19"/>
    <w:rsid w:val="009D7C68"/>
    <w:rsid w:val="00A00686"/>
    <w:rsid w:val="00A05BA7"/>
    <w:rsid w:val="00A32957"/>
    <w:rsid w:val="00A400E0"/>
    <w:rsid w:val="00A46409"/>
    <w:rsid w:val="00A567C6"/>
    <w:rsid w:val="00A57293"/>
    <w:rsid w:val="00A91988"/>
    <w:rsid w:val="00A95C5A"/>
    <w:rsid w:val="00AB0305"/>
    <w:rsid w:val="00AC4364"/>
    <w:rsid w:val="00AD03BF"/>
    <w:rsid w:val="00AF31F1"/>
    <w:rsid w:val="00AF72B7"/>
    <w:rsid w:val="00AF73CE"/>
    <w:rsid w:val="00B055CF"/>
    <w:rsid w:val="00B23D94"/>
    <w:rsid w:val="00B36B2A"/>
    <w:rsid w:val="00B459BE"/>
    <w:rsid w:val="00B52155"/>
    <w:rsid w:val="00B578A2"/>
    <w:rsid w:val="00B712C9"/>
    <w:rsid w:val="00B76183"/>
    <w:rsid w:val="00B77037"/>
    <w:rsid w:val="00B9284D"/>
    <w:rsid w:val="00B940B6"/>
    <w:rsid w:val="00BA6E52"/>
    <w:rsid w:val="00BB52A5"/>
    <w:rsid w:val="00BE160C"/>
    <w:rsid w:val="00C24BCB"/>
    <w:rsid w:val="00C30436"/>
    <w:rsid w:val="00C67AA7"/>
    <w:rsid w:val="00C70660"/>
    <w:rsid w:val="00C77364"/>
    <w:rsid w:val="00C93154"/>
    <w:rsid w:val="00CB1DA0"/>
    <w:rsid w:val="00CF597C"/>
    <w:rsid w:val="00CF6C21"/>
    <w:rsid w:val="00D113E0"/>
    <w:rsid w:val="00D14366"/>
    <w:rsid w:val="00D33087"/>
    <w:rsid w:val="00D377FD"/>
    <w:rsid w:val="00D916C7"/>
    <w:rsid w:val="00DA076B"/>
    <w:rsid w:val="00DA1C1A"/>
    <w:rsid w:val="00DB6DB6"/>
    <w:rsid w:val="00DD5542"/>
    <w:rsid w:val="00DE1524"/>
    <w:rsid w:val="00DE700E"/>
    <w:rsid w:val="00DE71DD"/>
    <w:rsid w:val="00DF1BDF"/>
    <w:rsid w:val="00DF55F3"/>
    <w:rsid w:val="00E015EF"/>
    <w:rsid w:val="00E166A5"/>
    <w:rsid w:val="00E42F2C"/>
    <w:rsid w:val="00E452C4"/>
    <w:rsid w:val="00E71395"/>
    <w:rsid w:val="00E7799F"/>
    <w:rsid w:val="00E83892"/>
    <w:rsid w:val="00E84558"/>
    <w:rsid w:val="00EA5795"/>
    <w:rsid w:val="00EB65F4"/>
    <w:rsid w:val="00EB7E48"/>
    <w:rsid w:val="00EC2313"/>
    <w:rsid w:val="00EC49EB"/>
    <w:rsid w:val="00F03712"/>
    <w:rsid w:val="00F05812"/>
    <w:rsid w:val="00F072B8"/>
    <w:rsid w:val="00F26BDE"/>
    <w:rsid w:val="00F33B0F"/>
    <w:rsid w:val="00F44B3E"/>
    <w:rsid w:val="00F458AA"/>
    <w:rsid w:val="00F4717A"/>
    <w:rsid w:val="00F765A9"/>
    <w:rsid w:val="00F85D38"/>
    <w:rsid w:val="00F96C49"/>
    <w:rsid w:val="00FA57EF"/>
    <w:rsid w:val="00FB3655"/>
    <w:rsid w:val="00FB595F"/>
    <w:rsid w:val="00FC555A"/>
    <w:rsid w:val="00FF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A071E3"/>
  <w15:chartTrackingRefBased/>
  <w15:docId w15:val="{D8C22A4D-7F04-A24F-9C12-127D4D2D5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0E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Weina</dc:creator>
  <cp:keywords/>
  <dc:description/>
  <cp:lastModifiedBy>Chen, Weina</cp:lastModifiedBy>
  <cp:revision>1</cp:revision>
  <dcterms:created xsi:type="dcterms:W3CDTF">2021-05-31T01:36:00Z</dcterms:created>
  <dcterms:modified xsi:type="dcterms:W3CDTF">2021-05-31T01:37:00Z</dcterms:modified>
</cp:coreProperties>
</file>