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BACC1C" w14:textId="77777777" w:rsidR="00B96EB0" w:rsidRPr="00B96EB0" w:rsidRDefault="00B96EB0" w:rsidP="00F54580">
      <w:pPr>
        <w:pStyle w:val="Default"/>
        <w:spacing w:line="360" w:lineRule="auto"/>
        <w:jc w:val="both"/>
        <w:rPr>
          <w:rFonts w:asciiTheme="minorHAnsi" w:hAnsiTheme="minorHAnsi" w:cstheme="minorHAnsi"/>
          <w:b/>
          <w:bCs/>
          <w:color w:val="auto"/>
        </w:rPr>
      </w:pPr>
    </w:p>
    <w:p w14:paraId="194C75D2" w14:textId="7AF30062" w:rsidR="00B96EB0" w:rsidRPr="00B96EB0" w:rsidRDefault="00B96EB0" w:rsidP="00F54580">
      <w:pPr>
        <w:pStyle w:val="Default"/>
        <w:spacing w:line="360" w:lineRule="auto"/>
        <w:jc w:val="both"/>
        <w:rPr>
          <w:rFonts w:asciiTheme="minorHAnsi" w:hAnsiTheme="minorHAnsi" w:cstheme="minorHAnsi"/>
          <w:b/>
          <w:bCs/>
          <w:color w:val="auto"/>
          <w:sz w:val="28"/>
          <w:szCs w:val="28"/>
        </w:rPr>
      </w:pPr>
      <w:r w:rsidRPr="00B96EB0">
        <w:rPr>
          <w:rFonts w:asciiTheme="minorHAnsi" w:hAnsiTheme="minorHAnsi" w:cstheme="minorHAnsi"/>
          <w:b/>
          <w:bCs/>
          <w:color w:val="auto"/>
          <w:sz w:val="28"/>
          <w:szCs w:val="28"/>
        </w:rPr>
        <w:t>Supplementary material</w:t>
      </w:r>
    </w:p>
    <w:p w14:paraId="234889A5" w14:textId="18629D2F" w:rsidR="00B96EB0" w:rsidRDefault="00B96EB0" w:rsidP="00F54580">
      <w:pPr>
        <w:pStyle w:val="Default"/>
        <w:spacing w:line="360" w:lineRule="auto"/>
        <w:jc w:val="both"/>
        <w:rPr>
          <w:rFonts w:asciiTheme="minorHAnsi" w:hAnsiTheme="minorHAnsi" w:cstheme="minorHAnsi"/>
          <w:b/>
          <w:bCs/>
          <w:color w:val="auto"/>
        </w:rPr>
      </w:pPr>
    </w:p>
    <w:p w14:paraId="26085673" w14:textId="77777777" w:rsidR="00537AB7" w:rsidRDefault="00537AB7" w:rsidP="00537AB7">
      <w:pPr>
        <w:pStyle w:val="Default"/>
        <w:spacing w:line="360" w:lineRule="auto"/>
        <w:jc w:val="both"/>
        <w:rPr>
          <w:rFonts w:asciiTheme="minorHAnsi" w:hAnsiTheme="minorHAnsi" w:cstheme="minorHAnsi"/>
          <w:b/>
          <w:bCs/>
          <w:color w:val="auto"/>
        </w:rPr>
      </w:pPr>
      <w:r>
        <w:rPr>
          <w:rFonts w:asciiTheme="minorHAnsi" w:hAnsiTheme="minorHAnsi" w:cstheme="minorHAnsi"/>
          <w:b/>
          <w:bCs/>
          <w:color w:val="auto"/>
        </w:rPr>
        <w:t>Biomarker evaluation.</w:t>
      </w:r>
    </w:p>
    <w:p w14:paraId="55379551" w14:textId="55DA383E" w:rsidR="00BE0713" w:rsidRDefault="00537AB7" w:rsidP="00537AB7">
      <w:pPr>
        <w:pStyle w:val="Default"/>
        <w:spacing w:line="360" w:lineRule="auto"/>
        <w:jc w:val="both"/>
        <w:rPr>
          <w:rFonts w:asciiTheme="minorHAnsi" w:hAnsiTheme="minorHAnsi" w:cstheme="minorHAnsi"/>
        </w:rPr>
      </w:pPr>
      <w:r w:rsidRPr="001A68F2">
        <w:rPr>
          <w:rFonts w:asciiTheme="minorHAnsi" w:hAnsiTheme="minorHAnsi" w:cstheme="minorHAnsi"/>
        </w:rPr>
        <w:t xml:space="preserve">Biomarker evaluation </w:t>
      </w:r>
      <w:r>
        <w:rPr>
          <w:rFonts w:asciiTheme="minorHAnsi" w:hAnsiTheme="minorHAnsi" w:cstheme="minorHAnsi"/>
        </w:rPr>
        <w:t xml:space="preserve">(ER, PR and HER2) </w:t>
      </w:r>
      <w:r w:rsidRPr="001A68F2">
        <w:rPr>
          <w:rFonts w:asciiTheme="minorHAnsi" w:hAnsiTheme="minorHAnsi" w:cstheme="minorHAnsi"/>
        </w:rPr>
        <w:t xml:space="preserve">was carried out centrally in one UK NEQAS approved tissue pathology laboratory according to Royal College of Pathologists Guidelines. Allred scores of ≥3 (&gt;10% nuclear staining) was taken as the </w:t>
      </w:r>
      <w:proofErr w:type="spellStart"/>
      <w:r w:rsidRPr="001A68F2">
        <w:rPr>
          <w:rFonts w:asciiTheme="minorHAnsi" w:hAnsiTheme="minorHAnsi" w:cstheme="minorHAnsi"/>
        </w:rPr>
        <w:t>cutoff</w:t>
      </w:r>
      <w:proofErr w:type="spellEnd"/>
      <w:r w:rsidRPr="001A68F2">
        <w:rPr>
          <w:rFonts w:asciiTheme="minorHAnsi" w:hAnsiTheme="minorHAnsi" w:cstheme="minorHAnsi"/>
        </w:rPr>
        <w:t xml:space="preserve"> for positivity for ER and PR. HER2 assessment was carried out centrally using IHC, which was scored by a semi-quantitative method, to give a score range of 0 to 3+. Scores of 3+ were regarded as unequivocally positive, and 0 or 1+ as negative. Borderline scores (2+) were assessed using HER2 dual-colour dual-</w:t>
      </w:r>
      <w:proofErr w:type="spellStart"/>
      <w:r w:rsidRPr="001A68F2">
        <w:rPr>
          <w:rFonts w:asciiTheme="minorHAnsi" w:hAnsiTheme="minorHAnsi" w:cstheme="minorHAnsi"/>
        </w:rPr>
        <w:t>hapten</w:t>
      </w:r>
      <w:proofErr w:type="spellEnd"/>
      <w:r w:rsidRPr="001A68F2">
        <w:rPr>
          <w:rFonts w:asciiTheme="minorHAnsi" w:hAnsiTheme="minorHAnsi" w:cstheme="minorHAnsi"/>
        </w:rPr>
        <w:t xml:space="preserve"> brightfield in situ hybridisation (DDISH). </w:t>
      </w:r>
    </w:p>
    <w:p w14:paraId="2FAC746C" w14:textId="05FB1B2B" w:rsidR="0041580E" w:rsidRDefault="0041580E" w:rsidP="00537AB7">
      <w:pPr>
        <w:pStyle w:val="Default"/>
        <w:spacing w:line="360" w:lineRule="auto"/>
        <w:jc w:val="both"/>
        <w:rPr>
          <w:rFonts w:asciiTheme="minorHAnsi" w:hAnsiTheme="minorHAnsi" w:cstheme="minorHAnsi"/>
        </w:rPr>
      </w:pPr>
    </w:p>
    <w:p w14:paraId="0D4E027D" w14:textId="445C2F53" w:rsidR="0041580E" w:rsidRDefault="0041580E" w:rsidP="00537AB7">
      <w:pPr>
        <w:pStyle w:val="Default"/>
        <w:spacing w:line="360" w:lineRule="auto"/>
        <w:jc w:val="both"/>
        <w:rPr>
          <w:rFonts w:asciiTheme="minorHAnsi" w:hAnsiTheme="minorHAnsi" w:cstheme="minorHAnsi"/>
          <w:b/>
          <w:bCs/>
        </w:rPr>
      </w:pPr>
      <w:r w:rsidRPr="00215710">
        <w:rPr>
          <w:rFonts w:asciiTheme="minorHAnsi" w:hAnsiTheme="minorHAnsi" w:cstheme="minorHAnsi"/>
          <w:b/>
          <w:bCs/>
        </w:rPr>
        <w:t>Statistical analysis</w:t>
      </w:r>
    </w:p>
    <w:p w14:paraId="1F9067DC" w14:textId="3FC7F831" w:rsidR="0041580E" w:rsidRPr="0041580E" w:rsidRDefault="0041580E" w:rsidP="00537AB7">
      <w:pPr>
        <w:pStyle w:val="Default"/>
        <w:spacing w:line="360" w:lineRule="auto"/>
        <w:jc w:val="both"/>
        <w:rPr>
          <w:rFonts w:asciiTheme="minorHAnsi" w:hAnsiTheme="minorHAnsi" w:cstheme="minorHAnsi"/>
        </w:rPr>
      </w:pPr>
      <w:proofErr w:type="spellStart"/>
      <w:r>
        <w:rPr>
          <w:rFonts w:asciiTheme="minorHAnsi" w:hAnsiTheme="minorHAnsi" w:cstheme="minorHAnsi"/>
        </w:rPr>
        <w:t>Graphpad</w:t>
      </w:r>
      <w:proofErr w:type="spellEnd"/>
      <w:r>
        <w:rPr>
          <w:rFonts w:asciiTheme="minorHAnsi" w:hAnsiTheme="minorHAnsi" w:cstheme="minorHAnsi"/>
        </w:rPr>
        <w:t xml:space="preserve"> Prism v9.0 was used for statistical analysis. Non-parametric distribution of translational data was confirmed by evaluation of frequency distributions. </w:t>
      </w:r>
      <w:r w:rsidR="00205C53">
        <w:rPr>
          <w:rFonts w:asciiTheme="minorHAnsi" w:hAnsiTheme="minorHAnsi" w:cstheme="minorHAnsi"/>
        </w:rPr>
        <w:t>Fishers exact or chi squared analysis and non-parametric testing were carried out as appropriate. Correlation was carried out using the Spearman test for continuous data. M</w:t>
      </w:r>
      <w:r>
        <w:rPr>
          <w:rFonts w:asciiTheme="minorHAnsi" w:hAnsiTheme="minorHAnsi" w:cstheme="minorHAnsi"/>
        </w:rPr>
        <w:t xml:space="preserve">ultiple logistic regression analysis </w:t>
      </w:r>
      <w:r w:rsidR="00205C53">
        <w:rPr>
          <w:rFonts w:asciiTheme="minorHAnsi" w:hAnsiTheme="minorHAnsi" w:cstheme="minorHAnsi"/>
        </w:rPr>
        <w:t>was used for multivariate analysis</w:t>
      </w:r>
      <w:r>
        <w:rPr>
          <w:rFonts w:asciiTheme="minorHAnsi" w:hAnsiTheme="minorHAnsi" w:cstheme="minorHAnsi"/>
        </w:rPr>
        <w:t>.</w:t>
      </w:r>
      <w:r w:rsidR="00205C53">
        <w:rPr>
          <w:rFonts w:asciiTheme="minorHAnsi" w:hAnsiTheme="minorHAnsi" w:cstheme="minorHAnsi"/>
        </w:rPr>
        <w:t xml:space="preserve"> All p values are unadjusted.</w:t>
      </w:r>
    </w:p>
    <w:p w14:paraId="2298F36A" w14:textId="77777777" w:rsidR="001A68F2" w:rsidRPr="00B96EB0" w:rsidRDefault="001A68F2" w:rsidP="00F54580">
      <w:pPr>
        <w:pStyle w:val="Default"/>
        <w:spacing w:line="360" w:lineRule="auto"/>
        <w:jc w:val="both"/>
        <w:rPr>
          <w:rFonts w:asciiTheme="minorHAnsi" w:hAnsiTheme="minorHAnsi" w:cstheme="minorHAnsi"/>
          <w:b/>
          <w:bCs/>
          <w:color w:val="auto"/>
        </w:rPr>
      </w:pPr>
    </w:p>
    <w:p w14:paraId="151C1BF9" w14:textId="49353559" w:rsidR="00F54580" w:rsidRPr="00B96EB0" w:rsidRDefault="00F54580" w:rsidP="00F54580">
      <w:pPr>
        <w:pStyle w:val="Default"/>
        <w:spacing w:line="360" w:lineRule="auto"/>
        <w:jc w:val="both"/>
        <w:rPr>
          <w:rFonts w:asciiTheme="minorHAnsi" w:hAnsiTheme="minorHAnsi" w:cstheme="minorHAnsi"/>
          <w:b/>
          <w:bCs/>
          <w:color w:val="auto"/>
        </w:rPr>
      </w:pPr>
      <w:r w:rsidRPr="00B96EB0">
        <w:rPr>
          <w:rFonts w:asciiTheme="minorHAnsi" w:hAnsiTheme="minorHAnsi" w:cstheme="minorHAnsi"/>
          <w:b/>
          <w:bCs/>
          <w:color w:val="auto"/>
        </w:rPr>
        <w:t>Data Preparation</w:t>
      </w:r>
    </w:p>
    <w:p w14:paraId="7269E55D" w14:textId="77777777" w:rsidR="00F54580" w:rsidRPr="00B96EB0" w:rsidRDefault="00F54580" w:rsidP="00F54580">
      <w:pPr>
        <w:pStyle w:val="Default"/>
        <w:spacing w:line="360" w:lineRule="auto"/>
        <w:jc w:val="both"/>
        <w:rPr>
          <w:rFonts w:asciiTheme="minorHAnsi" w:hAnsiTheme="minorHAnsi" w:cstheme="minorHAnsi"/>
          <w:b/>
          <w:bCs/>
          <w:color w:val="auto"/>
        </w:rPr>
      </w:pPr>
      <w:r w:rsidRPr="00B96EB0">
        <w:rPr>
          <w:rFonts w:asciiTheme="minorHAnsi" w:hAnsiTheme="minorHAnsi" w:cstheme="minorHAnsi"/>
          <w:color w:val="auto"/>
        </w:rPr>
        <w:t>For alignment and expression calculation:</w:t>
      </w:r>
      <w:r w:rsidRPr="00B96EB0">
        <w:rPr>
          <w:rFonts w:asciiTheme="minorHAnsi" w:hAnsiTheme="minorHAnsi" w:cstheme="minorHAnsi"/>
          <w:b/>
          <w:bCs/>
          <w:color w:val="auto"/>
        </w:rPr>
        <w:t xml:space="preserve"> </w:t>
      </w:r>
    </w:p>
    <w:p w14:paraId="63910CAE" w14:textId="1F260B0E" w:rsidR="00F54580" w:rsidRPr="00B96EB0" w:rsidRDefault="00F54580" w:rsidP="00EA2E6A">
      <w:pPr>
        <w:pStyle w:val="Default"/>
        <w:numPr>
          <w:ilvl w:val="0"/>
          <w:numId w:val="4"/>
        </w:numPr>
        <w:spacing w:line="360" w:lineRule="auto"/>
        <w:jc w:val="both"/>
        <w:rPr>
          <w:rFonts w:asciiTheme="minorHAnsi" w:hAnsiTheme="minorHAnsi" w:cstheme="minorHAnsi"/>
          <w:color w:val="auto"/>
        </w:rPr>
      </w:pPr>
      <w:r w:rsidRPr="00B96EB0">
        <w:rPr>
          <w:rFonts w:asciiTheme="minorHAnsi" w:hAnsiTheme="minorHAnsi" w:cstheme="minorHAnsi"/>
          <w:b/>
          <w:bCs/>
          <w:color w:val="auto"/>
        </w:rPr>
        <w:t>StarAlign</w:t>
      </w:r>
      <w:r w:rsidR="00EA2E6A">
        <w:rPr>
          <w:rFonts w:asciiTheme="minorHAnsi" w:hAnsiTheme="minorHAnsi" w:cstheme="minorHAnsi"/>
          <w:color w:val="auto"/>
          <w:vertAlign w:val="superscript"/>
        </w:rPr>
        <w:t>1</w:t>
      </w:r>
      <w:r w:rsidRPr="00B96EB0">
        <w:rPr>
          <w:rFonts w:asciiTheme="minorHAnsi" w:hAnsiTheme="minorHAnsi" w:cstheme="minorHAnsi"/>
          <w:color w:val="auto"/>
        </w:rPr>
        <w:t xml:space="preserve">: read alignment was performed using </w:t>
      </w:r>
      <w:proofErr w:type="spellStart"/>
      <w:r w:rsidRPr="00B96EB0">
        <w:rPr>
          <w:rFonts w:asciiTheme="minorHAnsi" w:hAnsiTheme="minorHAnsi" w:cstheme="minorHAnsi"/>
          <w:color w:val="auto"/>
        </w:rPr>
        <w:t>StarAlign</w:t>
      </w:r>
      <w:proofErr w:type="spellEnd"/>
      <w:r w:rsidRPr="00B96EB0">
        <w:rPr>
          <w:rFonts w:asciiTheme="minorHAnsi" w:hAnsiTheme="minorHAnsi" w:cstheme="minorHAnsi"/>
          <w:color w:val="auto"/>
        </w:rPr>
        <w:t xml:space="preserve"> to the human reference genome GRCh37/hg19. Only uniquely mapped reads were output for downstream analysis and all other reads discarded. Sequences with &gt;=3 base mismatches (against reference) were also discarded.</w:t>
      </w:r>
    </w:p>
    <w:p w14:paraId="4EA05EA1" w14:textId="0297867C" w:rsidR="00F54580" w:rsidRPr="00B96EB0" w:rsidRDefault="00F54580" w:rsidP="00EA2E6A">
      <w:pPr>
        <w:pStyle w:val="Default"/>
        <w:numPr>
          <w:ilvl w:val="0"/>
          <w:numId w:val="4"/>
        </w:numPr>
        <w:spacing w:line="360" w:lineRule="auto"/>
        <w:jc w:val="both"/>
        <w:rPr>
          <w:rFonts w:asciiTheme="minorHAnsi" w:hAnsiTheme="minorHAnsi" w:cstheme="minorHAnsi"/>
          <w:color w:val="auto"/>
        </w:rPr>
      </w:pPr>
      <w:r w:rsidRPr="00B96EB0">
        <w:rPr>
          <w:rFonts w:asciiTheme="minorHAnsi" w:hAnsiTheme="minorHAnsi" w:cstheme="minorHAnsi"/>
          <w:b/>
          <w:bCs/>
          <w:color w:val="auto"/>
        </w:rPr>
        <w:t>Burrows-Wheeler Aligner</w:t>
      </w:r>
      <w:r w:rsidR="00EA2E6A">
        <w:rPr>
          <w:rFonts w:asciiTheme="minorHAnsi" w:hAnsiTheme="minorHAnsi" w:cstheme="minorHAnsi"/>
          <w:color w:val="auto"/>
          <w:vertAlign w:val="superscript"/>
        </w:rPr>
        <w:t>2</w:t>
      </w:r>
      <w:r w:rsidRPr="00B96EB0">
        <w:rPr>
          <w:rFonts w:asciiTheme="minorHAnsi" w:hAnsiTheme="minorHAnsi" w:cstheme="minorHAnsi"/>
          <w:b/>
          <w:bCs/>
          <w:color w:val="auto"/>
        </w:rPr>
        <w:t xml:space="preserve"> (BWA) and </w:t>
      </w:r>
      <w:proofErr w:type="spellStart"/>
      <w:r w:rsidRPr="00B96EB0">
        <w:rPr>
          <w:rFonts w:asciiTheme="minorHAnsi" w:hAnsiTheme="minorHAnsi" w:cstheme="minorHAnsi"/>
          <w:b/>
          <w:bCs/>
          <w:color w:val="auto"/>
        </w:rPr>
        <w:t>samtools</w:t>
      </w:r>
      <w:proofErr w:type="spellEnd"/>
      <w:r w:rsidRPr="00B96EB0">
        <w:rPr>
          <w:rFonts w:asciiTheme="minorHAnsi" w:hAnsiTheme="minorHAnsi" w:cstheme="minorHAnsi"/>
          <w:b/>
          <w:bCs/>
          <w:color w:val="auto"/>
        </w:rPr>
        <w:t xml:space="preserve"> flagstat</w:t>
      </w:r>
      <w:r w:rsidR="00EA2E6A">
        <w:rPr>
          <w:rFonts w:asciiTheme="minorHAnsi" w:hAnsiTheme="minorHAnsi" w:cstheme="minorHAnsi"/>
          <w:b/>
          <w:bCs/>
          <w:color w:val="auto"/>
          <w:vertAlign w:val="superscript"/>
        </w:rPr>
        <w:t>3</w:t>
      </w:r>
      <w:r w:rsidRPr="00B96EB0">
        <w:rPr>
          <w:rFonts w:asciiTheme="minorHAnsi" w:hAnsiTheme="minorHAnsi" w:cstheme="minorHAnsi"/>
          <w:color w:val="auto"/>
        </w:rPr>
        <w:t xml:space="preserve">: were used to determine read alignment to a ribosomal RNA (rRNA) sequence database. </w:t>
      </w:r>
    </w:p>
    <w:p w14:paraId="795B2425" w14:textId="51BA7186" w:rsidR="00F54580" w:rsidRPr="00B96EB0" w:rsidRDefault="00F54580" w:rsidP="00EA2E6A">
      <w:pPr>
        <w:pStyle w:val="Default"/>
        <w:numPr>
          <w:ilvl w:val="0"/>
          <w:numId w:val="4"/>
        </w:numPr>
        <w:spacing w:line="360" w:lineRule="auto"/>
        <w:jc w:val="both"/>
        <w:rPr>
          <w:rFonts w:asciiTheme="minorHAnsi" w:hAnsiTheme="minorHAnsi" w:cstheme="minorHAnsi"/>
          <w:b/>
          <w:bCs/>
          <w:color w:val="auto"/>
        </w:rPr>
      </w:pPr>
      <w:r w:rsidRPr="00B96EB0">
        <w:rPr>
          <w:rFonts w:asciiTheme="minorHAnsi" w:hAnsiTheme="minorHAnsi" w:cstheme="minorHAnsi"/>
          <w:b/>
          <w:bCs/>
          <w:color w:val="auto"/>
        </w:rPr>
        <w:t>Cufflinks</w:t>
      </w:r>
      <w:r w:rsidR="006B046A">
        <w:rPr>
          <w:rFonts w:asciiTheme="minorHAnsi" w:hAnsiTheme="minorHAnsi" w:cstheme="minorHAnsi"/>
          <w:b/>
          <w:bCs/>
          <w:color w:val="auto"/>
          <w:vertAlign w:val="superscript"/>
        </w:rPr>
        <w:t>4</w:t>
      </w:r>
      <w:r w:rsidRPr="00B96EB0">
        <w:rPr>
          <w:rFonts w:asciiTheme="minorHAnsi" w:hAnsiTheme="minorHAnsi" w:cstheme="minorHAnsi"/>
          <w:b/>
          <w:bCs/>
          <w:color w:val="auto"/>
        </w:rPr>
        <w:t xml:space="preserve"> </w:t>
      </w:r>
      <w:r w:rsidRPr="00B96EB0">
        <w:rPr>
          <w:rFonts w:asciiTheme="minorHAnsi" w:hAnsiTheme="minorHAnsi" w:cstheme="minorHAnsi"/>
          <w:color w:val="auto"/>
        </w:rPr>
        <w:t xml:space="preserve">was used to generate gene expression data, represented as Fragments Per Kilobase per Million fragments mapped (FPKM) for each gene present in the human (GRCh37) ENSEMBL annotation file.  “No-effective-length-correction” was </w:t>
      </w:r>
      <w:r w:rsidRPr="00B96EB0">
        <w:rPr>
          <w:rFonts w:asciiTheme="minorHAnsi" w:hAnsiTheme="minorHAnsi" w:cstheme="minorHAnsi"/>
          <w:color w:val="auto"/>
        </w:rPr>
        <w:lastRenderedPageBreak/>
        <w:t>set to true, and RNA Exome libraries are stranded so the “</w:t>
      </w:r>
      <w:proofErr w:type="spellStart"/>
      <w:r w:rsidRPr="00B96EB0">
        <w:rPr>
          <w:rFonts w:asciiTheme="minorHAnsi" w:hAnsiTheme="minorHAnsi" w:cstheme="minorHAnsi"/>
          <w:color w:val="auto"/>
        </w:rPr>
        <w:t>fr-firststrand</w:t>
      </w:r>
      <w:proofErr w:type="spellEnd"/>
      <w:r w:rsidRPr="00B96EB0">
        <w:rPr>
          <w:rFonts w:asciiTheme="minorHAnsi" w:hAnsiTheme="minorHAnsi" w:cstheme="minorHAnsi"/>
          <w:color w:val="auto"/>
        </w:rPr>
        <w:t>” flag was specified.</w:t>
      </w:r>
    </w:p>
    <w:p w14:paraId="3886A198" w14:textId="779461FF" w:rsidR="00F54580" w:rsidRPr="00EA2E6A" w:rsidRDefault="00F54580" w:rsidP="00EA2E6A">
      <w:pPr>
        <w:pStyle w:val="ListParagraph"/>
        <w:numPr>
          <w:ilvl w:val="0"/>
          <w:numId w:val="4"/>
        </w:numPr>
        <w:rPr>
          <w:rFonts w:asciiTheme="minorHAnsi" w:hAnsiTheme="minorHAnsi" w:cstheme="minorHAnsi"/>
        </w:rPr>
      </w:pPr>
      <w:r w:rsidRPr="00EA2E6A">
        <w:rPr>
          <w:rFonts w:asciiTheme="minorHAnsi" w:hAnsiTheme="minorHAnsi" w:cstheme="minorHAnsi"/>
          <w:b/>
          <w:bCs/>
        </w:rPr>
        <w:t>HTSeq</w:t>
      </w:r>
      <w:r w:rsidR="006B046A">
        <w:rPr>
          <w:rFonts w:asciiTheme="minorHAnsi" w:hAnsiTheme="minorHAnsi" w:cstheme="minorHAnsi"/>
          <w:vertAlign w:val="superscript"/>
        </w:rPr>
        <w:t>5</w:t>
      </w:r>
      <w:r w:rsidRPr="00EA2E6A">
        <w:rPr>
          <w:rFonts w:asciiTheme="minorHAnsi" w:hAnsiTheme="minorHAnsi" w:cstheme="minorHAnsi"/>
          <w:b/>
          <w:bCs/>
        </w:rPr>
        <w:t xml:space="preserve">: </w:t>
      </w:r>
      <w:r w:rsidRPr="00EA2E6A">
        <w:rPr>
          <w:rFonts w:asciiTheme="minorHAnsi" w:hAnsiTheme="minorHAnsi" w:cstheme="minorHAnsi"/>
        </w:rPr>
        <w:t>was used to count the number of reads aligning to each gene present in the human (GRCh37) ENSEMBL annotation file.</w:t>
      </w:r>
    </w:p>
    <w:p w14:paraId="1FF20B54" w14:textId="77777777" w:rsidR="00F54580" w:rsidRPr="00B96EB0" w:rsidRDefault="00F54580" w:rsidP="00F54580">
      <w:pPr>
        <w:pStyle w:val="Default"/>
        <w:spacing w:line="360" w:lineRule="auto"/>
        <w:jc w:val="both"/>
        <w:rPr>
          <w:rFonts w:asciiTheme="minorHAnsi" w:hAnsiTheme="minorHAnsi" w:cstheme="minorHAnsi"/>
          <w:b/>
          <w:bCs/>
          <w:color w:val="auto"/>
        </w:rPr>
      </w:pPr>
    </w:p>
    <w:p w14:paraId="23A95774" w14:textId="77777777" w:rsidR="00F54580" w:rsidRPr="00B96EB0" w:rsidRDefault="00F54580" w:rsidP="00F54580">
      <w:pPr>
        <w:pStyle w:val="Default"/>
        <w:spacing w:line="360" w:lineRule="auto"/>
        <w:jc w:val="both"/>
        <w:rPr>
          <w:rFonts w:asciiTheme="minorHAnsi" w:hAnsiTheme="minorHAnsi" w:cstheme="minorHAnsi"/>
          <w:b/>
          <w:bCs/>
          <w:color w:val="auto"/>
        </w:rPr>
      </w:pPr>
      <w:r w:rsidRPr="00B96EB0">
        <w:rPr>
          <w:rFonts w:asciiTheme="minorHAnsi" w:hAnsiTheme="minorHAnsi" w:cstheme="minorHAnsi"/>
          <w:b/>
          <w:bCs/>
          <w:color w:val="auto"/>
        </w:rPr>
        <w:t>Data Analysis Methodologies</w:t>
      </w:r>
    </w:p>
    <w:p w14:paraId="328CD0FD" w14:textId="77777777" w:rsidR="00F54580" w:rsidRPr="00B96EB0" w:rsidRDefault="00F54580" w:rsidP="00F54580">
      <w:pPr>
        <w:pStyle w:val="Default"/>
        <w:spacing w:line="360" w:lineRule="auto"/>
        <w:jc w:val="both"/>
        <w:rPr>
          <w:rFonts w:asciiTheme="minorHAnsi" w:hAnsiTheme="minorHAnsi" w:cstheme="minorHAnsi"/>
          <w:color w:val="auto"/>
        </w:rPr>
      </w:pPr>
      <w:r w:rsidRPr="00B96EB0">
        <w:rPr>
          <w:rFonts w:asciiTheme="minorHAnsi" w:hAnsiTheme="minorHAnsi" w:cstheme="minorHAnsi"/>
          <w:color w:val="auto"/>
        </w:rPr>
        <w:t>Category One: included in the logic to assess sequencing quality and suitability of data for downstream analysis.</w:t>
      </w:r>
    </w:p>
    <w:p w14:paraId="5F3A3733" w14:textId="7440675E" w:rsidR="00F54580" w:rsidRPr="00B96EB0" w:rsidRDefault="00F54580" w:rsidP="00EA2E6A">
      <w:pPr>
        <w:pStyle w:val="ListParagraph"/>
        <w:numPr>
          <w:ilvl w:val="0"/>
          <w:numId w:val="5"/>
        </w:numPr>
        <w:spacing w:after="0"/>
        <w:rPr>
          <w:rFonts w:asciiTheme="minorHAnsi" w:hAnsiTheme="minorHAnsi" w:cstheme="minorHAnsi"/>
        </w:rPr>
      </w:pPr>
      <w:r w:rsidRPr="00B96EB0">
        <w:rPr>
          <w:rFonts w:asciiTheme="minorHAnsi" w:hAnsiTheme="minorHAnsi" w:cstheme="minorHAnsi"/>
          <w:i/>
          <w:iCs/>
          <w:u w:val="single"/>
        </w:rPr>
        <w:t xml:space="preserve">Mean target coverage (alternative name: </w:t>
      </w:r>
      <w:proofErr w:type="spellStart"/>
      <w:r w:rsidRPr="00B96EB0">
        <w:rPr>
          <w:rFonts w:asciiTheme="minorHAnsi" w:hAnsiTheme="minorHAnsi" w:cstheme="minorHAnsi"/>
          <w:i/>
          <w:iCs/>
          <w:u w:val="single"/>
        </w:rPr>
        <w:t>SeqQC</w:t>
      </w:r>
      <w:proofErr w:type="spellEnd"/>
      <w:r w:rsidRPr="00B96EB0">
        <w:rPr>
          <w:rFonts w:asciiTheme="minorHAnsi" w:hAnsiTheme="minorHAnsi" w:cstheme="minorHAnsi"/>
          <w:i/>
          <w:iCs/>
          <w:u w:val="single"/>
        </w:rPr>
        <w:t xml:space="preserve">) </w:t>
      </w:r>
      <w:r w:rsidRPr="00B96EB0">
        <w:rPr>
          <w:rFonts w:asciiTheme="minorHAnsi" w:hAnsiTheme="minorHAnsi" w:cstheme="minorHAnsi"/>
        </w:rPr>
        <w:t>This indicates the mean number of aligned, de-duplicated reads at each base targeted by RNA Exome.  Samples achieving mean target coverage less than 14.24X are deemed to have failed alignment QC and are not recommended for inclusion in downstream analysis.</w:t>
      </w:r>
    </w:p>
    <w:p w14:paraId="57648FB2" w14:textId="65CA7FA0" w:rsidR="00F54580" w:rsidRPr="00B96EB0" w:rsidRDefault="00F54580" w:rsidP="00EA2E6A">
      <w:pPr>
        <w:pStyle w:val="ListParagraph"/>
        <w:numPr>
          <w:ilvl w:val="0"/>
          <w:numId w:val="5"/>
        </w:numPr>
        <w:spacing w:after="0"/>
        <w:rPr>
          <w:rFonts w:asciiTheme="minorHAnsi" w:hAnsiTheme="minorHAnsi" w:cstheme="minorHAnsi"/>
        </w:rPr>
      </w:pPr>
      <w:r w:rsidRPr="00B96EB0">
        <w:rPr>
          <w:rFonts w:asciiTheme="minorHAnsi" w:hAnsiTheme="minorHAnsi" w:cstheme="minorHAnsi"/>
          <w:i/>
          <w:iCs/>
          <w:u w:val="single"/>
        </w:rPr>
        <w:t xml:space="preserve">Duplication rate </w:t>
      </w:r>
      <w:r w:rsidRPr="00B96EB0">
        <w:rPr>
          <w:rFonts w:asciiTheme="minorHAnsi" w:hAnsiTheme="minorHAnsi" w:cstheme="minorHAnsi"/>
        </w:rPr>
        <w:t>This is given as the percentage of read pairs mapping to identical locations on the human genome.  High duplication rates could indicate an issue with technical duplicates arising from PCR artefacts.  Samples with duplication rates &gt;60.0% are flagged with a warning and recommendation for further review.</w:t>
      </w:r>
    </w:p>
    <w:p w14:paraId="47E97648" w14:textId="77777777" w:rsidR="00F54580" w:rsidRPr="00B96EB0" w:rsidRDefault="00F54580" w:rsidP="00F54580">
      <w:pPr>
        <w:rPr>
          <w:rFonts w:asciiTheme="minorHAnsi" w:hAnsiTheme="minorHAnsi" w:cstheme="minorHAnsi"/>
        </w:rPr>
      </w:pPr>
    </w:p>
    <w:p w14:paraId="626B8118" w14:textId="77777777" w:rsidR="00F54580" w:rsidRPr="00B96EB0" w:rsidRDefault="00F54580" w:rsidP="00F54580">
      <w:pPr>
        <w:rPr>
          <w:rFonts w:asciiTheme="minorHAnsi" w:hAnsiTheme="minorHAnsi" w:cstheme="minorHAnsi"/>
          <w:b/>
          <w:bCs/>
          <w:sz w:val="24"/>
          <w:szCs w:val="24"/>
        </w:rPr>
      </w:pPr>
      <w:proofErr w:type="spellStart"/>
      <w:r w:rsidRPr="00B96EB0">
        <w:rPr>
          <w:rFonts w:asciiTheme="minorHAnsi" w:hAnsiTheme="minorHAnsi" w:cstheme="minorHAnsi"/>
          <w:b/>
          <w:bCs/>
          <w:sz w:val="24"/>
          <w:szCs w:val="24"/>
        </w:rPr>
        <w:t>clara</w:t>
      </w:r>
      <w:r w:rsidRPr="00B96EB0">
        <w:rPr>
          <w:rFonts w:asciiTheme="minorHAnsi" w:hAnsiTheme="minorHAnsi" w:cstheme="minorHAnsi"/>
          <w:b/>
          <w:bCs/>
          <w:sz w:val="24"/>
          <w:szCs w:val="24"/>
          <w:vertAlign w:val="superscript"/>
        </w:rPr>
        <w:t>T</w:t>
      </w:r>
      <w:proofErr w:type="spellEnd"/>
    </w:p>
    <w:p w14:paraId="514466DC" w14:textId="7756E871" w:rsidR="00F54580" w:rsidRPr="00B96EB0" w:rsidRDefault="00F54580" w:rsidP="00F54580">
      <w:pPr>
        <w:pStyle w:val="Default"/>
        <w:spacing w:line="360" w:lineRule="auto"/>
        <w:jc w:val="both"/>
        <w:rPr>
          <w:rFonts w:asciiTheme="minorHAnsi" w:hAnsiTheme="minorHAnsi" w:cstheme="minorHAnsi"/>
          <w:color w:val="auto"/>
        </w:rPr>
      </w:pPr>
      <w:r w:rsidRPr="00B96EB0">
        <w:rPr>
          <w:rFonts w:asciiTheme="minorHAnsi" w:hAnsiTheme="minorHAnsi" w:cstheme="minorHAnsi"/>
          <w:color w:val="auto"/>
        </w:rPr>
        <w:t>Only sample</w:t>
      </w:r>
      <w:r w:rsidR="00D67678">
        <w:rPr>
          <w:rFonts w:asciiTheme="minorHAnsi" w:hAnsiTheme="minorHAnsi" w:cstheme="minorHAnsi"/>
          <w:color w:val="auto"/>
        </w:rPr>
        <w:t>s</w:t>
      </w:r>
      <w:r w:rsidRPr="00B96EB0">
        <w:rPr>
          <w:rFonts w:asciiTheme="minorHAnsi" w:hAnsiTheme="minorHAnsi" w:cstheme="minorHAnsi"/>
          <w:color w:val="auto"/>
        </w:rPr>
        <w:t xml:space="preserve"> with a mean target coverage &gt; 14.24 were taken through for analysis with the </w:t>
      </w:r>
      <w:proofErr w:type="spellStart"/>
      <w:r w:rsidR="00DB403F" w:rsidRPr="00B96EB0">
        <w:rPr>
          <w:rFonts w:asciiTheme="minorHAnsi" w:hAnsiTheme="minorHAnsi" w:cstheme="minorHAnsi"/>
          <w:color w:val="auto"/>
        </w:rPr>
        <w:t>c</w:t>
      </w:r>
      <w:r w:rsidRPr="00B96EB0">
        <w:rPr>
          <w:rFonts w:asciiTheme="minorHAnsi" w:hAnsiTheme="minorHAnsi" w:cstheme="minorHAnsi"/>
          <w:color w:val="auto"/>
        </w:rPr>
        <w:t>lara</w:t>
      </w:r>
      <w:r w:rsidRPr="00B96EB0">
        <w:rPr>
          <w:rFonts w:asciiTheme="minorHAnsi" w:hAnsiTheme="minorHAnsi" w:cstheme="minorHAnsi"/>
          <w:color w:val="auto"/>
          <w:vertAlign w:val="superscript"/>
        </w:rPr>
        <w:t>T</w:t>
      </w:r>
      <w:proofErr w:type="spellEnd"/>
      <w:r w:rsidRPr="00B96EB0">
        <w:rPr>
          <w:rFonts w:asciiTheme="minorHAnsi" w:hAnsiTheme="minorHAnsi" w:cstheme="minorHAnsi"/>
          <w:color w:val="auto"/>
          <w:vertAlign w:val="superscript"/>
        </w:rPr>
        <w:t xml:space="preserve"> </w:t>
      </w:r>
      <w:r w:rsidRPr="00B96EB0">
        <w:rPr>
          <w:rFonts w:asciiTheme="minorHAnsi" w:hAnsiTheme="minorHAnsi" w:cstheme="minorHAnsi"/>
          <w:color w:val="auto"/>
        </w:rPr>
        <w:t xml:space="preserve">software. </w:t>
      </w:r>
      <w:proofErr w:type="spellStart"/>
      <w:r w:rsidR="00DB403F" w:rsidRPr="00B96EB0">
        <w:rPr>
          <w:rFonts w:asciiTheme="minorHAnsi" w:hAnsiTheme="minorHAnsi" w:cstheme="minorHAnsi"/>
          <w:color w:val="auto"/>
        </w:rPr>
        <w:t>c</w:t>
      </w:r>
      <w:r w:rsidRPr="00B96EB0">
        <w:rPr>
          <w:rFonts w:asciiTheme="minorHAnsi" w:hAnsiTheme="minorHAnsi" w:cstheme="minorHAnsi"/>
          <w:color w:val="auto"/>
        </w:rPr>
        <w:t>lara</w:t>
      </w:r>
      <w:r w:rsidRPr="00B96EB0">
        <w:rPr>
          <w:rFonts w:asciiTheme="minorHAnsi" w:hAnsiTheme="minorHAnsi" w:cstheme="minorHAnsi"/>
          <w:color w:val="auto"/>
          <w:vertAlign w:val="superscript"/>
        </w:rPr>
        <w:t>T</w:t>
      </w:r>
      <w:proofErr w:type="spellEnd"/>
      <w:r w:rsidRPr="00B96EB0">
        <w:rPr>
          <w:rFonts w:asciiTheme="minorHAnsi" w:hAnsiTheme="minorHAnsi" w:cstheme="minorHAnsi"/>
          <w:color w:val="auto"/>
          <w:vertAlign w:val="superscript"/>
        </w:rPr>
        <w:t xml:space="preserve"> </w:t>
      </w:r>
      <w:r w:rsidRPr="00B96EB0">
        <w:rPr>
          <w:rFonts w:asciiTheme="minorHAnsi" w:hAnsiTheme="minorHAnsi" w:cstheme="minorHAnsi"/>
          <w:color w:val="auto"/>
        </w:rPr>
        <w:t>Total mRNA Report provides a comprehensive overview of tumour profiles using gene expression signatures and single gene analytes. These representative signatures and genes are categorised by the Hallmarks of Cancer. Content includes Almac proprietary assays and public signatures, all published and biologically relevant in either pre-clinical or clinical sample cohorts.</w:t>
      </w:r>
    </w:p>
    <w:p w14:paraId="482AEA67" w14:textId="77777777" w:rsidR="00F54580" w:rsidRPr="00B96EB0" w:rsidRDefault="00F54580" w:rsidP="00F54580">
      <w:pPr>
        <w:pStyle w:val="Default"/>
        <w:spacing w:line="360" w:lineRule="auto"/>
        <w:jc w:val="both"/>
        <w:rPr>
          <w:rFonts w:asciiTheme="minorHAnsi" w:hAnsiTheme="minorHAnsi" w:cstheme="minorHAnsi"/>
          <w:color w:val="auto"/>
        </w:rPr>
      </w:pPr>
      <w:r w:rsidRPr="00B96EB0">
        <w:rPr>
          <w:rFonts w:asciiTheme="minorHAnsi" w:hAnsiTheme="minorHAnsi" w:cstheme="minorHAnsi"/>
          <w:color w:val="auto"/>
        </w:rPr>
        <w:t>Signatures within this report have been reviewed and implemented based on information from the publications. Based on limited information, signatures denoted with an (*) have been implemented with some modifications to those described in the relevant publications. For further details on each gene signature please refer to the relevant publications in the Bibliography. Single genes within this report have been selected as analytes relevant to each biology based on the Molecular Signatures Database Hallmark Gene Sets (</w:t>
      </w:r>
      <w:proofErr w:type="spellStart"/>
      <w:r w:rsidRPr="00B96EB0">
        <w:rPr>
          <w:rFonts w:asciiTheme="minorHAnsi" w:hAnsiTheme="minorHAnsi" w:cstheme="minorHAnsi"/>
          <w:color w:val="auto"/>
        </w:rPr>
        <w:t>Liberzon</w:t>
      </w:r>
      <w:proofErr w:type="spellEnd"/>
      <w:r w:rsidRPr="00B96EB0">
        <w:rPr>
          <w:rFonts w:asciiTheme="minorHAnsi" w:hAnsiTheme="minorHAnsi" w:cstheme="minorHAnsi"/>
          <w:color w:val="auto"/>
        </w:rPr>
        <w:t xml:space="preserve"> et al. 2015; Copyright ©2004-2017 Broad Institute Inc. and subject to the terms and conditions of the </w:t>
      </w:r>
      <w:r w:rsidRPr="00B96EB0">
        <w:rPr>
          <w:rFonts w:asciiTheme="minorHAnsi" w:hAnsiTheme="minorHAnsi" w:cstheme="minorHAnsi"/>
          <w:color w:val="auto"/>
        </w:rPr>
        <w:lastRenderedPageBreak/>
        <w:t>Creative Commons Attribution 4.0 International License).</w:t>
      </w:r>
      <w:r w:rsidR="00DB403F" w:rsidRPr="00B96EB0">
        <w:rPr>
          <w:rFonts w:asciiTheme="minorHAnsi" w:hAnsiTheme="minorHAnsi" w:cstheme="minorHAnsi"/>
          <w:color w:val="auto"/>
        </w:rPr>
        <w:t xml:space="preserve">  </w:t>
      </w:r>
      <w:r w:rsidRPr="00B96EB0">
        <w:rPr>
          <w:rFonts w:asciiTheme="minorHAnsi" w:hAnsiTheme="minorHAnsi" w:cstheme="minorHAnsi"/>
          <w:color w:val="auto"/>
        </w:rPr>
        <w:t>The DD</w:t>
      </w:r>
      <w:r w:rsidR="003A1233" w:rsidRPr="00B96EB0">
        <w:rPr>
          <w:rFonts w:asciiTheme="minorHAnsi" w:hAnsiTheme="minorHAnsi" w:cstheme="minorHAnsi"/>
          <w:color w:val="auto"/>
        </w:rPr>
        <w:t>I</w:t>
      </w:r>
      <w:r w:rsidRPr="00B96EB0">
        <w:rPr>
          <w:rFonts w:asciiTheme="minorHAnsi" w:hAnsiTheme="minorHAnsi" w:cstheme="minorHAnsi"/>
          <w:color w:val="auto"/>
        </w:rPr>
        <w:t xml:space="preserve">R signature score for </w:t>
      </w:r>
      <w:proofErr w:type="spellStart"/>
      <w:r w:rsidRPr="00B96EB0">
        <w:rPr>
          <w:rFonts w:asciiTheme="minorHAnsi" w:hAnsiTheme="minorHAnsi" w:cstheme="minorHAnsi"/>
          <w:color w:val="auto"/>
        </w:rPr>
        <w:t>RNAseq</w:t>
      </w:r>
      <w:proofErr w:type="spellEnd"/>
      <w:r w:rsidRPr="00B96EB0">
        <w:rPr>
          <w:rFonts w:asciiTheme="minorHAnsi" w:hAnsiTheme="minorHAnsi" w:cstheme="minorHAnsi"/>
          <w:color w:val="auto"/>
        </w:rPr>
        <w:t xml:space="preserve"> data was generated by the </w:t>
      </w:r>
      <w:proofErr w:type="spellStart"/>
      <w:r w:rsidRPr="00B96EB0">
        <w:rPr>
          <w:rFonts w:asciiTheme="minorHAnsi" w:hAnsiTheme="minorHAnsi" w:cstheme="minorHAnsi"/>
          <w:color w:val="auto"/>
        </w:rPr>
        <w:t>clara</w:t>
      </w:r>
      <w:r w:rsidRPr="00B96EB0">
        <w:rPr>
          <w:rFonts w:asciiTheme="minorHAnsi" w:hAnsiTheme="minorHAnsi" w:cstheme="minorHAnsi"/>
          <w:color w:val="auto"/>
          <w:vertAlign w:val="superscript"/>
        </w:rPr>
        <w:t>T</w:t>
      </w:r>
      <w:proofErr w:type="spellEnd"/>
      <w:r w:rsidRPr="00B96EB0">
        <w:rPr>
          <w:rFonts w:asciiTheme="minorHAnsi" w:hAnsiTheme="minorHAnsi" w:cstheme="minorHAnsi"/>
          <w:color w:val="auto"/>
        </w:rPr>
        <w:t xml:space="preserve"> software.</w:t>
      </w:r>
    </w:p>
    <w:p w14:paraId="316F3B26" w14:textId="1A9BCC68" w:rsidR="00F54580" w:rsidRDefault="00F54580" w:rsidP="00F54580">
      <w:pPr>
        <w:rPr>
          <w:rFonts w:asciiTheme="minorHAnsi" w:hAnsiTheme="minorHAnsi" w:cstheme="minorHAnsi"/>
          <w:sz w:val="24"/>
          <w:szCs w:val="24"/>
        </w:rPr>
      </w:pPr>
    </w:p>
    <w:p w14:paraId="65FD76F0" w14:textId="7D2443C0" w:rsidR="00D67678" w:rsidRPr="00215710" w:rsidRDefault="00D67678" w:rsidP="00215710">
      <w:pPr>
        <w:spacing w:line="360" w:lineRule="auto"/>
        <w:rPr>
          <w:rFonts w:asciiTheme="minorHAnsi" w:hAnsiTheme="minorHAnsi" w:cstheme="minorHAnsi"/>
          <w:b/>
          <w:bCs/>
          <w:sz w:val="24"/>
          <w:szCs w:val="24"/>
        </w:rPr>
      </w:pPr>
      <w:r w:rsidRPr="00215710">
        <w:rPr>
          <w:rFonts w:asciiTheme="minorHAnsi" w:hAnsiTheme="minorHAnsi" w:cstheme="minorHAnsi"/>
          <w:b/>
          <w:bCs/>
          <w:sz w:val="24"/>
          <w:szCs w:val="24"/>
        </w:rPr>
        <w:t xml:space="preserve">Multiplex </w:t>
      </w:r>
      <w:proofErr w:type="spellStart"/>
      <w:r w:rsidRPr="00215710">
        <w:rPr>
          <w:rFonts w:asciiTheme="minorHAnsi" w:hAnsiTheme="minorHAnsi" w:cstheme="minorHAnsi"/>
          <w:b/>
          <w:bCs/>
          <w:sz w:val="24"/>
          <w:szCs w:val="24"/>
        </w:rPr>
        <w:t>Immunofluoresence</w:t>
      </w:r>
      <w:proofErr w:type="spellEnd"/>
      <w:r w:rsidRPr="00215710">
        <w:rPr>
          <w:rFonts w:asciiTheme="minorHAnsi" w:hAnsiTheme="minorHAnsi" w:cstheme="minorHAnsi"/>
          <w:b/>
          <w:bCs/>
          <w:sz w:val="24"/>
          <w:szCs w:val="24"/>
        </w:rPr>
        <w:t xml:space="preserve"> staining</w:t>
      </w:r>
    </w:p>
    <w:p w14:paraId="7CB265E3" w14:textId="77777777" w:rsidR="00D67678" w:rsidRPr="00D67678" w:rsidRDefault="00D67678" w:rsidP="00215710">
      <w:pPr>
        <w:spacing w:line="360" w:lineRule="auto"/>
        <w:rPr>
          <w:rFonts w:asciiTheme="minorHAnsi" w:hAnsiTheme="minorHAnsi" w:cstheme="minorHAnsi"/>
          <w:sz w:val="24"/>
          <w:szCs w:val="24"/>
        </w:rPr>
      </w:pPr>
    </w:p>
    <w:p w14:paraId="45F41B6A" w14:textId="77777777" w:rsidR="00D67678" w:rsidRDefault="00D67678" w:rsidP="00D67678">
      <w:pPr>
        <w:spacing w:after="200" w:line="360" w:lineRule="auto"/>
        <w:rPr>
          <w:sz w:val="24"/>
          <w:szCs w:val="24"/>
        </w:rPr>
      </w:pPr>
      <w:r>
        <w:rPr>
          <w:sz w:val="24"/>
          <w:szCs w:val="24"/>
        </w:rPr>
        <w:t>The multiplex panels used for immunofluorescence staining were as follows:</w:t>
      </w:r>
    </w:p>
    <w:p w14:paraId="4D816044" w14:textId="2417F3E3" w:rsidR="00D67678" w:rsidRPr="00215710" w:rsidRDefault="00D67678" w:rsidP="00215710">
      <w:pPr>
        <w:spacing w:after="200" w:line="360" w:lineRule="auto"/>
        <w:rPr>
          <w:sz w:val="24"/>
          <w:szCs w:val="24"/>
        </w:rPr>
      </w:pPr>
      <w:r w:rsidRPr="00215710">
        <w:rPr>
          <w:sz w:val="24"/>
          <w:szCs w:val="24"/>
        </w:rPr>
        <w:t xml:space="preserve">Multiplex panel 1 contained biomarkers for the identification of the immune checkpoint protein PD-L1 (clone E1L3N), T regulatory cells (FOXP3 clone 236A/E7), T cells (CD8 clone C8-144B), </w:t>
      </w:r>
      <w:r w:rsidRPr="00215710">
        <w:rPr>
          <w:sz w:val="24"/>
          <w:szCs w:val="24"/>
        </w:rPr>
        <w:sym w:font="Symbol" w:char="F062"/>
      </w:r>
      <w:r w:rsidRPr="00215710">
        <w:rPr>
          <w:sz w:val="24"/>
          <w:szCs w:val="24"/>
        </w:rPr>
        <w:t xml:space="preserve">-Catenin (clone </w:t>
      </w:r>
      <w:r w:rsidRPr="00215710">
        <w:rPr>
          <w:sz w:val="24"/>
          <w:szCs w:val="24"/>
        </w:rPr>
        <w:sym w:font="Symbol" w:char="F062"/>
      </w:r>
      <w:r w:rsidRPr="00215710">
        <w:rPr>
          <w:sz w:val="24"/>
          <w:szCs w:val="24"/>
        </w:rPr>
        <w:t xml:space="preserve">-catenin-1), T helper cells (CD4 clone 4B12), epithelial cells (cytokeratin clone AE1/AE3), and all other nucleated cells (DAPI). </w:t>
      </w:r>
    </w:p>
    <w:p w14:paraId="00F3D38D" w14:textId="77777777" w:rsidR="00D67678" w:rsidRDefault="00D67678" w:rsidP="00D67678">
      <w:pPr>
        <w:spacing w:after="200" w:line="360" w:lineRule="auto"/>
        <w:rPr>
          <w:sz w:val="24"/>
          <w:szCs w:val="24"/>
        </w:rPr>
      </w:pPr>
      <w:r w:rsidRPr="00215710">
        <w:rPr>
          <w:sz w:val="24"/>
          <w:szCs w:val="24"/>
        </w:rPr>
        <w:t xml:space="preserve">Multiplex panel 2 contained: biomarkers for PD-L1 (clones SP263 and SP142), macrophages (CD68 clone 514H1), epithelial cells (cytokeratin clone AE1/AE3) and all other nucleated cells (DAPI). </w:t>
      </w:r>
    </w:p>
    <w:p w14:paraId="092545E6" w14:textId="3B70B090" w:rsidR="00D67678" w:rsidRDefault="00D67678" w:rsidP="00D67678">
      <w:pPr>
        <w:spacing w:line="360" w:lineRule="auto"/>
        <w:jc w:val="both"/>
        <w:rPr>
          <w:sz w:val="24"/>
          <w:szCs w:val="24"/>
        </w:rPr>
      </w:pPr>
      <w:r w:rsidRPr="005A12FA">
        <w:rPr>
          <w:sz w:val="24"/>
          <w:szCs w:val="24"/>
        </w:rPr>
        <w:t xml:space="preserve">The </w:t>
      </w:r>
      <w:r>
        <w:rPr>
          <w:sz w:val="24"/>
          <w:szCs w:val="24"/>
        </w:rPr>
        <w:t>multiplex (</w:t>
      </w:r>
      <w:proofErr w:type="spellStart"/>
      <w:r w:rsidRPr="005A12FA">
        <w:rPr>
          <w:sz w:val="24"/>
          <w:szCs w:val="24"/>
        </w:rPr>
        <w:t>mIF</w:t>
      </w:r>
      <w:proofErr w:type="spellEnd"/>
      <w:r>
        <w:rPr>
          <w:sz w:val="24"/>
          <w:szCs w:val="24"/>
        </w:rPr>
        <w:t>)</w:t>
      </w:r>
      <w:r w:rsidRPr="005A12FA">
        <w:rPr>
          <w:sz w:val="24"/>
          <w:szCs w:val="24"/>
        </w:rPr>
        <w:t xml:space="preserve"> stained slides were scanned </w:t>
      </w:r>
      <w:r>
        <w:rPr>
          <w:sz w:val="24"/>
          <w:szCs w:val="24"/>
        </w:rPr>
        <w:t xml:space="preserve">using an Akoya Vectra Polaris (Akoya Biosciences, Marlborough, MA.). Fluorescence </w:t>
      </w:r>
      <w:r w:rsidRPr="005A12FA">
        <w:rPr>
          <w:sz w:val="24"/>
          <w:szCs w:val="24"/>
        </w:rPr>
        <w:t xml:space="preserve">images </w:t>
      </w:r>
      <w:r>
        <w:rPr>
          <w:sz w:val="24"/>
          <w:szCs w:val="24"/>
        </w:rPr>
        <w:t xml:space="preserve">were </w:t>
      </w:r>
      <w:r w:rsidRPr="005A12FA">
        <w:rPr>
          <w:sz w:val="24"/>
          <w:szCs w:val="24"/>
        </w:rPr>
        <w:t xml:space="preserve">imported into </w:t>
      </w:r>
      <w:r>
        <w:rPr>
          <w:sz w:val="24"/>
          <w:szCs w:val="24"/>
        </w:rPr>
        <w:t>the open-source,</w:t>
      </w:r>
      <w:r w:rsidRPr="005A12FA">
        <w:rPr>
          <w:sz w:val="24"/>
          <w:szCs w:val="24"/>
        </w:rPr>
        <w:t xml:space="preserve"> digital image analysis software, </w:t>
      </w:r>
      <w:proofErr w:type="spellStart"/>
      <w:r w:rsidRPr="005A12FA">
        <w:rPr>
          <w:sz w:val="24"/>
          <w:szCs w:val="24"/>
        </w:rPr>
        <w:t>QuPath</w:t>
      </w:r>
      <w:proofErr w:type="spellEnd"/>
      <w:r>
        <w:rPr>
          <w:sz w:val="24"/>
          <w:szCs w:val="24"/>
        </w:rPr>
        <w:t xml:space="preserve"> (version 0.2.3)</w:t>
      </w:r>
      <w:r w:rsidRPr="005A12FA">
        <w:rPr>
          <w:sz w:val="24"/>
          <w:szCs w:val="24"/>
        </w:rPr>
        <w:t xml:space="preserve">. The </w:t>
      </w:r>
      <w:r>
        <w:rPr>
          <w:sz w:val="24"/>
          <w:szCs w:val="24"/>
        </w:rPr>
        <w:t>captured specimen was annotated using the simple tissue detection method. E</w:t>
      </w:r>
      <w:r w:rsidRPr="005A12FA">
        <w:rPr>
          <w:sz w:val="24"/>
          <w:szCs w:val="24"/>
        </w:rPr>
        <w:t xml:space="preserve">ach </w:t>
      </w:r>
      <w:r>
        <w:rPr>
          <w:sz w:val="24"/>
          <w:szCs w:val="24"/>
        </w:rPr>
        <w:t>a</w:t>
      </w:r>
      <w:r w:rsidRPr="005A12FA">
        <w:rPr>
          <w:sz w:val="24"/>
          <w:szCs w:val="24"/>
        </w:rPr>
        <w:t>nnotat</w:t>
      </w:r>
      <w:r>
        <w:rPr>
          <w:sz w:val="24"/>
          <w:szCs w:val="24"/>
        </w:rPr>
        <w:t>ion</w:t>
      </w:r>
      <w:r w:rsidRPr="005A12FA">
        <w:rPr>
          <w:sz w:val="24"/>
          <w:szCs w:val="24"/>
        </w:rPr>
        <w:t xml:space="preserve"> underwent a rigorous quality control process where the quality of the tissue slides </w:t>
      </w:r>
      <w:proofErr w:type="gramStart"/>
      <w:r w:rsidRPr="005A12FA">
        <w:rPr>
          <w:sz w:val="24"/>
          <w:szCs w:val="24"/>
        </w:rPr>
        <w:t>were</w:t>
      </w:r>
      <w:proofErr w:type="gramEnd"/>
      <w:r w:rsidRPr="005A12FA">
        <w:rPr>
          <w:sz w:val="24"/>
          <w:szCs w:val="24"/>
        </w:rPr>
        <w:t xml:space="preserve"> assessed to determine their suitability for analysis. Areas with tissue folds, artefacts, or necrotic cells were removed from the annotations. </w:t>
      </w:r>
      <w:r>
        <w:rPr>
          <w:sz w:val="24"/>
          <w:szCs w:val="24"/>
        </w:rPr>
        <w:t>Quality control was conducted</w:t>
      </w:r>
      <w:r w:rsidRPr="005A12FA">
        <w:rPr>
          <w:sz w:val="24"/>
          <w:szCs w:val="24"/>
        </w:rPr>
        <w:t xml:space="preserve"> by </w:t>
      </w:r>
      <w:r>
        <w:rPr>
          <w:sz w:val="24"/>
          <w:szCs w:val="24"/>
        </w:rPr>
        <w:t>an image analyst</w:t>
      </w:r>
      <w:r w:rsidRPr="005A12FA">
        <w:rPr>
          <w:sz w:val="24"/>
          <w:szCs w:val="24"/>
        </w:rPr>
        <w:t xml:space="preserve"> and confirmed by a second reviewer with experience in image analysis. Cell detection was then carried out using the DAPI channel to detect all nucleated cells. Tumour cells were identified using the CK channel at set thresholds</w:t>
      </w:r>
      <w:r>
        <w:rPr>
          <w:sz w:val="24"/>
          <w:szCs w:val="24"/>
        </w:rPr>
        <w:t xml:space="preserve"> based on the staining intensity</w:t>
      </w:r>
      <w:r w:rsidRPr="005A12FA">
        <w:rPr>
          <w:sz w:val="24"/>
          <w:szCs w:val="24"/>
        </w:rPr>
        <w:t xml:space="preserve">. The biomarkers </w:t>
      </w:r>
      <w:r>
        <w:rPr>
          <w:sz w:val="24"/>
          <w:szCs w:val="24"/>
        </w:rPr>
        <w:t xml:space="preserve">CD68, </w:t>
      </w:r>
      <w:r w:rsidRPr="005A12FA">
        <w:rPr>
          <w:sz w:val="24"/>
          <w:szCs w:val="24"/>
        </w:rPr>
        <w:t xml:space="preserve">CD8 </w:t>
      </w:r>
      <w:r>
        <w:rPr>
          <w:sz w:val="24"/>
          <w:szCs w:val="24"/>
        </w:rPr>
        <w:t xml:space="preserve">and </w:t>
      </w:r>
      <w:r w:rsidRPr="005A12FA">
        <w:rPr>
          <w:sz w:val="24"/>
          <w:szCs w:val="24"/>
        </w:rPr>
        <w:t>PD-L1 (SP142 clone)</w:t>
      </w:r>
      <w:r>
        <w:rPr>
          <w:sz w:val="24"/>
          <w:szCs w:val="24"/>
        </w:rPr>
        <w:t xml:space="preserve"> </w:t>
      </w:r>
      <w:r w:rsidRPr="005A12FA">
        <w:rPr>
          <w:sz w:val="24"/>
          <w:szCs w:val="24"/>
        </w:rPr>
        <w:t xml:space="preserve">were identified as present on cells within the tumour or stroma areas, which were then classified as positive or negative for each biomarker based on </w:t>
      </w:r>
      <w:r>
        <w:rPr>
          <w:sz w:val="24"/>
          <w:szCs w:val="24"/>
        </w:rPr>
        <w:t>consensus</w:t>
      </w:r>
      <w:r w:rsidRPr="005A12FA">
        <w:rPr>
          <w:sz w:val="24"/>
          <w:szCs w:val="24"/>
        </w:rPr>
        <w:t xml:space="preserve"> </w:t>
      </w:r>
      <w:proofErr w:type="gramStart"/>
      <w:r w:rsidRPr="005A12FA">
        <w:rPr>
          <w:sz w:val="24"/>
          <w:szCs w:val="24"/>
        </w:rPr>
        <w:t>thresholds</w:t>
      </w:r>
      <w:r>
        <w:rPr>
          <w:sz w:val="24"/>
          <w:szCs w:val="24"/>
        </w:rPr>
        <w:t>,</w:t>
      </w:r>
      <w:r w:rsidRPr="005A12FA">
        <w:rPr>
          <w:sz w:val="24"/>
          <w:szCs w:val="24"/>
        </w:rPr>
        <w:t>.</w:t>
      </w:r>
      <w:proofErr w:type="gramEnd"/>
      <w:r w:rsidRPr="005A12FA">
        <w:rPr>
          <w:sz w:val="24"/>
          <w:szCs w:val="24"/>
        </w:rPr>
        <w:t xml:space="preserve"> </w:t>
      </w:r>
      <w:r>
        <w:rPr>
          <w:sz w:val="24"/>
          <w:szCs w:val="24"/>
        </w:rPr>
        <w:t>CD68</w:t>
      </w:r>
      <w:r w:rsidRPr="00215710">
        <w:rPr>
          <w:sz w:val="24"/>
          <w:szCs w:val="24"/>
          <w:vertAlign w:val="superscript"/>
        </w:rPr>
        <w:t>+</w:t>
      </w:r>
      <w:r>
        <w:rPr>
          <w:sz w:val="24"/>
          <w:szCs w:val="24"/>
        </w:rPr>
        <w:t xml:space="preserve"> cells were identified as macrophages while CD8</w:t>
      </w:r>
      <w:r w:rsidRPr="00215710">
        <w:rPr>
          <w:sz w:val="24"/>
          <w:szCs w:val="24"/>
          <w:vertAlign w:val="superscript"/>
        </w:rPr>
        <w:t>+</w:t>
      </w:r>
      <w:r>
        <w:rPr>
          <w:sz w:val="24"/>
          <w:szCs w:val="24"/>
        </w:rPr>
        <w:t xml:space="preserve"> cells were identified as T-cells. </w:t>
      </w:r>
      <w:r w:rsidRPr="005A12FA">
        <w:rPr>
          <w:sz w:val="24"/>
          <w:szCs w:val="24"/>
        </w:rPr>
        <w:t>A composite classifier was created based on the individual thresholds for CD68 and PD-L1 to ide</w:t>
      </w:r>
      <w:r>
        <w:rPr>
          <w:sz w:val="24"/>
          <w:szCs w:val="24"/>
        </w:rPr>
        <w:t>ntify PD-L1</w:t>
      </w:r>
      <w:r w:rsidRPr="00215710">
        <w:rPr>
          <w:sz w:val="24"/>
          <w:szCs w:val="24"/>
          <w:vertAlign w:val="superscript"/>
        </w:rPr>
        <w:t>+</w:t>
      </w:r>
      <w:r>
        <w:rPr>
          <w:sz w:val="24"/>
          <w:szCs w:val="24"/>
        </w:rPr>
        <w:t>/CD68</w:t>
      </w:r>
      <w:r w:rsidRPr="00215710">
        <w:rPr>
          <w:sz w:val="24"/>
          <w:szCs w:val="24"/>
          <w:vertAlign w:val="superscript"/>
        </w:rPr>
        <w:t>+</w:t>
      </w:r>
      <w:r w:rsidRPr="00D67678">
        <w:rPr>
          <w:sz w:val="24"/>
          <w:szCs w:val="24"/>
        </w:rPr>
        <w:t xml:space="preserve"> </w:t>
      </w:r>
      <w:r>
        <w:rPr>
          <w:sz w:val="24"/>
          <w:szCs w:val="24"/>
        </w:rPr>
        <w:t>cells or PD-L1</w:t>
      </w:r>
      <w:r w:rsidRPr="00215710">
        <w:rPr>
          <w:sz w:val="24"/>
          <w:szCs w:val="24"/>
          <w:vertAlign w:val="superscript"/>
        </w:rPr>
        <w:t>+</w:t>
      </w:r>
      <w:r>
        <w:rPr>
          <w:sz w:val="24"/>
          <w:szCs w:val="24"/>
        </w:rPr>
        <w:t xml:space="preserve"> macrophages. The measurements obtained from the analysis in </w:t>
      </w:r>
      <w:proofErr w:type="spellStart"/>
      <w:r>
        <w:rPr>
          <w:sz w:val="24"/>
          <w:szCs w:val="24"/>
        </w:rPr>
        <w:t>QuPath</w:t>
      </w:r>
      <w:proofErr w:type="spellEnd"/>
      <w:r>
        <w:rPr>
          <w:sz w:val="24"/>
          <w:szCs w:val="24"/>
        </w:rPr>
        <w:t xml:space="preserve"> were then exported for further analyses.</w:t>
      </w:r>
    </w:p>
    <w:p w14:paraId="6D325D2D" w14:textId="402D7185" w:rsidR="005F15F5" w:rsidRDefault="005F15F5" w:rsidP="00D67678">
      <w:pPr>
        <w:spacing w:line="360" w:lineRule="auto"/>
        <w:jc w:val="both"/>
        <w:rPr>
          <w:sz w:val="24"/>
          <w:szCs w:val="24"/>
        </w:rPr>
      </w:pPr>
    </w:p>
    <w:p w14:paraId="2A68E3FE" w14:textId="77777777" w:rsidR="005F15F5" w:rsidRPr="005A12FA" w:rsidRDefault="005F15F5" w:rsidP="00D67678">
      <w:pPr>
        <w:spacing w:line="360" w:lineRule="auto"/>
        <w:jc w:val="both"/>
        <w:rPr>
          <w:sz w:val="24"/>
          <w:szCs w:val="24"/>
        </w:rPr>
      </w:pPr>
    </w:p>
    <w:p w14:paraId="6757C973" w14:textId="4AC14C6D" w:rsidR="00AA7F19" w:rsidRDefault="00AA7F19" w:rsidP="00215710">
      <w:pPr>
        <w:spacing w:after="200" w:line="360" w:lineRule="auto"/>
        <w:rPr>
          <w:rFonts w:asciiTheme="minorHAnsi" w:hAnsiTheme="minorHAnsi" w:cstheme="minorHAnsi"/>
          <w:b/>
          <w:bCs/>
          <w:sz w:val="24"/>
          <w:szCs w:val="24"/>
        </w:rPr>
      </w:pPr>
      <w:r>
        <w:rPr>
          <w:rFonts w:asciiTheme="minorHAnsi" w:hAnsiTheme="minorHAnsi" w:cstheme="minorHAnsi"/>
          <w:b/>
          <w:bCs/>
          <w:sz w:val="24"/>
          <w:szCs w:val="24"/>
        </w:rPr>
        <w:lastRenderedPageBreak/>
        <w:br w:type="page"/>
      </w:r>
    </w:p>
    <w:p w14:paraId="133CF075" w14:textId="72A9636A" w:rsidR="00F54580" w:rsidRDefault="00AA7F19" w:rsidP="00F54580">
      <w:pPr>
        <w:rPr>
          <w:rFonts w:asciiTheme="minorHAnsi" w:hAnsiTheme="minorHAnsi" w:cstheme="minorHAnsi"/>
          <w:b/>
          <w:bCs/>
          <w:sz w:val="24"/>
          <w:szCs w:val="24"/>
        </w:rPr>
      </w:pPr>
      <w:r>
        <w:rPr>
          <w:rFonts w:asciiTheme="minorHAnsi" w:hAnsiTheme="minorHAnsi" w:cstheme="minorHAnsi"/>
          <w:b/>
          <w:bCs/>
          <w:sz w:val="24"/>
          <w:szCs w:val="24"/>
        </w:rPr>
        <w:lastRenderedPageBreak/>
        <w:t xml:space="preserve">Supplementary </w:t>
      </w:r>
      <w:r w:rsidR="00F54580" w:rsidRPr="00B96EB0">
        <w:rPr>
          <w:rFonts w:asciiTheme="minorHAnsi" w:hAnsiTheme="minorHAnsi" w:cstheme="minorHAnsi"/>
          <w:b/>
          <w:bCs/>
          <w:sz w:val="24"/>
          <w:szCs w:val="24"/>
        </w:rPr>
        <w:t>References</w:t>
      </w:r>
    </w:p>
    <w:p w14:paraId="0CF6C9D3" w14:textId="77777777" w:rsidR="00AA7F19" w:rsidRPr="00B96EB0" w:rsidRDefault="00AA7F19" w:rsidP="00F54580">
      <w:pPr>
        <w:rPr>
          <w:rFonts w:asciiTheme="minorHAnsi" w:hAnsiTheme="minorHAnsi" w:cstheme="minorHAnsi"/>
          <w:b/>
          <w:bCs/>
          <w:sz w:val="24"/>
          <w:szCs w:val="24"/>
        </w:rPr>
      </w:pPr>
    </w:p>
    <w:p w14:paraId="23E16F34" w14:textId="77777777" w:rsidR="00F54580" w:rsidRPr="00B96EB0" w:rsidRDefault="00F54580" w:rsidP="00F54580">
      <w:pPr>
        <w:pStyle w:val="ListParagraph"/>
        <w:spacing w:after="160"/>
        <w:ind w:left="142" w:hanging="142"/>
        <w:rPr>
          <w:rFonts w:asciiTheme="minorHAnsi" w:hAnsiTheme="minorHAnsi" w:cstheme="minorHAnsi"/>
          <w:lang w:eastAsia="de-DE"/>
        </w:rPr>
      </w:pPr>
      <w:r w:rsidRPr="00B96EB0">
        <w:rPr>
          <w:rFonts w:asciiTheme="minorHAnsi" w:hAnsiTheme="minorHAnsi" w:cstheme="minorHAnsi"/>
          <w:lang w:eastAsia="de-DE"/>
        </w:rPr>
        <w:t>1.</w:t>
      </w:r>
      <w:r w:rsidRPr="00B96EB0">
        <w:rPr>
          <w:rFonts w:asciiTheme="minorHAnsi" w:hAnsiTheme="minorHAnsi" w:cstheme="minorHAnsi"/>
          <w:sz w:val="14"/>
          <w:szCs w:val="14"/>
          <w:lang w:eastAsia="de-DE"/>
        </w:rPr>
        <w:t xml:space="preserve">                  </w:t>
      </w:r>
      <w:proofErr w:type="spellStart"/>
      <w:r w:rsidRPr="00B96EB0">
        <w:rPr>
          <w:rFonts w:asciiTheme="minorHAnsi" w:hAnsiTheme="minorHAnsi" w:cstheme="minorHAnsi"/>
          <w:lang w:eastAsia="de-DE"/>
        </w:rPr>
        <w:t>Dobin</w:t>
      </w:r>
      <w:proofErr w:type="spellEnd"/>
      <w:r w:rsidRPr="00B96EB0">
        <w:rPr>
          <w:rFonts w:asciiTheme="minorHAnsi" w:hAnsiTheme="minorHAnsi" w:cstheme="minorHAnsi"/>
          <w:lang w:eastAsia="de-DE"/>
        </w:rPr>
        <w:t xml:space="preserve"> A, Davis CA, Schlesinger F, </w:t>
      </w:r>
      <w:proofErr w:type="spellStart"/>
      <w:r w:rsidRPr="00B96EB0">
        <w:rPr>
          <w:rFonts w:asciiTheme="minorHAnsi" w:hAnsiTheme="minorHAnsi" w:cstheme="minorHAnsi"/>
          <w:lang w:eastAsia="de-DE"/>
        </w:rPr>
        <w:t>Drenkow</w:t>
      </w:r>
      <w:proofErr w:type="spellEnd"/>
      <w:r w:rsidRPr="00B96EB0">
        <w:rPr>
          <w:rFonts w:asciiTheme="minorHAnsi" w:hAnsiTheme="minorHAnsi" w:cstheme="minorHAnsi"/>
          <w:lang w:eastAsia="de-DE"/>
        </w:rPr>
        <w:t xml:space="preserve"> J, Zaleski C, Jha S, et al.  STAR: ultrafast universal RNA-</w:t>
      </w:r>
      <w:proofErr w:type="spellStart"/>
      <w:r w:rsidRPr="00B96EB0">
        <w:rPr>
          <w:rFonts w:asciiTheme="minorHAnsi" w:hAnsiTheme="minorHAnsi" w:cstheme="minorHAnsi"/>
          <w:lang w:eastAsia="de-DE"/>
        </w:rPr>
        <w:t>seq</w:t>
      </w:r>
      <w:proofErr w:type="spellEnd"/>
      <w:r w:rsidRPr="00B96EB0">
        <w:rPr>
          <w:rFonts w:asciiTheme="minorHAnsi" w:hAnsiTheme="minorHAnsi" w:cstheme="minorHAnsi"/>
          <w:lang w:eastAsia="de-DE"/>
        </w:rPr>
        <w:t xml:space="preserve"> aligner.  Bioinformatics 2013; 29: 15-21.</w:t>
      </w:r>
    </w:p>
    <w:p w14:paraId="1A73E84C" w14:textId="77777777" w:rsidR="00F54580" w:rsidRPr="00B96EB0" w:rsidRDefault="00F54580" w:rsidP="00F54580">
      <w:pPr>
        <w:pStyle w:val="ListParagraph"/>
        <w:spacing w:after="160"/>
        <w:ind w:left="142" w:hanging="142"/>
        <w:rPr>
          <w:rFonts w:asciiTheme="minorHAnsi" w:hAnsiTheme="minorHAnsi" w:cstheme="minorHAnsi"/>
          <w:lang w:eastAsia="de-DE"/>
        </w:rPr>
      </w:pPr>
      <w:r w:rsidRPr="00B96EB0">
        <w:rPr>
          <w:rFonts w:asciiTheme="minorHAnsi" w:hAnsiTheme="minorHAnsi" w:cstheme="minorHAnsi"/>
          <w:lang w:eastAsia="de-DE"/>
        </w:rPr>
        <w:t>2.</w:t>
      </w:r>
      <w:r w:rsidRPr="00B96EB0">
        <w:rPr>
          <w:rFonts w:asciiTheme="minorHAnsi" w:hAnsiTheme="minorHAnsi" w:cstheme="minorHAnsi"/>
          <w:sz w:val="14"/>
          <w:szCs w:val="14"/>
          <w:lang w:eastAsia="de-DE"/>
        </w:rPr>
        <w:t xml:space="preserve">                  </w:t>
      </w:r>
      <w:r w:rsidRPr="00B96EB0">
        <w:rPr>
          <w:rFonts w:asciiTheme="minorHAnsi" w:hAnsiTheme="minorHAnsi" w:cstheme="minorHAnsi"/>
          <w:lang w:eastAsia="de-DE"/>
        </w:rPr>
        <w:t xml:space="preserve">Li H &amp; Durbin R (2009) Fast and accurate short read alignment with Burrows-Wheeler Transform. </w:t>
      </w:r>
      <w:proofErr w:type="spellStart"/>
      <w:r w:rsidRPr="00B96EB0">
        <w:rPr>
          <w:rFonts w:asciiTheme="minorHAnsi" w:hAnsiTheme="minorHAnsi" w:cstheme="minorHAnsi"/>
          <w:lang w:eastAsia="de-DE"/>
        </w:rPr>
        <w:t>Bioin</w:t>
      </w:r>
      <w:proofErr w:type="spellEnd"/>
      <w:r w:rsidRPr="00B96EB0">
        <w:rPr>
          <w:rFonts w:asciiTheme="minorHAnsi" w:hAnsiTheme="minorHAnsi" w:cstheme="minorHAnsi"/>
        </w:rPr>
        <w:t xml:space="preserve"> </w:t>
      </w:r>
      <w:r w:rsidRPr="00B96EB0">
        <w:rPr>
          <w:rFonts w:asciiTheme="minorHAnsi" w:hAnsiTheme="minorHAnsi" w:cstheme="minorHAnsi"/>
          <w:lang w:eastAsia="de-DE"/>
        </w:rPr>
        <w:t>e63243.</w:t>
      </w:r>
    </w:p>
    <w:p w14:paraId="6BA36D3F" w14:textId="77777777" w:rsidR="00F54580" w:rsidRPr="00B96EB0" w:rsidRDefault="00F54580" w:rsidP="00F54580">
      <w:pPr>
        <w:pStyle w:val="ListParagraph"/>
        <w:spacing w:after="160"/>
        <w:ind w:left="142" w:hanging="142"/>
        <w:rPr>
          <w:rFonts w:asciiTheme="minorHAnsi" w:hAnsiTheme="minorHAnsi" w:cstheme="minorHAnsi"/>
          <w:lang w:eastAsia="de-DE"/>
        </w:rPr>
      </w:pPr>
      <w:r w:rsidRPr="00B96EB0">
        <w:rPr>
          <w:rFonts w:asciiTheme="minorHAnsi" w:hAnsiTheme="minorHAnsi" w:cstheme="minorHAnsi"/>
          <w:lang w:eastAsia="de-DE"/>
        </w:rPr>
        <w:t>3.</w:t>
      </w:r>
      <w:r w:rsidRPr="00B96EB0">
        <w:rPr>
          <w:rFonts w:asciiTheme="minorHAnsi" w:hAnsiTheme="minorHAnsi" w:cstheme="minorHAnsi"/>
          <w:sz w:val="14"/>
          <w:szCs w:val="14"/>
          <w:lang w:eastAsia="de-DE"/>
        </w:rPr>
        <w:t xml:space="preserve">                  </w:t>
      </w:r>
      <w:r w:rsidRPr="00B96EB0">
        <w:rPr>
          <w:rFonts w:asciiTheme="minorHAnsi" w:hAnsiTheme="minorHAnsi" w:cstheme="minorHAnsi"/>
          <w:lang w:eastAsia="de-DE"/>
        </w:rPr>
        <w:t xml:space="preserve">Li H, </w:t>
      </w:r>
      <w:proofErr w:type="spellStart"/>
      <w:r w:rsidRPr="00B96EB0">
        <w:rPr>
          <w:rFonts w:asciiTheme="minorHAnsi" w:hAnsiTheme="minorHAnsi" w:cstheme="minorHAnsi"/>
          <w:lang w:eastAsia="de-DE"/>
        </w:rPr>
        <w:t>Handsaker</w:t>
      </w:r>
      <w:proofErr w:type="spellEnd"/>
      <w:r w:rsidRPr="00B96EB0">
        <w:rPr>
          <w:rFonts w:asciiTheme="minorHAnsi" w:hAnsiTheme="minorHAnsi" w:cstheme="minorHAnsi"/>
          <w:lang w:eastAsia="de-DE"/>
        </w:rPr>
        <w:t xml:space="preserve"> B, </w:t>
      </w:r>
      <w:proofErr w:type="spellStart"/>
      <w:r w:rsidRPr="00B96EB0">
        <w:rPr>
          <w:rFonts w:asciiTheme="minorHAnsi" w:hAnsiTheme="minorHAnsi" w:cstheme="minorHAnsi"/>
          <w:lang w:eastAsia="de-DE"/>
        </w:rPr>
        <w:t>Wysoker</w:t>
      </w:r>
      <w:proofErr w:type="spellEnd"/>
      <w:r w:rsidRPr="00B96EB0">
        <w:rPr>
          <w:rFonts w:asciiTheme="minorHAnsi" w:hAnsiTheme="minorHAnsi" w:cstheme="minorHAnsi"/>
          <w:lang w:eastAsia="de-DE"/>
        </w:rPr>
        <w:t xml:space="preserve"> A, Fennell T, </w:t>
      </w:r>
      <w:proofErr w:type="spellStart"/>
      <w:r w:rsidRPr="00B96EB0">
        <w:rPr>
          <w:rFonts w:asciiTheme="minorHAnsi" w:hAnsiTheme="minorHAnsi" w:cstheme="minorHAnsi"/>
          <w:lang w:eastAsia="de-DE"/>
        </w:rPr>
        <w:t>Ruan</w:t>
      </w:r>
      <w:proofErr w:type="spellEnd"/>
      <w:r w:rsidRPr="00B96EB0">
        <w:rPr>
          <w:rFonts w:asciiTheme="minorHAnsi" w:hAnsiTheme="minorHAnsi" w:cstheme="minorHAnsi"/>
          <w:lang w:eastAsia="de-DE"/>
        </w:rPr>
        <w:t xml:space="preserve"> J, Homer N, et al. (2009) The Sequence alignment/map (SAM) format and </w:t>
      </w:r>
      <w:proofErr w:type="spellStart"/>
      <w:r w:rsidRPr="00B96EB0">
        <w:rPr>
          <w:rFonts w:asciiTheme="minorHAnsi" w:hAnsiTheme="minorHAnsi" w:cstheme="minorHAnsi"/>
          <w:lang w:eastAsia="de-DE"/>
        </w:rPr>
        <w:t>SAMtools</w:t>
      </w:r>
      <w:proofErr w:type="spellEnd"/>
      <w:r w:rsidRPr="00B96EB0">
        <w:rPr>
          <w:rFonts w:asciiTheme="minorHAnsi" w:hAnsiTheme="minorHAnsi" w:cstheme="minorHAnsi"/>
          <w:lang w:eastAsia="de-DE"/>
        </w:rPr>
        <w:t>. Bioinformatics, 25, 2078-2079.</w:t>
      </w:r>
    </w:p>
    <w:p w14:paraId="77A2E838" w14:textId="12806B73" w:rsidR="00F54580" w:rsidRDefault="00F54580" w:rsidP="00F54580">
      <w:pPr>
        <w:pStyle w:val="ListParagraph"/>
        <w:spacing w:after="160"/>
        <w:ind w:left="142" w:hanging="142"/>
        <w:rPr>
          <w:rFonts w:asciiTheme="minorHAnsi" w:hAnsiTheme="minorHAnsi" w:cstheme="minorHAnsi"/>
          <w:lang w:eastAsia="de-DE"/>
        </w:rPr>
      </w:pPr>
      <w:r w:rsidRPr="00B96EB0">
        <w:rPr>
          <w:rFonts w:asciiTheme="minorHAnsi" w:hAnsiTheme="minorHAnsi" w:cstheme="minorHAnsi"/>
          <w:lang w:eastAsia="de-DE"/>
        </w:rPr>
        <w:t>4.</w:t>
      </w:r>
      <w:r w:rsidRPr="00B96EB0">
        <w:rPr>
          <w:rFonts w:asciiTheme="minorHAnsi" w:hAnsiTheme="minorHAnsi" w:cstheme="minorHAnsi"/>
          <w:sz w:val="14"/>
          <w:szCs w:val="14"/>
          <w:lang w:eastAsia="de-DE"/>
        </w:rPr>
        <w:t xml:space="preserve">                  </w:t>
      </w:r>
      <w:proofErr w:type="spellStart"/>
      <w:r w:rsidRPr="00B96EB0">
        <w:rPr>
          <w:rFonts w:asciiTheme="minorHAnsi" w:hAnsiTheme="minorHAnsi" w:cstheme="minorHAnsi"/>
          <w:lang w:eastAsia="de-DE"/>
        </w:rPr>
        <w:t>Trapnell</w:t>
      </w:r>
      <w:proofErr w:type="spellEnd"/>
      <w:r w:rsidRPr="00B96EB0">
        <w:rPr>
          <w:rFonts w:asciiTheme="minorHAnsi" w:hAnsiTheme="minorHAnsi" w:cstheme="minorHAnsi"/>
          <w:lang w:eastAsia="de-DE"/>
        </w:rPr>
        <w:t xml:space="preserve"> C, Williams BA, </w:t>
      </w:r>
      <w:proofErr w:type="spellStart"/>
      <w:r w:rsidRPr="00B96EB0">
        <w:rPr>
          <w:rFonts w:asciiTheme="minorHAnsi" w:hAnsiTheme="minorHAnsi" w:cstheme="minorHAnsi"/>
          <w:lang w:eastAsia="de-DE"/>
        </w:rPr>
        <w:t>Pertea</w:t>
      </w:r>
      <w:proofErr w:type="spellEnd"/>
      <w:r w:rsidRPr="00B96EB0">
        <w:rPr>
          <w:rFonts w:asciiTheme="minorHAnsi" w:hAnsiTheme="minorHAnsi" w:cstheme="minorHAnsi"/>
          <w:lang w:eastAsia="de-DE"/>
        </w:rPr>
        <w:t xml:space="preserve"> G, Mortazavi A, Kwan G, van Baren MJ, et al.  Transcript assembly and quantification by RNA-</w:t>
      </w:r>
      <w:proofErr w:type="spellStart"/>
      <w:r w:rsidRPr="00B96EB0">
        <w:rPr>
          <w:rFonts w:asciiTheme="minorHAnsi" w:hAnsiTheme="minorHAnsi" w:cstheme="minorHAnsi"/>
          <w:lang w:eastAsia="de-DE"/>
        </w:rPr>
        <w:t>Seq</w:t>
      </w:r>
      <w:proofErr w:type="spellEnd"/>
      <w:r w:rsidRPr="00B96EB0">
        <w:rPr>
          <w:rFonts w:asciiTheme="minorHAnsi" w:hAnsiTheme="minorHAnsi" w:cstheme="minorHAnsi"/>
          <w:lang w:eastAsia="de-DE"/>
        </w:rPr>
        <w:t xml:space="preserve"> reveals unannotated transcripts and isoform switching during cell differentiation.  Nature Biotechnology 2010; 28: 511-515.formatics, 25:1754-60.</w:t>
      </w:r>
    </w:p>
    <w:p w14:paraId="63A6DF56" w14:textId="074625E0" w:rsidR="006B046A" w:rsidRPr="00B96EB0" w:rsidRDefault="006B046A" w:rsidP="00F54580">
      <w:pPr>
        <w:pStyle w:val="ListParagraph"/>
        <w:spacing w:after="160"/>
        <w:ind w:left="142" w:hanging="142"/>
        <w:rPr>
          <w:rFonts w:asciiTheme="minorHAnsi" w:hAnsiTheme="minorHAnsi" w:cstheme="minorHAnsi"/>
          <w:lang w:eastAsia="de-DE"/>
        </w:rPr>
      </w:pPr>
      <w:r>
        <w:rPr>
          <w:rFonts w:asciiTheme="minorHAnsi" w:hAnsiTheme="minorHAnsi" w:cstheme="minorHAnsi"/>
          <w:lang w:eastAsia="de-DE"/>
        </w:rPr>
        <w:t xml:space="preserve">5. </w:t>
      </w:r>
      <w:r>
        <w:rPr>
          <w:rFonts w:asciiTheme="minorHAnsi" w:hAnsiTheme="minorHAnsi" w:cstheme="minorHAnsi"/>
          <w:lang w:eastAsia="de-DE"/>
        </w:rPr>
        <w:tab/>
        <w:t xml:space="preserve">Anders S, </w:t>
      </w:r>
      <w:proofErr w:type="spellStart"/>
      <w:r>
        <w:rPr>
          <w:rFonts w:asciiTheme="minorHAnsi" w:hAnsiTheme="minorHAnsi" w:cstheme="minorHAnsi"/>
          <w:lang w:eastAsia="de-DE"/>
        </w:rPr>
        <w:t>Pyl</w:t>
      </w:r>
      <w:proofErr w:type="spellEnd"/>
      <w:r>
        <w:rPr>
          <w:rFonts w:asciiTheme="minorHAnsi" w:hAnsiTheme="minorHAnsi" w:cstheme="minorHAnsi"/>
          <w:lang w:eastAsia="de-DE"/>
        </w:rPr>
        <w:t xml:space="preserve"> PT, Huber W. </w:t>
      </w:r>
      <w:proofErr w:type="spellStart"/>
      <w:r>
        <w:rPr>
          <w:rFonts w:asciiTheme="minorHAnsi" w:hAnsiTheme="minorHAnsi" w:cstheme="minorHAnsi"/>
          <w:lang w:eastAsia="de-DE"/>
        </w:rPr>
        <w:t>HTSeq</w:t>
      </w:r>
      <w:proofErr w:type="spellEnd"/>
      <w:r>
        <w:rPr>
          <w:rFonts w:asciiTheme="minorHAnsi" w:hAnsiTheme="minorHAnsi" w:cstheme="minorHAnsi"/>
          <w:lang w:eastAsia="de-DE"/>
        </w:rPr>
        <w:t xml:space="preserve"> – a Python framework to work with high-throughput sequencing data. Bioinformatics 2015;31(2):166-9.</w:t>
      </w:r>
    </w:p>
    <w:p w14:paraId="648D4144" w14:textId="53B682D9" w:rsidR="007828B4" w:rsidRPr="00B96EB0" w:rsidRDefault="007828B4" w:rsidP="00215710">
      <w:pPr>
        <w:spacing w:after="200" w:line="276" w:lineRule="auto"/>
        <w:rPr>
          <w:rFonts w:asciiTheme="minorHAnsi" w:hAnsiTheme="minorHAnsi" w:cstheme="minorHAnsi"/>
          <w:b/>
          <w:bCs/>
          <w:sz w:val="24"/>
          <w:szCs w:val="24"/>
        </w:rPr>
      </w:pPr>
    </w:p>
    <w:sectPr w:rsidR="007828B4" w:rsidRPr="00B96E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475718"/>
    <w:multiLevelType w:val="hybridMultilevel"/>
    <w:tmpl w:val="D374AA6A"/>
    <w:lvl w:ilvl="0" w:tplc="8F6EFF9A">
      <w:numFmt w:val="bullet"/>
      <w:lvlText w:val=""/>
      <w:lvlJc w:val="left"/>
      <w:pPr>
        <w:ind w:left="1120" w:hanging="40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F9B64CE"/>
    <w:multiLevelType w:val="hybridMultilevel"/>
    <w:tmpl w:val="6CDE1AB0"/>
    <w:lvl w:ilvl="0" w:tplc="8F6EFF9A">
      <w:numFmt w:val="bullet"/>
      <w:lvlText w:val=""/>
      <w:lvlJc w:val="left"/>
      <w:pPr>
        <w:ind w:left="760" w:hanging="40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54565C"/>
    <w:multiLevelType w:val="hybridMultilevel"/>
    <w:tmpl w:val="974258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084505E"/>
    <w:multiLevelType w:val="hybridMultilevel"/>
    <w:tmpl w:val="B3A8BE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7136CC9"/>
    <w:multiLevelType w:val="hybridMultilevel"/>
    <w:tmpl w:val="31D64F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5"/>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580"/>
    <w:rsid w:val="001A68F2"/>
    <w:rsid w:val="00205C53"/>
    <w:rsid w:val="00215710"/>
    <w:rsid w:val="00383B05"/>
    <w:rsid w:val="003A1233"/>
    <w:rsid w:val="0041580E"/>
    <w:rsid w:val="00537AB7"/>
    <w:rsid w:val="005F15F5"/>
    <w:rsid w:val="006B046A"/>
    <w:rsid w:val="007828B4"/>
    <w:rsid w:val="007F1763"/>
    <w:rsid w:val="008838EA"/>
    <w:rsid w:val="009E3CCB"/>
    <w:rsid w:val="00AA7F19"/>
    <w:rsid w:val="00B51C22"/>
    <w:rsid w:val="00B96EB0"/>
    <w:rsid w:val="00BE0713"/>
    <w:rsid w:val="00D67678"/>
    <w:rsid w:val="00DB0C9D"/>
    <w:rsid w:val="00DB403F"/>
    <w:rsid w:val="00DC4EAC"/>
    <w:rsid w:val="00EA2E6A"/>
    <w:rsid w:val="00F54580"/>
    <w:rsid w:val="00FF0C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F142A"/>
  <w15:docId w15:val="{F1F69D15-F60D-43B6-B329-BF66AFDD6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580"/>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4580"/>
    <w:pPr>
      <w:spacing w:after="120" w:line="360" w:lineRule="auto"/>
      <w:ind w:left="720"/>
      <w:contextualSpacing/>
      <w:jc w:val="both"/>
    </w:pPr>
    <w:rPr>
      <w:rFonts w:ascii="Times New Roman" w:hAnsi="Times New Roman"/>
      <w:sz w:val="24"/>
      <w:szCs w:val="24"/>
      <w:lang w:eastAsia="en-US"/>
    </w:rPr>
  </w:style>
  <w:style w:type="paragraph" w:customStyle="1" w:styleId="Default">
    <w:name w:val="Default"/>
    <w:basedOn w:val="Normal"/>
    <w:rsid w:val="00F54580"/>
    <w:pPr>
      <w:autoSpaceDE w:val="0"/>
      <w:autoSpaceDN w:val="0"/>
    </w:pPr>
    <w:rPr>
      <w:rFonts w:ascii="Times New Roman" w:hAnsi="Times New Roman"/>
      <w:color w:val="000000"/>
      <w:sz w:val="24"/>
      <w:szCs w:val="24"/>
      <w:lang w:eastAsia="en-US"/>
    </w:rPr>
  </w:style>
  <w:style w:type="paragraph" w:styleId="BalloonText">
    <w:name w:val="Balloon Text"/>
    <w:basedOn w:val="Normal"/>
    <w:link w:val="BalloonTextChar"/>
    <w:uiPriority w:val="99"/>
    <w:semiHidden/>
    <w:unhideWhenUsed/>
    <w:rsid w:val="00FF0CC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F0CCA"/>
    <w:rPr>
      <w:rFonts w:ascii="Times New Roman" w:hAnsi="Times New Roman" w:cs="Times New Roman"/>
      <w:sz w:val="18"/>
      <w:szCs w:val="18"/>
      <w:lang w:eastAsia="en-GB"/>
    </w:rPr>
  </w:style>
  <w:style w:type="paragraph" w:styleId="Revision">
    <w:name w:val="Revision"/>
    <w:hidden/>
    <w:uiPriority w:val="99"/>
    <w:semiHidden/>
    <w:rsid w:val="009E3CCB"/>
    <w:pPr>
      <w:spacing w:after="0" w:line="240" w:lineRule="auto"/>
    </w:pPr>
    <w:rPr>
      <w:rFonts w:ascii="Calibri"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98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1195</Words>
  <Characters>5856</Characters>
  <Application>Microsoft Office Word</Application>
  <DocSecurity>0</DocSecurity>
  <Lines>254</Lines>
  <Paragraphs>61</Paragraphs>
  <ScaleCrop>false</ScaleCrop>
  <HeadingPairs>
    <vt:vector size="2" baseType="variant">
      <vt:variant>
        <vt:lpstr>Title</vt:lpstr>
      </vt:variant>
      <vt:variant>
        <vt:i4>1</vt:i4>
      </vt:variant>
    </vt:vector>
  </HeadingPairs>
  <TitlesOfParts>
    <vt:vector size="1" baseType="lpstr">
      <vt:lpstr/>
    </vt:vector>
  </TitlesOfParts>
  <Company>Almac</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Hill, Laura</dc:creator>
  <cp:lastModifiedBy>Stuart McIntosh</cp:lastModifiedBy>
  <cp:revision>3</cp:revision>
  <dcterms:created xsi:type="dcterms:W3CDTF">2021-06-28T11:08:00Z</dcterms:created>
  <dcterms:modified xsi:type="dcterms:W3CDTF">2021-06-28T11:08:00Z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