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7FD13" w14:textId="2FD593C2" w:rsidR="00D6626B" w:rsidRDefault="00D6626B" w:rsidP="00D6626B">
      <w:pPr>
        <w:spacing w:line="360" w:lineRule="auto"/>
        <w:jc w:val="both"/>
        <w:rPr>
          <w:lang w:val="en-US"/>
        </w:rPr>
      </w:pPr>
      <w:r>
        <w:rPr>
          <w:lang w:val="en-US"/>
        </w:rPr>
        <w:t xml:space="preserve">Ovarian carcinosarcoma is a distinct form of ovarian cancer with poorer survival compared to </w:t>
      </w:r>
      <w:r w:rsidR="00A23945">
        <w:rPr>
          <w:lang w:val="en-US"/>
        </w:rPr>
        <w:t xml:space="preserve">tubo-ovarian </w:t>
      </w:r>
      <w:r>
        <w:rPr>
          <w:lang w:val="en-US"/>
        </w:rPr>
        <w:t xml:space="preserve">high grade serous carcinoma </w:t>
      </w:r>
    </w:p>
    <w:p w14:paraId="5C2C5E68" w14:textId="74724808" w:rsidR="00FD7A8B" w:rsidRPr="004B6655" w:rsidRDefault="00FD7A8B" w:rsidP="0090770A">
      <w:pPr>
        <w:spacing w:line="360" w:lineRule="auto"/>
        <w:jc w:val="both"/>
        <w:rPr>
          <w:vertAlign w:val="superscript"/>
          <w:lang w:val="en-US"/>
        </w:rPr>
      </w:pPr>
      <w:r>
        <w:rPr>
          <w:lang w:val="en-US"/>
        </w:rPr>
        <w:t>Robert L Hollis</w:t>
      </w:r>
      <w:r>
        <w:rPr>
          <w:vertAlign w:val="superscript"/>
          <w:lang w:val="en-US"/>
        </w:rPr>
        <w:t>1</w:t>
      </w:r>
      <w:r>
        <w:rPr>
          <w:lang w:val="en-US"/>
        </w:rPr>
        <w:t>, Ian Croy</w:t>
      </w:r>
      <w:r>
        <w:rPr>
          <w:vertAlign w:val="superscript"/>
          <w:lang w:val="en-US"/>
        </w:rPr>
        <w:t>1</w:t>
      </w:r>
      <w:r w:rsidR="00F865F2">
        <w:rPr>
          <w:lang w:val="en-US"/>
        </w:rPr>
        <w:t>, Michael</w:t>
      </w:r>
      <w:r>
        <w:rPr>
          <w:lang w:val="en-US"/>
        </w:rPr>
        <w:t xml:space="preserve"> Churchman</w:t>
      </w:r>
      <w:r>
        <w:rPr>
          <w:vertAlign w:val="superscript"/>
          <w:lang w:val="en-US"/>
        </w:rPr>
        <w:t>1</w:t>
      </w:r>
      <w:r>
        <w:rPr>
          <w:lang w:val="en-US"/>
        </w:rPr>
        <w:t>, Clare Bartos</w:t>
      </w:r>
      <w:r>
        <w:rPr>
          <w:vertAlign w:val="superscript"/>
          <w:lang w:val="en-US"/>
        </w:rPr>
        <w:t>1</w:t>
      </w:r>
      <w:r>
        <w:rPr>
          <w:lang w:val="en-US"/>
        </w:rPr>
        <w:t>, Tzyvia Rye</w:t>
      </w:r>
      <w:r>
        <w:rPr>
          <w:vertAlign w:val="superscript"/>
          <w:lang w:val="en-US"/>
        </w:rPr>
        <w:t>1</w:t>
      </w:r>
      <w:r>
        <w:rPr>
          <w:lang w:val="en-US"/>
        </w:rPr>
        <w:t>, Charlie Gourley</w:t>
      </w:r>
      <w:r>
        <w:rPr>
          <w:vertAlign w:val="superscript"/>
          <w:lang w:val="en-US"/>
        </w:rPr>
        <w:t>1</w:t>
      </w:r>
      <w:r>
        <w:rPr>
          <w:lang w:val="en-US"/>
        </w:rPr>
        <w:t xml:space="preserve"> and C. Simon Herrington</w:t>
      </w:r>
      <w:r>
        <w:rPr>
          <w:vertAlign w:val="superscript"/>
          <w:lang w:val="en-US"/>
        </w:rPr>
        <w:t>1</w:t>
      </w:r>
    </w:p>
    <w:p w14:paraId="2D2EA296" w14:textId="2973BED5" w:rsidR="00FD7A8B" w:rsidRDefault="00FD7A8B" w:rsidP="0090770A">
      <w:pPr>
        <w:spacing w:line="360" w:lineRule="auto"/>
        <w:jc w:val="both"/>
        <w:rPr>
          <w:lang w:val="en-US"/>
        </w:rPr>
      </w:pPr>
      <w:r>
        <w:rPr>
          <w:vertAlign w:val="superscript"/>
          <w:lang w:val="en-US"/>
        </w:rPr>
        <w:t>1</w:t>
      </w:r>
      <w:r>
        <w:rPr>
          <w:lang w:val="en-US"/>
        </w:rPr>
        <w:t>The Nicola Murray Centre for Ovarian Cancer Research, C</w:t>
      </w:r>
      <w:r w:rsidR="00B91936">
        <w:rPr>
          <w:lang w:val="en-US"/>
        </w:rPr>
        <w:t xml:space="preserve">ancer Research </w:t>
      </w:r>
      <w:r>
        <w:rPr>
          <w:lang w:val="en-US"/>
        </w:rPr>
        <w:t xml:space="preserve">UK </w:t>
      </w:r>
      <w:r w:rsidR="009838A3">
        <w:rPr>
          <w:lang w:val="en-US"/>
        </w:rPr>
        <w:t xml:space="preserve">Scotland </w:t>
      </w:r>
      <w:r>
        <w:rPr>
          <w:lang w:val="en-US"/>
        </w:rPr>
        <w:t>Centre, Institute of Genetics and Cancer, University of Edinburgh, Scotland, UK</w:t>
      </w:r>
    </w:p>
    <w:p w14:paraId="0CC2B229" w14:textId="238A4D2A" w:rsidR="00FD7A8B" w:rsidRDefault="00FD7A8B" w:rsidP="0090770A">
      <w:pPr>
        <w:spacing w:line="360" w:lineRule="auto"/>
        <w:jc w:val="both"/>
        <w:rPr>
          <w:lang w:val="en-US"/>
        </w:rPr>
      </w:pPr>
    </w:p>
    <w:p w14:paraId="6F2E42AF" w14:textId="7B87640E" w:rsidR="00FD7A8B" w:rsidRPr="00FD7A8B" w:rsidRDefault="00FD7A8B" w:rsidP="0090770A">
      <w:pPr>
        <w:spacing w:line="360" w:lineRule="auto"/>
        <w:jc w:val="both"/>
        <w:rPr>
          <w:b/>
          <w:bCs/>
          <w:lang w:val="en-US"/>
        </w:rPr>
      </w:pPr>
      <w:r w:rsidRPr="00FD7A8B">
        <w:rPr>
          <w:b/>
          <w:bCs/>
          <w:lang w:val="en-US"/>
        </w:rPr>
        <w:t xml:space="preserve">SUPPLEMENTARY INFORMATION </w:t>
      </w:r>
    </w:p>
    <w:p w14:paraId="4B34A03D" w14:textId="27A70FBC" w:rsidR="00FD7A8B" w:rsidRPr="00FD7A8B" w:rsidRDefault="00FD7A8B" w:rsidP="0090770A">
      <w:pPr>
        <w:spacing w:line="360" w:lineRule="auto"/>
        <w:jc w:val="both"/>
        <w:rPr>
          <w:b/>
          <w:bCs/>
          <w:lang w:val="en-US"/>
        </w:rPr>
      </w:pPr>
      <w:r w:rsidRPr="00FD7A8B">
        <w:rPr>
          <w:b/>
          <w:bCs/>
          <w:lang w:val="en-US"/>
        </w:rPr>
        <w:t xml:space="preserve">Supplementary methods </w:t>
      </w:r>
    </w:p>
    <w:p w14:paraId="553C4314" w14:textId="77777777" w:rsidR="0090770A" w:rsidRPr="00255A2B" w:rsidRDefault="0090770A" w:rsidP="0090770A">
      <w:pPr>
        <w:spacing w:line="360" w:lineRule="auto"/>
        <w:jc w:val="both"/>
        <w:rPr>
          <w:i/>
          <w:lang w:val="en-US"/>
        </w:rPr>
      </w:pPr>
      <w:r w:rsidRPr="00255A2B">
        <w:rPr>
          <w:i/>
          <w:lang w:val="en-US"/>
        </w:rPr>
        <w:t>1. Evaluation of therapy response and disease progression</w:t>
      </w:r>
    </w:p>
    <w:p w14:paraId="4AA8A302" w14:textId="60351C75" w:rsidR="0090770A" w:rsidRDefault="00EB4FDC" w:rsidP="0090770A">
      <w:pPr>
        <w:spacing w:line="360" w:lineRule="auto"/>
        <w:jc w:val="both"/>
      </w:pPr>
      <w:r>
        <w:t>R</w:t>
      </w:r>
      <w:r w:rsidR="0090770A">
        <w:t xml:space="preserve">esponse to </w:t>
      </w:r>
      <w:r w:rsidR="0033460E">
        <w:t>first-line</w:t>
      </w:r>
      <w:r w:rsidR="0090770A">
        <w:t xml:space="preserve"> chemotherapy was evaluated using measured changes in disease volume</w:t>
      </w:r>
      <w:r>
        <w:t xml:space="preserve"> by radiological assessment</w:t>
      </w:r>
      <w:r w:rsidR="0090770A">
        <w:t xml:space="preserve">. </w:t>
      </w:r>
      <w:r w:rsidR="0033460E">
        <w:t xml:space="preserve">63 </w:t>
      </w:r>
      <w:r w:rsidR="0090770A">
        <w:t>cases were non-evaluable for first-line response (23</w:t>
      </w:r>
      <w:r w:rsidR="0033460E">
        <w:t xml:space="preserve"> </w:t>
      </w:r>
      <w:r w:rsidR="0090770A">
        <w:t xml:space="preserve">no adjuvant chemotherapy, </w:t>
      </w:r>
      <w:r w:rsidR="0033460E">
        <w:t xml:space="preserve">14 </w:t>
      </w:r>
      <w:r w:rsidR="00FD0131">
        <w:t>no disease to follow on scan, 19</w:t>
      </w:r>
      <w:r w:rsidR="0033460E">
        <w:t xml:space="preserve"> insufficient</w:t>
      </w:r>
      <w:r w:rsidR="0090770A">
        <w:t xml:space="preserve"> radiological investigations, </w:t>
      </w:r>
      <w:r w:rsidR="00FD0131">
        <w:t>7</w:t>
      </w:r>
      <w:r w:rsidR="0033460E">
        <w:t xml:space="preserve"> </w:t>
      </w:r>
      <w:r w:rsidR="00FD0131">
        <w:t>measurements not reported on scan</w:t>
      </w:r>
      <w:r w:rsidR="0090770A">
        <w:t>). Complete response was defined as complete resolution of pre-treatment disease. Partial response (PR) was</w:t>
      </w:r>
      <w:r w:rsidR="00FD0131">
        <w:t xml:space="preserve"> </w:t>
      </w:r>
      <w:r w:rsidR="0090770A">
        <w:t xml:space="preserve">defined as </w:t>
      </w:r>
      <w:r w:rsidR="00273A73">
        <w:t xml:space="preserve">measured </w:t>
      </w:r>
      <w:bookmarkStart w:id="0" w:name="_GoBack"/>
      <w:bookmarkEnd w:id="0"/>
      <w:r w:rsidR="0090770A">
        <w:t xml:space="preserve">disease reduction by </w:t>
      </w:r>
      <w:r w:rsidR="0090770A">
        <w:rPr>
          <w:rFonts w:cstheme="minorHAnsi"/>
        </w:rPr>
        <w:t>≥</w:t>
      </w:r>
      <w:r w:rsidR="0090770A">
        <w:t xml:space="preserve">50%. Progressive disease (PD) was defined as appearance of new radiologically-confirmed lesions or </w:t>
      </w:r>
      <w:r w:rsidR="0090770A">
        <w:rPr>
          <w:rFonts w:cstheme="minorHAnsi"/>
        </w:rPr>
        <w:t>≥</w:t>
      </w:r>
      <w:r w:rsidR="0090770A">
        <w:t xml:space="preserve">50% increase in measured disease volume. Evaluable cases not reaching criteria for PR or PD were classified as stable disease (SD). </w:t>
      </w:r>
    </w:p>
    <w:p w14:paraId="3E83C3C6" w14:textId="222E89DC" w:rsidR="0090770A" w:rsidRDefault="0090770A" w:rsidP="0090770A">
      <w:pPr>
        <w:spacing w:line="360" w:lineRule="auto"/>
        <w:jc w:val="both"/>
        <w:rPr>
          <w:lang w:val="en-US"/>
        </w:rPr>
      </w:pPr>
      <w:r>
        <w:rPr>
          <w:lang w:val="en-US"/>
        </w:rPr>
        <w:t>Progression-free survival (PFS) was calculated as time from pathologically confirmed diagnosis to recurrence/progression</w:t>
      </w:r>
      <w:r w:rsidR="00EB4FDC">
        <w:rPr>
          <w:lang w:val="en-US"/>
        </w:rPr>
        <w:t xml:space="preserve"> as</w:t>
      </w:r>
      <w:r>
        <w:rPr>
          <w:lang w:val="en-US"/>
        </w:rPr>
        <w:t xml:space="preserve"> determined by radiology (n=31, 37.8%), CA125 tumour marker (n=10, 12.2%), positive biopsy (n=2, 2.4%), or physician-determined progression in the absence of other investigations (n=23, 28.0%); 9 cases (11.0%) were non-evaluable for progression.  </w:t>
      </w:r>
    </w:p>
    <w:p w14:paraId="49A30186" w14:textId="541180B7" w:rsidR="00FD7A8B" w:rsidRPr="00255A2B" w:rsidRDefault="0090770A" w:rsidP="0090770A">
      <w:pPr>
        <w:spacing w:line="360" w:lineRule="auto"/>
        <w:jc w:val="both"/>
        <w:rPr>
          <w:i/>
          <w:lang w:val="en-US"/>
        </w:rPr>
      </w:pPr>
      <w:r w:rsidRPr="00255A2B">
        <w:rPr>
          <w:i/>
          <w:lang w:val="en-US"/>
        </w:rPr>
        <w:t>2</w:t>
      </w:r>
      <w:r w:rsidR="00301AC5" w:rsidRPr="00255A2B">
        <w:rPr>
          <w:i/>
          <w:lang w:val="en-US"/>
        </w:rPr>
        <w:t xml:space="preserve">. </w:t>
      </w:r>
      <w:r w:rsidR="00FD7A8B" w:rsidRPr="00255A2B">
        <w:rPr>
          <w:i/>
          <w:lang w:val="en-US"/>
        </w:rPr>
        <w:t xml:space="preserve">Immunohistochemistry </w:t>
      </w:r>
    </w:p>
    <w:p w14:paraId="28C103DE" w14:textId="349B7502" w:rsidR="00301AC5" w:rsidRDefault="00301AC5" w:rsidP="0090770A">
      <w:pPr>
        <w:spacing w:line="360" w:lineRule="auto"/>
        <w:jc w:val="both"/>
        <w:rPr>
          <w:lang w:val="en-US"/>
        </w:rPr>
      </w:pPr>
      <w:r>
        <w:rPr>
          <w:lang w:val="en-US"/>
        </w:rPr>
        <w:t xml:space="preserve">Pan-cytokeratin and vimentin immunohistochemistry (IHC) was performed with Leica BOND ready-to-use AE1/3 and vimentin antibodies on the Leica BOND III Autostainer with IHC protocol F. High grade serous ovarian carcinoma (HGSOC) (cytokeratin positive, vimentin negative) and normal ovarian stroma (cytokeratin negative, vimentin positive) were used as controls.  </w:t>
      </w:r>
    </w:p>
    <w:p w14:paraId="4BA9D585" w14:textId="1FC59618" w:rsidR="00301AC5" w:rsidRDefault="00301AC5" w:rsidP="0090770A">
      <w:pPr>
        <w:spacing w:line="360" w:lineRule="auto"/>
        <w:jc w:val="both"/>
        <w:rPr>
          <w:lang w:val="en-US"/>
        </w:rPr>
      </w:pPr>
      <w:r>
        <w:rPr>
          <w:lang w:val="en-US"/>
        </w:rPr>
        <w:t>WT1 IHC used 1:1000 monoclonal 6F-H2 antibody (Dako); p53 IHC used 1:50 monoclonal DO7 antibody (Sigma).</w:t>
      </w:r>
      <w:r w:rsidRPr="00301AC5">
        <w:rPr>
          <w:lang w:val="en-US"/>
        </w:rPr>
        <w:t xml:space="preserve"> </w:t>
      </w:r>
      <w:r>
        <w:rPr>
          <w:lang w:val="en-US"/>
        </w:rPr>
        <w:t>HGSOC was used as a positive control for WT1</w:t>
      </w:r>
      <w:r w:rsidRPr="00BC647D">
        <w:t xml:space="preserve"> </w:t>
      </w:r>
      <w:r>
        <w:rPr>
          <w:lang w:val="en-US"/>
        </w:rPr>
        <w:fldChar w:fldCharType="begin">
          <w:fldData xml:space="preserve">PEVuZE5vdGU+PENpdGU+PEF1dGhvcj5Lb2JlbDwvQXV0aG9yPjxZZWFyPjIwMTY8L1llYXI+PFJl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</w:fldData>
        </w:fldChar>
      </w:r>
      <w:r w:rsidR="0013454B">
        <w:rPr>
          <w:lang w:val="en-US"/>
        </w:rPr>
        <w:instrText xml:space="preserve"> ADDIN EN.CITE </w:instrText>
      </w:r>
      <w:r w:rsidR="0013454B">
        <w:rPr>
          <w:lang w:val="en-US"/>
        </w:rPr>
        <w:fldChar w:fldCharType="begin">
          <w:fldData xml:space="preserve">PEVuZE5vdGU+PENpdGU+PEF1dGhvcj5Lb2JlbDwvQXV0aG9yPjxZZWFyPjIwMTY8L1llYXI+PFJl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</w:fldData>
        </w:fldChar>
      </w:r>
      <w:r w:rsidR="0013454B">
        <w:rPr>
          <w:lang w:val="en-US"/>
        </w:rPr>
        <w:instrText xml:space="preserve"> ADDIN EN.CITE.DATA </w:instrText>
      </w:r>
      <w:r w:rsidR="0013454B">
        <w:rPr>
          <w:lang w:val="en-US"/>
        </w:rPr>
      </w:r>
      <w:r w:rsidR="0013454B">
        <w:rPr>
          <w:lang w:val="en-US"/>
        </w:rPr>
        <w:fldChar w:fldCharType="end"/>
      </w:r>
      <w:r>
        <w:rPr>
          <w:lang w:val="en-US"/>
        </w:rPr>
      </w:r>
      <w:r>
        <w:rPr>
          <w:lang w:val="en-US"/>
        </w:rPr>
        <w:fldChar w:fldCharType="separate"/>
      </w:r>
      <w:r w:rsidR="0013454B">
        <w:rPr>
          <w:noProof/>
          <w:lang w:val="en-US"/>
        </w:rPr>
        <w:t>(1)</w:t>
      </w:r>
      <w:r>
        <w:rPr>
          <w:lang w:val="en-US"/>
        </w:rPr>
        <w:fldChar w:fldCharType="end"/>
      </w:r>
      <w:r>
        <w:rPr>
          <w:lang w:val="en-US"/>
        </w:rPr>
        <w:t xml:space="preserve">. HGSOC with missense </w:t>
      </w:r>
      <w:r w:rsidRPr="004D30D2">
        <w:rPr>
          <w:i/>
          <w:iCs/>
          <w:lang w:val="en-US"/>
        </w:rPr>
        <w:t>TP53</w:t>
      </w:r>
      <w:r>
        <w:rPr>
          <w:lang w:val="en-US"/>
        </w:rPr>
        <w:t xml:space="preserve"> mutation and </w:t>
      </w:r>
      <w:r>
        <w:rPr>
          <w:lang w:val="en-US"/>
        </w:rPr>
        <w:lastRenderedPageBreak/>
        <w:t xml:space="preserve">HGSOC with frameshift </w:t>
      </w:r>
      <w:r w:rsidRPr="004D30D2">
        <w:rPr>
          <w:i/>
          <w:iCs/>
          <w:lang w:val="en-US"/>
        </w:rPr>
        <w:t>TP53</w:t>
      </w:r>
      <w:r>
        <w:rPr>
          <w:lang w:val="en-US"/>
        </w:rPr>
        <w:t xml:space="preserve"> mutation were used as controls for the aberrant-positive and aberrant-null p53 patterns, respectively. Non-malignant stroma was used as a control for wild-type staining. </w:t>
      </w:r>
    </w:p>
    <w:p w14:paraId="41A2794C" w14:textId="1A970780" w:rsidR="00FD7A8B" w:rsidRDefault="00301AC5" w:rsidP="0090770A">
      <w:pPr>
        <w:spacing w:line="360" w:lineRule="auto"/>
        <w:jc w:val="both"/>
        <w:rPr>
          <w:lang w:val="en-US"/>
        </w:rPr>
      </w:pPr>
      <w:r>
        <w:rPr>
          <w:lang w:val="en-US"/>
        </w:rPr>
        <w:t xml:space="preserve">IHC for estrogen receptor (ER) (1:50 monoclonal antibody M3643 clone EP1) and Napsin A (Leica ready-to-use antibody) was used to distinguish endometrioid carcinoma from potential clear cell carcinoma in one case. </w:t>
      </w:r>
      <w:r w:rsidR="00DB4F5C">
        <w:rPr>
          <w:lang w:val="en-US"/>
        </w:rPr>
        <w:t xml:space="preserve">Low grade serous ovarian carcinoma and clear cell ovarian carcinoma were used as positive controls for ER and Napsin A, respectively. </w:t>
      </w:r>
    </w:p>
    <w:p w14:paraId="147C1106" w14:textId="378B4648" w:rsidR="00FD7A8B" w:rsidRDefault="00301AC5" w:rsidP="0090770A">
      <w:pPr>
        <w:spacing w:line="360" w:lineRule="auto"/>
        <w:jc w:val="both"/>
        <w:rPr>
          <w:lang w:val="en-US"/>
        </w:rPr>
      </w:pPr>
      <w:r>
        <w:rPr>
          <w:lang w:val="en-US"/>
        </w:rPr>
        <w:t xml:space="preserve">S100, </w:t>
      </w:r>
      <w:r w:rsidR="001C1E4B">
        <w:rPr>
          <w:lang w:val="en-US"/>
        </w:rPr>
        <w:t>d</w:t>
      </w:r>
      <w:r>
        <w:rPr>
          <w:lang w:val="en-US"/>
        </w:rPr>
        <w:t xml:space="preserve">esmin and </w:t>
      </w:r>
      <w:r w:rsidR="001C1E4B">
        <w:rPr>
          <w:lang w:val="en-US"/>
        </w:rPr>
        <w:t>m</w:t>
      </w:r>
      <w:r>
        <w:rPr>
          <w:lang w:val="en-US"/>
        </w:rPr>
        <w:t>yogenin</w:t>
      </w:r>
      <w:r w:rsidR="00DB4F5C">
        <w:rPr>
          <w:lang w:val="en-US"/>
        </w:rPr>
        <w:t xml:space="preserve"> (</w:t>
      </w:r>
      <w:r w:rsidR="00675659">
        <w:rPr>
          <w:lang w:val="en-US"/>
        </w:rPr>
        <w:t>M</w:t>
      </w:r>
      <w:r w:rsidR="00DB4F5C">
        <w:rPr>
          <w:lang w:val="en-US"/>
        </w:rPr>
        <w:t>yf4)</w:t>
      </w:r>
      <w:r>
        <w:rPr>
          <w:lang w:val="en-US"/>
        </w:rPr>
        <w:t xml:space="preserve"> IHC was performed with Leica BOND ready-to-use antibodies on the Leica BOND III Autostainer using IHC protocol F. HGSOC and non-malignant stroma were used as negative controls. </w:t>
      </w:r>
      <w:r w:rsidR="00DB4F5C">
        <w:rPr>
          <w:lang w:val="en-US"/>
        </w:rPr>
        <w:t xml:space="preserve">Known S100 chondrosarcoma (via routine NHS pathology) was used as a positive control for S100. Known </w:t>
      </w:r>
      <w:r w:rsidR="001C1E4B">
        <w:rPr>
          <w:lang w:val="en-US"/>
        </w:rPr>
        <w:t>d</w:t>
      </w:r>
      <w:r w:rsidR="00DB4F5C">
        <w:rPr>
          <w:lang w:val="en-US"/>
        </w:rPr>
        <w:t xml:space="preserve">esmin-positive rhabdomyosarcoma (via routine NHS pathology) was used as a positive control for </w:t>
      </w:r>
      <w:r w:rsidR="001C1E4B">
        <w:rPr>
          <w:lang w:val="en-US"/>
        </w:rPr>
        <w:t>d</w:t>
      </w:r>
      <w:r w:rsidR="00DB4F5C">
        <w:rPr>
          <w:lang w:val="en-US"/>
        </w:rPr>
        <w:t xml:space="preserve">esmin and </w:t>
      </w:r>
      <w:r w:rsidR="001C1E4B">
        <w:rPr>
          <w:lang w:val="en-US"/>
        </w:rPr>
        <w:t>m</w:t>
      </w:r>
      <w:r w:rsidR="00DB4F5C">
        <w:rPr>
          <w:lang w:val="en-US"/>
        </w:rPr>
        <w:t xml:space="preserve">yogenin. </w:t>
      </w:r>
    </w:p>
    <w:p w14:paraId="578F03F7" w14:textId="04B47F72" w:rsidR="00706858" w:rsidRPr="001630C8" w:rsidRDefault="001630C8" w:rsidP="0090770A">
      <w:pPr>
        <w:spacing w:line="360" w:lineRule="auto"/>
        <w:jc w:val="both"/>
        <w:rPr>
          <w:i/>
          <w:lang w:val="en-US"/>
        </w:rPr>
      </w:pPr>
      <w:r>
        <w:rPr>
          <w:i/>
          <w:lang w:val="en-US"/>
        </w:rPr>
        <w:t>3</w:t>
      </w:r>
      <w:r w:rsidR="00706858" w:rsidRPr="001630C8">
        <w:rPr>
          <w:i/>
          <w:lang w:val="en-US"/>
        </w:rPr>
        <w:t xml:space="preserve">. High grade serous </w:t>
      </w:r>
      <w:r w:rsidR="00A23945">
        <w:rPr>
          <w:i/>
          <w:lang w:val="en-US"/>
        </w:rPr>
        <w:t xml:space="preserve">ovarian carcinoma </w:t>
      </w:r>
      <w:r w:rsidR="00706858" w:rsidRPr="001630C8">
        <w:rPr>
          <w:i/>
          <w:lang w:val="en-US"/>
        </w:rPr>
        <w:t xml:space="preserve">comparator cohort </w:t>
      </w:r>
    </w:p>
    <w:p w14:paraId="2628FA1F" w14:textId="5ECDC256" w:rsidR="001C1E4B" w:rsidRDefault="00EB4FDC" w:rsidP="001C1E4B">
      <w:pPr>
        <w:spacing w:line="360" w:lineRule="auto"/>
        <w:jc w:val="both"/>
        <w:rPr>
          <w:lang w:val="en-US"/>
        </w:rPr>
      </w:pPr>
      <w:r>
        <w:rPr>
          <w:lang w:val="en-US"/>
        </w:rPr>
        <w:t>A cohort of 362 pathologically-</w:t>
      </w:r>
      <w:r w:rsidR="001C1E4B">
        <w:rPr>
          <w:lang w:val="en-US"/>
        </w:rPr>
        <w:t xml:space="preserve">confirmed HGSOC cases were identified as part of a previous study, and used as a comparator cohort (supplementary table 1). Briefly, cases were identified following pathology review of tumour material from 539 </w:t>
      </w:r>
      <w:r w:rsidR="00846B63">
        <w:rPr>
          <w:lang w:val="en-US"/>
        </w:rPr>
        <w:t xml:space="preserve">unselected </w:t>
      </w:r>
      <w:r w:rsidR="001C1E4B">
        <w:rPr>
          <w:lang w:val="en-US"/>
        </w:rPr>
        <w:t xml:space="preserve">patients with a diagnosis of </w:t>
      </w:r>
      <w:r w:rsidR="001C1E4B" w:rsidRPr="001C1E4B">
        <w:rPr>
          <w:lang w:val="en-US"/>
        </w:rPr>
        <w:t xml:space="preserve">ovarian, peritoneal or fallopian tube carcinoma </w:t>
      </w:r>
      <w:r w:rsidR="001C1E4B">
        <w:rPr>
          <w:lang w:val="en-US"/>
        </w:rPr>
        <w:t>treated at the Edinburgh Cancer Centre. All patients received platinum-containing adjuvant chemotherapy after primary debulking surgery. Outcome data and therapy response data were reported to the same criteria as for the OCS cohort. For a full description of HGSOC cases, see reference</w:t>
      </w:r>
      <w:r w:rsidR="0013454B">
        <w:rPr>
          <w:lang w:val="en-US"/>
        </w:rPr>
        <w:t xml:space="preserve"> </w:t>
      </w:r>
      <w:r w:rsidR="0013454B">
        <w:rPr>
          <w:lang w:val="en-US"/>
        </w:rPr>
        <w:fldChar w:fldCharType="begin"/>
      </w:r>
      <w:r w:rsidR="0013454B">
        <w:rPr>
          <w:lang w:val="en-US"/>
        </w:rPr>
        <w:instrText xml:space="preserve"> ADDIN EN.CITE &lt;EndNote&gt;&lt;Cite&gt;&lt;Author&gt;Hollis&lt;/Author&gt;&lt;Year&gt;2022&lt;/Year&gt;&lt;RecNum&gt;1330&lt;/RecNum&gt;&lt;DisplayText&gt;(2)&lt;/DisplayText&gt;&lt;record&gt;&lt;rec-number&gt;1330&lt;/rec-number&gt;&lt;foreign-keys&gt;&lt;key app="EN" db-id="f9xsezvdj9rrw8ez2aqxs52s2trpap5w0a9w" timestamp="1642170705"&gt;1330&lt;/key&gt;&lt;/foreign-keys&gt;&lt;ref-type name="Journal Article"&gt;17&lt;/ref-type&gt;&lt;contributors&gt;&lt;authors&gt;&lt;author&gt;Hollis, Robert L.&lt;/author&gt;&lt;author&gt;Meynert, Alison M.&lt;/author&gt;&lt;author&gt;Michie, Caroline O.&lt;/author&gt;&lt;author&gt;Rye, Tzyvia&lt;/author&gt;&lt;author&gt;Churchman, Michael&lt;/author&gt;&lt;author&gt;Hallas-Potts, Amelia&lt;/author&gt;&lt;author&gt;Croy, Ian&lt;/author&gt;&lt;author&gt;McCluggage, W. Glenn&lt;/author&gt;&lt;author&gt;Williams, Alistair R. W.&lt;/author&gt;&lt;author&gt;Bartos, Clare&lt;/author&gt;&lt;author&gt;Iida, Yasushi&lt;/author&gt;&lt;author&gt;Okamoto, Aikou&lt;/author&gt;&lt;author&gt;Dougherty, Brian&lt;/author&gt;&lt;author&gt;Barrett, J. Carl&lt;/author&gt;&lt;author&gt;March, Ruth&lt;/author&gt;&lt;author&gt;Matakidou, Athena&lt;/author&gt;&lt;author&gt;Roxburgh, Patricia&lt;/author&gt;&lt;author&gt;Semple, Colin A.&lt;/author&gt;&lt;author&gt;Harkin, D. Paul&lt;/author&gt;&lt;author&gt;Kennedy, Richard&lt;/author&gt;&lt;author&gt;Herrington, C. Simon&lt;/author&gt;&lt;author&gt;Gourley, Charlie&lt;/author&gt;&lt;/authors&gt;&lt;/contributors&gt;&lt;titles&gt;&lt;title&gt;Multiomic characterisation of high grade serous ovarian carcinoma enables high resolution patient stratification&lt;/title&gt;&lt;secondary-title&gt;medRxiv&lt;/secondary-title&gt;&lt;/titles&gt;&lt;periodical&gt;&lt;full-title&gt;medRxiv&lt;/full-title&gt;&lt;/periodical&gt;&lt;pages&gt;2022.01.07.22268840&lt;/pages&gt;&lt;dates&gt;&lt;year&gt;2022&lt;/year&gt;&lt;/dates&gt;&lt;urls&gt;&lt;related-urls&gt;&lt;url&gt;http://medrxiv.org/content/early/2022/01/07/2022.01.07.22268840.abstract&lt;/url&gt;&lt;/related-urls&gt;&lt;/urls&gt;&lt;electronic-resource-num&gt;10.1101/2022.01.07.22268840&lt;/electronic-resource-num&gt;&lt;/record&gt;&lt;/Cite&gt;&lt;/EndNote&gt;</w:instrText>
      </w:r>
      <w:r w:rsidR="0013454B">
        <w:rPr>
          <w:lang w:val="en-US"/>
        </w:rPr>
        <w:fldChar w:fldCharType="separate"/>
      </w:r>
      <w:r w:rsidR="0013454B">
        <w:rPr>
          <w:noProof/>
          <w:lang w:val="en-US"/>
        </w:rPr>
        <w:t>(2)</w:t>
      </w:r>
      <w:r w:rsidR="0013454B">
        <w:rPr>
          <w:lang w:val="en-US"/>
        </w:rPr>
        <w:fldChar w:fldCharType="end"/>
      </w:r>
      <w:r w:rsidR="001C1E4B">
        <w:rPr>
          <w:lang w:val="en-US"/>
        </w:rPr>
        <w:t xml:space="preserve"> below. </w:t>
      </w:r>
    </w:p>
    <w:p w14:paraId="2C090E29" w14:textId="2F713C74" w:rsidR="00706858" w:rsidRDefault="001C1E4B" w:rsidP="001C1E4B">
      <w:pPr>
        <w:spacing w:line="360" w:lineRule="auto"/>
        <w:jc w:val="both"/>
        <w:rPr>
          <w:lang w:val="en-US"/>
        </w:rPr>
      </w:pPr>
      <w:r>
        <w:rPr>
          <w:lang w:val="en-US"/>
        </w:rPr>
        <w:t xml:space="preserve"> </w:t>
      </w:r>
    </w:p>
    <w:p w14:paraId="0E27AA00" w14:textId="77777777" w:rsidR="00255A2B" w:rsidRDefault="00255A2B">
      <w:pPr>
        <w:rPr>
          <w:b/>
          <w:bCs/>
          <w:lang w:val="en-US"/>
        </w:rPr>
      </w:pPr>
      <w:r>
        <w:rPr>
          <w:b/>
          <w:bCs/>
          <w:lang w:val="en-US"/>
        </w:rPr>
        <w:br w:type="page"/>
      </w:r>
    </w:p>
    <w:p w14:paraId="54BC8041" w14:textId="77777777" w:rsidR="001630C8" w:rsidRDefault="00FD7A8B" w:rsidP="001630C8">
      <w:pPr>
        <w:spacing w:line="360" w:lineRule="auto"/>
        <w:jc w:val="both"/>
        <w:rPr>
          <w:lang w:val="en-US"/>
        </w:rPr>
      </w:pPr>
      <w:r w:rsidRPr="00FD7A8B">
        <w:rPr>
          <w:b/>
          <w:bCs/>
          <w:lang w:val="en-US"/>
        </w:rPr>
        <w:lastRenderedPageBreak/>
        <w:t>Supplementary tables</w:t>
      </w:r>
      <w:r w:rsidR="001630C8" w:rsidRPr="001630C8">
        <w:rPr>
          <w:lang w:val="en-US"/>
        </w:rPr>
        <w:t xml:space="preserve"> </w:t>
      </w:r>
    </w:p>
    <w:p w14:paraId="7FCA6879" w14:textId="77777777" w:rsidR="001630C8" w:rsidRDefault="001630C8" w:rsidP="001630C8">
      <w:pPr>
        <w:spacing w:line="360" w:lineRule="auto"/>
        <w:jc w:val="both"/>
        <w:rPr>
          <w:lang w:val="en-US"/>
        </w:rPr>
      </w:pPr>
    </w:p>
    <w:p w14:paraId="5061661E" w14:textId="6F8CAAF3" w:rsidR="00FD7A8B" w:rsidRPr="001630C8" w:rsidRDefault="001630C8" w:rsidP="0090770A">
      <w:pPr>
        <w:spacing w:line="360" w:lineRule="auto"/>
        <w:jc w:val="both"/>
        <w:rPr>
          <w:lang w:val="en-US"/>
        </w:rPr>
      </w:pPr>
      <w:r w:rsidRPr="001630C8">
        <w:rPr>
          <w:lang w:val="en-US"/>
        </w:rPr>
        <w:t xml:space="preserve">Supplementary table S1. Characteristics of high grade serous ovarian carcinoma comparator cohort (N=362). </w:t>
      </w:r>
    </w:p>
    <w:tbl>
      <w:tblPr>
        <w:tblStyle w:val="ListTable2-Accent1"/>
        <w:tblW w:w="0" w:type="auto"/>
        <w:tblLook w:val="04A0" w:firstRow="1" w:lastRow="0" w:firstColumn="1" w:lastColumn="0" w:noHBand="0" w:noVBand="1"/>
      </w:tblPr>
      <w:tblGrid>
        <w:gridCol w:w="1696"/>
        <w:gridCol w:w="2694"/>
        <w:gridCol w:w="1417"/>
        <w:gridCol w:w="1843"/>
      </w:tblGrid>
      <w:tr w:rsidR="003A68E1" w14:paraId="32B0EEB4" w14:textId="77777777" w:rsidTr="003A68E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noWrap/>
            <w:hideMark/>
          </w:tcPr>
          <w:p w14:paraId="184AB22B" w14:textId="77777777" w:rsidR="003A68E1" w:rsidRDefault="003A68E1" w:rsidP="0090770A">
            <w:pPr>
              <w:spacing w:line="360" w:lineRule="auto"/>
            </w:pPr>
            <w:r>
              <w:t> </w:t>
            </w:r>
          </w:p>
        </w:tc>
        <w:tc>
          <w:tcPr>
            <w:tcW w:w="2694" w:type="dxa"/>
            <w:noWrap/>
            <w:hideMark/>
          </w:tcPr>
          <w:p w14:paraId="04A1D4DF" w14:textId="77777777" w:rsidR="003A68E1" w:rsidRDefault="003A68E1" w:rsidP="0090770A">
            <w:pPr>
              <w:spacing w:line="360" w:lineRule="auto"/>
              <w:cnfStyle w:val="100000000000" w:firstRow="1" w:lastRow="0" w:firstColumn="0" w:lastColumn="0" w:oddVBand="0" w:evenVBand="0" w:oddHBand="0" w:evenHBand="0" w:firstRowFirstColumn="0" w:firstRowLastColumn="0" w:lastRowFirstColumn="0" w:lastRowLastColumn="0"/>
            </w:pPr>
            <w:r>
              <w:t> </w:t>
            </w:r>
          </w:p>
        </w:tc>
        <w:tc>
          <w:tcPr>
            <w:tcW w:w="1417" w:type="dxa"/>
            <w:noWrap/>
            <w:hideMark/>
          </w:tcPr>
          <w:p w14:paraId="4F7019CC" w14:textId="77777777" w:rsidR="003A68E1" w:rsidRDefault="003A68E1" w:rsidP="0090770A">
            <w:pPr>
              <w:spacing w:line="360" w:lineRule="auto"/>
              <w:jc w:val="center"/>
              <w:cnfStyle w:val="100000000000" w:firstRow="1" w:lastRow="0" w:firstColumn="0" w:lastColumn="0" w:oddVBand="0" w:evenVBand="0" w:oddHBand="0" w:evenHBand="0" w:firstRowFirstColumn="0" w:firstRowLastColumn="0" w:lastRowFirstColumn="0" w:lastRowLastColumn="0"/>
            </w:pPr>
            <w:r>
              <w:t>N</w:t>
            </w:r>
          </w:p>
        </w:tc>
        <w:tc>
          <w:tcPr>
            <w:tcW w:w="1843" w:type="dxa"/>
            <w:noWrap/>
            <w:hideMark/>
          </w:tcPr>
          <w:p w14:paraId="1A9A7616" w14:textId="77777777" w:rsidR="003A68E1" w:rsidRDefault="003A68E1" w:rsidP="0090770A">
            <w:pPr>
              <w:spacing w:line="360" w:lineRule="auto"/>
              <w:jc w:val="center"/>
              <w:cnfStyle w:val="100000000000" w:firstRow="1" w:lastRow="0" w:firstColumn="0" w:lastColumn="0" w:oddVBand="0" w:evenVBand="0" w:oddHBand="0" w:evenHBand="0" w:firstRowFirstColumn="0" w:firstRowLastColumn="0" w:lastRowFirstColumn="0" w:lastRowLastColumn="0"/>
            </w:pPr>
            <w:r>
              <w:t>%</w:t>
            </w:r>
          </w:p>
        </w:tc>
      </w:tr>
      <w:tr w:rsidR="003A68E1" w14:paraId="08CBE06B" w14:textId="77777777" w:rsidTr="003A68E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noWrap/>
            <w:hideMark/>
          </w:tcPr>
          <w:p w14:paraId="1706CC7E" w14:textId="77777777" w:rsidR="003A68E1" w:rsidRDefault="003A68E1" w:rsidP="0090770A">
            <w:pPr>
              <w:spacing w:line="360" w:lineRule="auto"/>
            </w:pPr>
            <w:r>
              <w:t>Age at diagnosis</w:t>
            </w:r>
          </w:p>
        </w:tc>
        <w:tc>
          <w:tcPr>
            <w:tcW w:w="2694" w:type="dxa"/>
            <w:noWrap/>
            <w:hideMark/>
          </w:tcPr>
          <w:p w14:paraId="7ADFBC8F" w14:textId="77777777" w:rsidR="003A68E1" w:rsidRDefault="003A68E1" w:rsidP="0090770A">
            <w:pPr>
              <w:spacing w:line="360" w:lineRule="auto"/>
              <w:jc w:val="right"/>
              <w:cnfStyle w:val="000000100000" w:firstRow="0" w:lastRow="0" w:firstColumn="0" w:lastColumn="0" w:oddVBand="0" w:evenVBand="0" w:oddHBand="1" w:evenHBand="0" w:firstRowFirstColumn="0" w:firstRowLastColumn="0" w:lastRowFirstColumn="0" w:lastRowLastColumn="0"/>
            </w:pPr>
            <w:r>
              <w:t>Median years</w:t>
            </w:r>
          </w:p>
        </w:tc>
        <w:tc>
          <w:tcPr>
            <w:tcW w:w="1417" w:type="dxa"/>
            <w:noWrap/>
            <w:hideMark/>
          </w:tcPr>
          <w:p w14:paraId="7451C264" w14:textId="77777777" w:rsidR="003A68E1" w:rsidRDefault="003A68E1" w:rsidP="0090770A">
            <w:pPr>
              <w:spacing w:line="360" w:lineRule="auto"/>
              <w:jc w:val="center"/>
              <w:cnfStyle w:val="000000100000" w:firstRow="0" w:lastRow="0" w:firstColumn="0" w:lastColumn="0" w:oddVBand="0" w:evenVBand="0" w:oddHBand="1" w:evenHBand="0" w:firstRowFirstColumn="0" w:firstRowLastColumn="0" w:lastRowFirstColumn="0" w:lastRowLastColumn="0"/>
            </w:pPr>
            <w:r>
              <w:t>61</w:t>
            </w:r>
          </w:p>
        </w:tc>
        <w:tc>
          <w:tcPr>
            <w:tcW w:w="1843" w:type="dxa"/>
            <w:noWrap/>
            <w:hideMark/>
          </w:tcPr>
          <w:p w14:paraId="7F9B6DAF" w14:textId="77777777" w:rsidR="003A68E1" w:rsidRDefault="003A68E1" w:rsidP="0090770A">
            <w:pPr>
              <w:spacing w:line="360" w:lineRule="auto"/>
              <w:jc w:val="center"/>
              <w:cnfStyle w:val="000000100000" w:firstRow="0" w:lastRow="0" w:firstColumn="0" w:lastColumn="0" w:oddVBand="0" w:evenVBand="0" w:oddHBand="1" w:evenHBand="0" w:firstRowFirstColumn="0" w:firstRowLastColumn="0" w:lastRowFirstColumn="0" w:lastRowLastColumn="0"/>
            </w:pPr>
            <w:r>
              <w:t>Range 33-86</w:t>
            </w:r>
          </w:p>
        </w:tc>
      </w:tr>
      <w:tr w:rsidR="003A68E1" w14:paraId="137070D7" w14:textId="77777777" w:rsidTr="003A68E1">
        <w:trPr>
          <w:trHeight w:val="300"/>
        </w:trPr>
        <w:tc>
          <w:tcPr>
            <w:cnfStyle w:val="001000000000" w:firstRow="0" w:lastRow="0" w:firstColumn="1" w:lastColumn="0" w:oddVBand="0" w:evenVBand="0" w:oddHBand="0" w:evenHBand="0" w:firstRowFirstColumn="0" w:firstRowLastColumn="0" w:lastRowFirstColumn="0" w:lastRowLastColumn="0"/>
            <w:tcW w:w="1696" w:type="dxa"/>
            <w:vMerge w:val="restart"/>
            <w:noWrap/>
            <w:hideMark/>
          </w:tcPr>
          <w:p w14:paraId="106D1681" w14:textId="40663CED" w:rsidR="003A68E1" w:rsidRDefault="003A68E1" w:rsidP="0090770A">
            <w:pPr>
              <w:spacing w:line="360" w:lineRule="auto"/>
            </w:pPr>
            <w:r>
              <w:t xml:space="preserve">FIGO stage </w:t>
            </w:r>
          </w:p>
          <w:p w14:paraId="44051E17" w14:textId="77777777" w:rsidR="003A68E1" w:rsidRDefault="003A68E1" w:rsidP="0090770A">
            <w:pPr>
              <w:spacing w:line="360" w:lineRule="auto"/>
            </w:pPr>
            <w:r>
              <w:t> </w:t>
            </w:r>
          </w:p>
          <w:p w14:paraId="13604049" w14:textId="77777777" w:rsidR="003A68E1" w:rsidRDefault="003A68E1" w:rsidP="0090770A">
            <w:pPr>
              <w:spacing w:line="360" w:lineRule="auto"/>
            </w:pPr>
            <w:r>
              <w:t> </w:t>
            </w:r>
          </w:p>
        </w:tc>
        <w:tc>
          <w:tcPr>
            <w:tcW w:w="2694" w:type="dxa"/>
            <w:noWrap/>
            <w:hideMark/>
          </w:tcPr>
          <w:p w14:paraId="6E8EE185" w14:textId="77777777" w:rsidR="003A68E1" w:rsidRDefault="003A68E1" w:rsidP="0090770A">
            <w:pPr>
              <w:spacing w:line="360" w:lineRule="auto"/>
              <w:jc w:val="right"/>
              <w:cnfStyle w:val="000000000000" w:firstRow="0" w:lastRow="0" w:firstColumn="0" w:lastColumn="0" w:oddVBand="0" w:evenVBand="0" w:oddHBand="0" w:evenHBand="0" w:firstRowFirstColumn="0" w:firstRowLastColumn="0" w:lastRowFirstColumn="0" w:lastRowLastColumn="0"/>
            </w:pPr>
            <w:r>
              <w:t>I</w:t>
            </w:r>
          </w:p>
        </w:tc>
        <w:tc>
          <w:tcPr>
            <w:tcW w:w="1417" w:type="dxa"/>
            <w:noWrap/>
            <w:hideMark/>
          </w:tcPr>
          <w:p w14:paraId="7A6EA393" w14:textId="77777777" w:rsidR="003A68E1" w:rsidRDefault="003A68E1" w:rsidP="0090770A">
            <w:pPr>
              <w:spacing w:line="360" w:lineRule="auto"/>
              <w:jc w:val="center"/>
              <w:cnfStyle w:val="000000000000" w:firstRow="0" w:lastRow="0" w:firstColumn="0" w:lastColumn="0" w:oddVBand="0" w:evenVBand="0" w:oddHBand="0" w:evenHBand="0" w:firstRowFirstColumn="0" w:firstRowLastColumn="0" w:lastRowFirstColumn="0" w:lastRowLastColumn="0"/>
            </w:pPr>
            <w:r>
              <w:t>15</w:t>
            </w:r>
          </w:p>
        </w:tc>
        <w:tc>
          <w:tcPr>
            <w:tcW w:w="1843" w:type="dxa"/>
            <w:noWrap/>
            <w:hideMark/>
          </w:tcPr>
          <w:p w14:paraId="01862CC7" w14:textId="77777777" w:rsidR="003A68E1" w:rsidRDefault="003A68E1" w:rsidP="0090770A">
            <w:pPr>
              <w:spacing w:line="360" w:lineRule="auto"/>
              <w:jc w:val="center"/>
              <w:cnfStyle w:val="000000000000" w:firstRow="0" w:lastRow="0" w:firstColumn="0" w:lastColumn="0" w:oddVBand="0" w:evenVBand="0" w:oddHBand="0" w:evenHBand="0" w:firstRowFirstColumn="0" w:firstRowLastColumn="0" w:lastRowFirstColumn="0" w:lastRowLastColumn="0"/>
            </w:pPr>
            <w:r>
              <w:t>4.3</w:t>
            </w:r>
          </w:p>
        </w:tc>
      </w:tr>
      <w:tr w:rsidR="003A68E1" w14:paraId="3BDABF57" w14:textId="77777777" w:rsidTr="003A68E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Merge/>
            <w:hideMark/>
          </w:tcPr>
          <w:p w14:paraId="5BA59177" w14:textId="77777777" w:rsidR="003A68E1" w:rsidRDefault="003A68E1" w:rsidP="0090770A">
            <w:pPr>
              <w:spacing w:line="360" w:lineRule="auto"/>
            </w:pPr>
          </w:p>
        </w:tc>
        <w:tc>
          <w:tcPr>
            <w:tcW w:w="2694" w:type="dxa"/>
            <w:noWrap/>
            <w:hideMark/>
          </w:tcPr>
          <w:p w14:paraId="79CA71C2" w14:textId="77777777" w:rsidR="003A68E1" w:rsidRDefault="003A68E1" w:rsidP="0090770A">
            <w:pPr>
              <w:spacing w:line="360" w:lineRule="auto"/>
              <w:jc w:val="right"/>
              <w:cnfStyle w:val="000000100000" w:firstRow="0" w:lastRow="0" w:firstColumn="0" w:lastColumn="0" w:oddVBand="0" w:evenVBand="0" w:oddHBand="1" w:evenHBand="0" w:firstRowFirstColumn="0" w:firstRowLastColumn="0" w:lastRowFirstColumn="0" w:lastRowLastColumn="0"/>
            </w:pPr>
            <w:r>
              <w:t>II</w:t>
            </w:r>
          </w:p>
        </w:tc>
        <w:tc>
          <w:tcPr>
            <w:tcW w:w="1417" w:type="dxa"/>
            <w:noWrap/>
            <w:hideMark/>
          </w:tcPr>
          <w:p w14:paraId="667B1ACE" w14:textId="77777777" w:rsidR="003A68E1" w:rsidRDefault="003A68E1" w:rsidP="0090770A">
            <w:pPr>
              <w:spacing w:line="360" w:lineRule="auto"/>
              <w:jc w:val="center"/>
              <w:cnfStyle w:val="000000100000" w:firstRow="0" w:lastRow="0" w:firstColumn="0" w:lastColumn="0" w:oddVBand="0" w:evenVBand="0" w:oddHBand="1" w:evenHBand="0" w:firstRowFirstColumn="0" w:firstRowLastColumn="0" w:lastRowFirstColumn="0" w:lastRowLastColumn="0"/>
            </w:pPr>
            <w:r>
              <w:t>31</w:t>
            </w:r>
          </w:p>
        </w:tc>
        <w:tc>
          <w:tcPr>
            <w:tcW w:w="1843" w:type="dxa"/>
            <w:noWrap/>
            <w:hideMark/>
          </w:tcPr>
          <w:p w14:paraId="1BC05071" w14:textId="77777777" w:rsidR="003A68E1" w:rsidRDefault="003A68E1" w:rsidP="0090770A">
            <w:pPr>
              <w:spacing w:line="360" w:lineRule="auto"/>
              <w:jc w:val="center"/>
              <w:cnfStyle w:val="000000100000" w:firstRow="0" w:lastRow="0" w:firstColumn="0" w:lastColumn="0" w:oddVBand="0" w:evenVBand="0" w:oddHBand="1" w:evenHBand="0" w:firstRowFirstColumn="0" w:firstRowLastColumn="0" w:lastRowFirstColumn="0" w:lastRowLastColumn="0"/>
            </w:pPr>
            <w:r>
              <w:t>8.8</w:t>
            </w:r>
          </w:p>
        </w:tc>
      </w:tr>
      <w:tr w:rsidR="003A68E1" w14:paraId="5CFF10FC" w14:textId="77777777" w:rsidTr="003A68E1">
        <w:trPr>
          <w:trHeight w:val="300"/>
        </w:trPr>
        <w:tc>
          <w:tcPr>
            <w:cnfStyle w:val="001000000000" w:firstRow="0" w:lastRow="0" w:firstColumn="1" w:lastColumn="0" w:oddVBand="0" w:evenVBand="0" w:oddHBand="0" w:evenHBand="0" w:firstRowFirstColumn="0" w:firstRowLastColumn="0" w:lastRowFirstColumn="0" w:lastRowLastColumn="0"/>
            <w:tcW w:w="0" w:type="auto"/>
            <w:vMerge/>
            <w:hideMark/>
          </w:tcPr>
          <w:p w14:paraId="51EB4099" w14:textId="77777777" w:rsidR="003A68E1" w:rsidRDefault="003A68E1" w:rsidP="0090770A">
            <w:pPr>
              <w:spacing w:line="360" w:lineRule="auto"/>
            </w:pPr>
          </w:p>
        </w:tc>
        <w:tc>
          <w:tcPr>
            <w:tcW w:w="2694" w:type="dxa"/>
            <w:noWrap/>
            <w:hideMark/>
          </w:tcPr>
          <w:p w14:paraId="491A1F2C" w14:textId="77777777" w:rsidR="003A68E1" w:rsidRDefault="003A68E1" w:rsidP="0090770A">
            <w:pPr>
              <w:spacing w:line="360" w:lineRule="auto"/>
              <w:jc w:val="right"/>
              <w:cnfStyle w:val="000000000000" w:firstRow="0" w:lastRow="0" w:firstColumn="0" w:lastColumn="0" w:oddVBand="0" w:evenVBand="0" w:oddHBand="0" w:evenHBand="0" w:firstRowFirstColumn="0" w:firstRowLastColumn="0" w:lastRowFirstColumn="0" w:lastRowLastColumn="0"/>
            </w:pPr>
            <w:r>
              <w:t>III</w:t>
            </w:r>
          </w:p>
        </w:tc>
        <w:tc>
          <w:tcPr>
            <w:tcW w:w="1417" w:type="dxa"/>
            <w:noWrap/>
            <w:hideMark/>
          </w:tcPr>
          <w:p w14:paraId="0A2AC2EA" w14:textId="77777777" w:rsidR="003A68E1" w:rsidRDefault="003A68E1" w:rsidP="0090770A">
            <w:pPr>
              <w:spacing w:line="360" w:lineRule="auto"/>
              <w:jc w:val="center"/>
              <w:cnfStyle w:val="000000000000" w:firstRow="0" w:lastRow="0" w:firstColumn="0" w:lastColumn="0" w:oddVBand="0" w:evenVBand="0" w:oddHBand="0" w:evenHBand="0" w:firstRowFirstColumn="0" w:firstRowLastColumn="0" w:lastRowFirstColumn="0" w:lastRowLastColumn="0"/>
            </w:pPr>
            <w:r>
              <w:t>237</w:t>
            </w:r>
          </w:p>
        </w:tc>
        <w:tc>
          <w:tcPr>
            <w:tcW w:w="1843" w:type="dxa"/>
            <w:noWrap/>
            <w:hideMark/>
          </w:tcPr>
          <w:p w14:paraId="25843C03" w14:textId="77777777" w:rsidR="003A68E1" w:rsidRDefault="003A68E1" w:rsidP="0090770A">
            <w:pPr>
              <w:spacing w:line="360" w:lineRule="auto"/>
              <w:jc w:val="center"/>
              <w:cnfStyle w:val="000000000000" w:firstRow="0" w:lastRow="0" w:firstColumn="0" w:lastColumn="0" w:oddVBand="0" w:evenVBand="0" w:oddHBand="0" w:evenHBand="0" w:firstRowFirstColumn="0" w:firstRowLastColumn="0" w:lastRowFirstColumn="0" w:lastRowLastColumn="0"/>
            </w:pPr>
            <w:r>
              <w:t>67.5</w:t>
            </w:r>
          </w:p>
        </w:tc>
      </w:tr>
      <w:tr w:rsidR="003A68E1" w14:paraId="31411D42" w14:textId="77777777" w:rsidTr="003A68E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vMerge/>
            <w:hideMark/>
          </w:tcPr>
          <w:p w14:paraId="403B81D7" w14:textId="77777777" w:rsidR="003A68E1" w:rsidRDefault="003A68E1" w:rsidP="0090770A">
            <w:pPr>
              <w:spacing w:line="360" w:lineRule="auto"/>
            </w:pPr>
          </w:p>
        </w:tc>
        <w:tc>
          <w:tcPr>
            <w:tcW w:w="2694" w:type="dxa"/>
            <w:noWrap/>
            <w:hideMark/>
          </w:tcPr>
          <w:p w14:paraId="45F0FD55" w14:textId="77777777" w:rsidR="003A68E1" w:rsidRDefault="003A68E1" w:rsidP="0090770A">
            <w:pPr>
              <w:spacing w:line="360" w:lineRule="auto"/>
              <w:jc w:val="right"/>
              <w:cnfStyle w:val="000000100000" w:firstRow="0" w:lastRow="0" w:firstColumn="0" w:lastColumn="0" w:oddVBand="0" w:evenVBand="0" w:oddHBand="1" w:evenHBand="0" w:firstRowFirstColumn="0" w:firstRowLastColumn="0" w:lastRowFirstColumn="0" w:lastRowLastColumn="0"/>
            </w:pPr>
            <w:r>
              <w:t>IV</w:t>
            </w:r>
          </w:p>
        </w:tc>
        <w:tc>
          <w:tcPr>
            <w:tcW w:w="1417" w:type="dxa"/>
            <w:noWrap/>
            <w:hideMark/>
          </w:tcPr>
          <w:p w14:paraId="493372C1" w14:textId="77777777" w:rsidR="003A68E1" w:rsidRDefault="003A68E1" w:rsidP="0090770A">
            <w:pPr>
              <w:spacing w:line="360" w:lineRule="auto"/>
              <w:jc w:val="center"/>
              <w:cnfStyle w:val="000000100000" w:firstRow="0" w:lastRow="0" w:firstColumn="0" w:lastColumn="0" w:oddVBand="0" w:evenVBand="0" w:oddHBand="1" w:evenHBand="0" w:firstRowFirstColumn="0" w:firstRowLastColumn="0" w:lastRowFirstColumn="0" w:lastRowLastColumn="0"/>
            </w:pPr>
            <w:r>
              <w:t>68</w:t>
            </w:r>
          </w:p>
        </w:tc>
        <w:tc>
          <w:tcPr>
            <w:tcW w:w="1843" w:type="dxa"/>
            <w:noWrap/>
            <w:hideMark/>
          </w:tcPr>
          <w:p w14:paraId="55C63DE3" w14:textId="77777777" w:rsidR="003A68E1" w:rsidRDefault="003A68E1" w:rsidP="0090770A">
            <w:pPr>
              <w:spacing w:line="360" w:lineRule="auto"/>
              <w:jc w:val="center"/>
              <w:cnfStyle w:val="000000100000" w:firstRow="0" w:lastRow="0" w:firstColumn="0" w:lastColumn="0" w:oddVBand="0" w:evenVBand="0" w:oddHBand="1" w:evenHBand="0" w:firstRowFirstColumn="0" w:firstRowLastColumn="0" w:lastRowFirstColumn="0" w:lastRowLastColumn="0"/>
            </w:pPr>
            <w:r>
              <w:t>19.4</w:t>
            </w:r>
          </w:p>
        </w:tc>
      </w:tr>
      <w:tr w:rsidR="003A68E1" w14:paraId="59FB93CD" w14:textId="77777777" w:rsidTr="003A68E1">
        <w:trPr>
          <w:trHeight w:val="361"/>
        </w:trPr>
        <w:tc>
          <w:tcPr>
            <w:cnfStyle w:val="001000000000" w:firstRow="0" w:lastRow="0" w:firstColumn="1" w:lastColumn="0" w:oddVBand="0" w:evenVBand="0" w:oddHBand="0" w:evenHBand="0" w:firstRowFirstColumn="0" w:firstRowLastColumn="0" w:lastRowFirstColumn="0" w:lastRowLastColumn="0"/>
            <w:tcW w:w="0" w:type="auto"/>
            <w:vMerge/>
            <w:hideMark/>
          </w:tcPr>
          <w:p w14:paraId="2A0C471E" w14:textId="77777777" w:rsidR="003A68E1" w:rsidRDefault="003A68E1" w:rsidP="0090770A">
            <w:pPr>
              <w:spacing w:line="360" w:lineRule="auto"/>
            </w:pPr>
          </w:p>
        </w:tc>
        <w:tc>
          <w:tcPr>
            <w:tcW w:w="2694" w:type="dxa"/>
            <w:noWrap/>
            <w:hideMark/>
          </w:tcPr>
          <w:p w14:paraId="34111115" w14:textId="77777777" w:rsidR="003A68E1" w:rsidRDefault="003A68E1" w:rsidP="0090770A">
            <w:pPr>
              <w:spacing w:line="360" w:lineRule="auto"/>
              <w:jc w:val="right"/>
              <w:cnfStyle w:val="000000000000" w:firstRow="0" w:lastRow="0" w:firstColumn="0" w:lastColumn="0" w:oddVBand="0" w:evenVBand="0" w:oddHBand="0" w:evenHBand="0" w:firstRowFirstColumn="0" w:firstRowLastColumn="0" w:lastRowFirstColumn="0" w:lastRowLastColumn="0"/>
            </w:pPr>
            <w:r>
              <w:t>NA</w:t>
            </w:r>
          </w:p>
        </w:tc>
        <w:tc>
          <w:tcPr>
            <w:tcW w:w="1417" w:type="dxa"/>
            <w:noWrap/>
            <w:hideMark/>
          </w:tcPr>
          <w:p w14:paraId="0DC91B8A" w14:textId="77777777" w:rsidR="003A68E1" w:rsidRDefault="003A68E1" w:rsidP="0090770A">
            <w:pPr>
              <w:spacing w:line="360" w:lineRule="auto"/>
              <w:jc w:val="center"/>
              <w:cnfStyle w:val="000000000000" w:firstRow="0" w:lastRow="0" w:firstColumn="0" w:lastColumn="0" w:oddVBand="0" w:evenVBand="0" w:oddHBand="0" w:evenHBand="0" w:firstRowFirstColumn="0" w:firstRowLastColumn="0" w:lastRowFirstColumn="0" w:lastRowLastColumn="0"/>
            </w:pPr>
            <w:r>
              <w:t>11</w:t>
            </w:r>
          </w:p>
        </w:tc>
        <w:tc>
          <w:tcPr>
            <w:tcW w:w="1843" w:type="dxa"/>
            <w:noWrap/>
            <w:hideMark/>
          </w:tcPr>
          <w:p w14:paraId="7732267D" w14:textId="77777777" w:rsidR="003A68E1" w:rsidRDefault="003A68E1" w:rsidP="0090770A">
            <w:pPr>
              <w:spacing w:line="360" w:lineRule="auto"/>
              <w:jc w:val="center"/>
              <w:cnfStyle w:val="000000000000" w:firstRow="0" w:lastRow="0" w:firstColumn="0" w:lastColumn="0" w:oddVBand="0" w:evenVBand="0" w:oddHBand="0" w:evenHBand="0" w:firstRowFirstColumn="0" w:firstRowLastColumn="0" w:lastRowFirstColumn="0" w:lastRowLastColumn="0"/>
            </w:pPr>
            <w:r>
              <w:t>-</w:t>
            </w:r>
          </w:p>
        </w:tc>
      </w:tr>
      <w:tr w:rsidR="003A68E1" w14:paraId="756A466A" w14:textId="77777777" w:rsidTr="003A68E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vMerge w:val="restart"/>
            <w:noWrap/>
            <w:hideMark/>
          </w:tcPr>
          <w:p w14:paraId="448DA9B8" w14:textId="77777777" w:rsidR="003A68E1" w:rsidRDefault="003A68E1" w:rsidP="0090770A">
            <w:pPr>
              <w:spacing w:line="360" w:lineRule="auto"/>
            </w:pPr>
            <w:r>
              <w:t>Vital status at last follow-up</w:t>
            </w:r>
          </w:p>
        </w:tc>
        <w:tc>
          <w:tcPr>
            <w:tcW w:w="2694" w:type="dxa"/>
            <w:noWrap/>
            <w:hideMark/>
          </w:tcPr>
          <w:p w14:paraId="09B4CF97" w14:textId="77777777" w:rsidR="003A68E1" w:rsidRDefault="003A68E1" w:rsidP="0090770A">
            <w:pPr>
              <w:spacing w:line="360" w:lineRule="auto"/>
              <w:jc w:val="right"/>
              <w:cnfStyle w:val="000000100000" w:firstRow="0" w:lastRow="0" w:firstColumn="0" w:lastColumn="0" w:oddVBand="0" w:evenVBand="0" w:oddHBand="1" w:evenHBand="0" w:firstRowFirstColumn="0" w:firstRowLastColumn="0" w:lastRowFirstColumn="0" w:lastRowLastColumn="0"/>
            </w:pPr>
            <w:r>
              <w:t>Alive</w:t>
            </w:r>
          </w:p>
        </w:tc>
        <w:tc>
          <w:tcPr>
            <w:tcW w:w="1417" w:type="dxa"/>
            <w:noWrap/>
            <w:hideMark/>
          </w:tcPr>
          <w:p w14:paraId="788C7BDD" w14:textId="77777777" w:rsidR="003A68E1" w:rsidRDefault="003A68E1" w:rsidP="0090770A">
            <w:pPr>
              <w:spacing w:line="360" w:lineRule="auto"/>
              <w:jc w:val="center"/>
              <w:cnfStyle w:val="000000100000" w:firstRow="0" w:lastRow="0" w:firstColumn="0" w:lastColumn="0" w:oddVBand="0" w:evenVBand="0" w:oddHBand="1" w:evenHBand="0" w:firstRowFirstColumn="0" w:firstRowLastColumn="0" w:lastRowFirstColumn="0" w:lastRowLastColumn="0"/>
            </w:pPr>
            <w:r>
              <w:t>36</w:t>
            </w:r>
          </w:p>
        </w:tc>
        <w:tc>
          <w:tcPr>
            <w:tcW w:w="1843" w:type="dxa"/>
            <w:noWrap/>
            <w:hideMark/>
          </w:tcPr>
          <w:p w14:paraId="4078CD57" w14:textId="77777777" w:rsidR="003A68E1" w:rsidRDefault="003A68E1" w:rsidP="0090770A">
            <w:pPr>
              <w:spacing w:line="360" w:lineRule="auto"/>
              <w:jc w:val="center"/>
              <w:cnfStyle w:val="000000100000" w:firstRow="0" w:lastRow="0" w:firstColumn="0" w:lastColumn="0" w:oddVBand="0" w:evenVBand="0" w:oddHBand="1" w:evenHBand="0" w:firstRowFirstColumn="0" w:firstRowLastColumn="0" w:lastRowFirstColumn="0" w:lastRowLastColumn="0"/>
            </w:pPr>
            <w:r>
              <w:t>9.9</w:t>
            </w:r>
          </w:p>
        </w:tc>
      </w:tr>
      <w:tr w:rsidR="003A68E1" w14:paraId="4EC26C20" w14:textId="77777777" w:rsidTr="003A68E1">
        <w:trPr>
          <w:trHeight w:val="300"/>
        </w:trPr>
        <w:tc>
          <w:tcPr>
            <w:cnfStyle w:val="001000000000" w:firstRow="0" w:lastRow="0" w:firstColumn="1" w:lastColumn="0" w:oddVBand="0" w:evenVBand="0" w:oddHBand="0" w:evenHBand="0" w:firstRowFirstColumn="0" w:firstRowLastColumn="0" w:lastRowFirstColumn="0" w:lastRowLastColumn="0"/>
            <w:tcW w:w="0" w:type="auto"/>
            <w:vMerge/>
            <w:hideMark/>
          </w:tcPr>
          <w:p w14:paraId="091C391D" w14:textId="77777777" w:rsidR="003A68E1" w:rsidRDefault="003A68E1" w:rsidP="0090770A">
            <w:pPr>
              <w:spacing w:line="360" w:lineRule="auto"/>
            </w:pPr>
          </w:p>
        </w:tc>
        <w:tc>
          <w:tcPr>
            <w:tcW w:w="2694" w:type="dxa"/>
            <w:noWrap/>
            <w:hideMark/>
          </w:tcPr>
          <w:p w14:paraId="1AC7B087" w14:textId="346EE466" w:rsidR="003A68E1" w:rsidRDefault="003A68E1" w:rsidP="0090770A">
            <w:pPr>
              <w:spacing w:line="360" w:lineRule="auto"/>
              <w:jc w:val="right"/>
              <w:cnfStyle w:val="000000000000" w:firstRow="0" w:lastRow="0" w:firstColumn="0" w:lastColumn="0" w:oddVBand="0" w:evenVBand="0" w:oddHBand="0" w:evenHBand="0" w:firstRowFirstColumn="0" w:firstRowLastColumn="0" w:lastRowFirstColumn="0" w:lastRowLastColumn="0"/>
            </w:pPr>
            <w:r>
              <w:t>Deceased</w:t>
            </w:r>
          </w:p>
        </w:tc>
        <w:tc>
          <w:tcPr>
            <w:tcW w:w="1417" w:type="dxa"/>
            <w:noWrap/>
            <w:hideMark/>
          </w:tcPr>
          <w:p w14:paraId="79CBFE36" w14:textId="127DE0C5" w:rsidR="003A68E1" w:rsidRDefault="003A68E1" w:rsidP="0090770A">
            <w:pPr>
              <w:spacing w:line="360" w:lineRule="auto"/>
              <w:jc w:val="center"/>
              <w:cnfStyle w:val="000000000000" w:firstRow="0" w:lastRow="0" w:firstColumn="0" w:lastColumn="0" w:oddVBand="0" w:evenVBand="0" w:oddHBand="0" w:evenHBand="0" w:firstRowFirstColumn="0" w:firstRowLastColumn="0" w:lastRowFirstColumn="0" w:lastRowLastColumn="0"/>
            </w:pPr>
            <w:r>
              <w:t>326</w:t>
            </w:r>
          </w:p>
        </w:tc>
        <w:tc>
          <w:tcPr>
            <w:tcW w:w="1843" w:type="dxa"/>
            <w:noWrap/>
            <w:hideMark/>
          </w:tcPr>
          <w:p w14:paraId="21E44F49" w14:textId="2D39890D" w:rsidR="003A68E1" w:rsidRDefault="003A68E1" w:rsidP="0090770A">
            <w:pPr>
              <w:spacing w:line="360" w:lineRule="auto"/>
              <w:jc w:val="center"/>
              <w:cnfStyle w:val="000000000000" w:firstRow="0" w:lastRow="0" w:firstColumn="0" w:lastColumn="0" w:oddVBand="0" w:evenVBand="0" w:oddHBand="0" w:evenHBand="0" w:firstRowFirstColumn="0" w:firstRowLastColumn="0" w:lastRowFirstColumn="0" w:lastRowLastColumn="0"/>
            </w:pPr>
            <w:r>
              <w:t>90.1</w:t>
            </w:r>
          </w:p>
        </w:tc>
      </w:tr>
      <w:tr w:rsidR="00EB56B0" w14:paraId="41321646" w14:textId="77777777" w:rsidTr="003A68E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noWrap/>
            <w:hideMark/>
          </w:tcPr>
          <w:p w14:paraId="38C912E2" w14:textId="77777777" w:rsidR="003A68E1" w:rsidRDefault="003A68E1" w:rsidP="0090770A">
            <w:pPr>
              <w:spacing w:line="360" w:lineRule="auto"/>
            </w:pPr>
            <w:r>
              <w:t>Median OS</w:t>
            </w:r>
          </w:p>
        </w:tc>
        <w:tc>
          <w:tcPr>
            <w:tcW w:w="2694" w:type="dxa"/>
            <w:noWrap/>
            <w:hideMark/>
          </w:tcPr>
          <w:p w14:paraId="14E62D43" w14:textId="77777777" w:rsidR="003A68E1" w:rsidRDefault="003A68E1" w:rsidP="0090770A">
            <w:pPr>
              <w:spacing w:line="360" w:lineRule="auto"/>
              <w:jc w:val="right"/>
              <w:cnfStyle w:val="000000100000" w:firstRow="0" w:lastRow="0" w:firstColumn="0" w:lastColumn="0" w:oddVBand="0" w:evenVBand="0" w:oddHBand="1" w:evenHBand="0" w:firstRowFirstColumn="0" w:firstRowLastColumn="0" w:lastRowFirstColumn="0" w:lastRowLastColumn="0"/>
            </w:pPr>
            <w:r>
              <w:t xml:space="preserve">Years </w:t>
            </w:r>
          </w:p>
        </w:tc>
        <w:tc>
          <w:tcPr>
            <w:tcW w:w="3260" w:type="dxa"/>
            <w:gridSpan w:val="2"/>
            <w:noWrap/>
            <w:hideMark/>
          </w:tcPr>
          <w:p w14:paraId="5D632FEA" w14:textId="77777777" w:rsidR="003A68E1" w:rsidRDefault="003A68E1" w:rsidP="0090770A">
            <w:pPr>
              <w:spacing w:line="360" w:lineRule="auto"/>
              <w:jc w:val="center"/>
              <w:cnfStyle w:val="000000100000" w:firstRow="0" w:lastRow="0" w:firstColumn="0" w:lastColumn="0" w:oddVBand="0" w:evenVBand="0" w:oddHBand="1" w:evenHBand="0" w:firstRowFirstColumn="0" w:firstRowLastColumn="0" w:lastRowFirstColumn="0" w:lastRowLastColumn="0"/>
            </w:pPr>
            <w:r>
              <w:t>2.60 (95% CI 2.40-3.07)</w:t>
            </w:r>
          </w:p>
        </w:tc>
      </w:tr>
    </w:tbl>
    <w:p w14:paraId="398D5558" w14:textId="1D4E7F2D" w:rsidR="003A68E1" w:rsidRDefault="003A68E1" w:rsidP="001C1E4B">
      <w:pPr>
        <w:spacing w:line="240" w:lineRule="auto"/>
        <w:jc w:val="both"/>
      </w:pPr>
      <w:r>
        <w:t>FIGO, International Federation of Gynecology an</w:t>
      </w:r>
      <w:r w:rsidR="00EB4FDC">
        <w:t>d Obstetrics; NA, not available</w:t>
      </w:r>
    </w:p>
    <w:p w14:paraId="5F9CC70F" w14:textId="7E52E897" w:rsidR="001C1E4B" w:rsidRDefault="001C1E4B">
      <w:pPr>
        <w:rPr>
          <w:lang w:val="en-US"/>
        </w:rPr>
      </w:pPr>
    </w:p>
    <w:p w14:paraId="47D8278E" w14:textId="3E9CC6E2" w:rsidR="001C1E4B" w:rsidRPr="001630C8" w:rsidRDefault="001630C8" w:rsidP="0090770A">
      <w:pPr>
        <w:spacing w:line="360" w:lineRule="auto"/>
        <w:jc w:val="both"/>
        <w:rPr>
          <w:b/>
          <w:lang w:val="en-US"/>
        </w:rPr>
      </w:pPr>
      <w:r w:rsidRPr="001630C8">
        <w:rPr>
          <w:b/>
          <w:lang w:val="en-US"/>
        </w:rPr>
        <w:t xml:space="preserve">SUPPLEMENTARY REFERENCES </w:t>
      </w:r>
    </w:p>
    <w:p w14:paraId="6D973224" w14:textId="77777777" w:rsidR="0013454B" w:rsidRPr="0013454B" w:rsidRDefault="001C1E4B" w:rsidP="0013454B">
      <w:pPr>
        <w:pStyle w:val="EndNoteBibliography"/>
        <w:spacing w:after="0"/>
      </w:pPr>
      <w:r>
        <w:fldChar w:fldCharType="begin"/>
      </w:r>
      <w:r>
        <w:instrText xml:space="preserve"> ADDIN EN.REFLIST </w:instrText>
      </w:r>
      <w:r>
        <w:fldChar w:fldCharType="separate"/>
      </w:r>
      <w:r w:rsidR="0013454B" w:rsidRPr="0013454B">
        <w:t>1.</w:t>
      </w:r>
      <w:r w:rsidR="0013454B" w:rsidRPr="0013454B">
        <w:tab/>
        <w:t>Kobel M, Rahimi K, Rambau PF, Naugler C, Le Page C, Meunier L, et al. An Immunohistochemical Algorithm for Ovarian Carcinoma Typing. International journal of gynecological pathology : official journal of the International Society of Gynecological Pathologists. 2016;35(5):430-41.</w:t>
      </w:r>
    </w:p>
    <w:p w14:paraId="6EB05575" w14:textId="77777777" w:rsidR="0013454B" w:rsidRPr="0013454B" w:rsidRDefault="0013454B" w:rsidP="0013454B">
      <w:pPr>
        <w:pStyle w:val="EndNoteBibliography"/>
      </w:pPr>
      <w:r w:rsidRPr="0013454B">
        <w:t>2.</w:t>
      </w:r>
      <w:r w:rsidRPr="0013454B">
        <w:tab/>
        <w:t>Hollis RL, Meynert AM, Michie CO, Rye T, Churchman M, Hallas-Potts A, et al. Multiomic characterisation of high grade serous ovarian carcinoma enables high resolution patient stratification. medRxiv. 2022:2022.01.07.22268840.</w:t>
      </w:r>
    </w:p>
    <w:p w14:paraId="31BA7CBA" w14:textId="0FABF99C" w:rsidR="00FD7A8B" w:rsidRPr="00FD7A8B" w:rsidRDefault="001C1E4B" w:rsidP="0090770A">
      <w:pPr>
        <w:spacing w:line="360" w:lineRule="auto"/>
        <w:jc w:val="both"/>
        <w:rPr>
          <w:lang w:val="en-US"/>
        </w:rPr>
      </w:pPr>
      <w:r>
        <w:rPr>
          <w:lang w:val="en-US"/>
        </w:rPr>
        <w:fldChar w:fldCharType="end"/>
      </w:r>
    </w:p>
    <w:sectPr w:rsidR="00FD7A8B" w:rsidRPr="00FD7A8B">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CE42A" w16cex:dateUtc="2021-11-08T12: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60A773" w16cid:durableId="253CE42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9xsezvdj9rrw8ez2aqxs52s2trpap5w0a9w&quot;&gt;EndNote&lt;record-ids&gt;&lt;item&gt;653&lt;/item&gt;&lt;item&gt;1330&lt;/item&gt;&lt;/record-ids&gt;&lt;/item&gt;&lt;/Libraries&gt;"/>
  </w:docVars>
  <w:rsids>
    <w:rsidRoot w:val="00FD7A8B"/>
    <w:rsid w:val="000713DA"/>
    <w:rsid w:val="0013454B"/>
    <w:rsid w:val="001630C8"/>
    <w:rsid w:val="001C1E4B"/>
    <w:rsid w:val="00255A2B"/>
    <w:rsid w:val="00273A73"/>
    <w:rsid w:val="00301AC5"/>
    <w:rsid w:val="003176E8"/>
    <w:rsid w:val="0033460E"/>
    <w:rsid w:val="00393952"/>
    <w:rsid w:val="003A68E1"/>
    <w:rsid w:val="00420DA0"/>
    <w:rsid w:val="004A3A9F"/>
    <w:rsid w:val="00675659"/>
    <w:rsid w:val="00706858"/>
    <w:rsid w:val="00846B63"/>
    <w:rsid w:val="00875F50"/>
    <w:rsid w:val="0090770A"/>
    <w:rsid w:val="009838A3"/>
    <w:rsid w:val="00A23945"/>
    <w:rsid w:val="00B91936"/>
    <w:rsid w:val="00CF13AC"/>
    <w:rsid w:val="00D6626B"/>
    <w:rsid w:val="00DB4F5C"/>
    <w:rsid w:val="00EB4FDC"/>
    <w:rsid w:val="00EB56B0"/>
    <w:rsid w:val="00F865F2"/>
    <w:rsid w:val="00FD0131"/>
    <w:rsid w:val="00FD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0CFEB"/>
  <w15:chartTrackingRefBased/>
  <w15:docId w15:val="{EDE22527-0F46-4E5B-BC7D-9D791A52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D7A8B"/>
    <w:rPr>
      <w:sz w:val="16"/>
      <w:szCs w:val="16"/>
    </w:rPr>
  </w:style>
  <w:style w:type="paragraph" w:styleId="CommentText">
    <w:name w:val="annotation text"/>
    <w:basedOn w:val="Normal"/>
    <w:link w:val="CommentTextChar"/>
    <w:uiPriority w:val="99"/>
    <w:semiHidden/>
    <w:unhideWhenUsed/>
    <w:rsid w:val="00FD7A8B"/>
    <w:pPr>
      <w:spacing w:line="240" w:lineRule="auto"/>
    </w:pPr>
    <w:rPr>
      <w:sz w:val="20"/>
      <w:szCs w:val="20"/>
    </w:rPr>
  </w:style>
  <w:style w:type="character" w:customStyle="1" w:styleId="CommentTextChar">
    <w:name w:val="Comment Text Char"/>
    <w:basedOn w:val="DefaultParagraphFont"/>
    <w:link w:val="CommentText"/>
    <w:uiPriority w:val="99"/>
    <w:semiHidden/>
    <w:rsid w:val="00FD7A8B"/>
    <w:rPr>
      <w:sz w:val="20"/>
      <w:szCs w:val="20"/>
    </w:rPr>
  </w:style>
  <w:style w:type="paragraph" w:styleId="ListParagraph">
    <w:name w:val="List Paragraph"/>
    <w:basedOn w:val="Normal"/>
    <w:uiPriority w:val="34"/>
    <w:qFormat/>
    <w:rsid w:val="00301AC5"/>
    <w:pPr>
      <w:ind w:left="720"/>
      <w:contextualSpacing/>
    </w:pPr>
  </w:style>
  <w:style w:type="table" w:styleId="ListTable2-Accent3">
    <w:name w:val="List Table 2 Accent 3"/>
    <w:basedOn w:val="TableNormal"/>
    <w:uiPriority w:val="47"/>
    <w:rsid w:val="003A68E1"/>
    <w:pPr>
      <w:spacing w:after="0" w:line="240" w:lineRule="auto"/>
    </w:pPr>
    <w:tblPr>
      <w:tblStyleRowBandSize w:val="1"/>
      <w:tblStyleColBandSize w:val="1"/>
      <w:tblInd w:w="0" w:type="nil"/>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1">
    <w:name w:val="List Table 2 Accent 1"/>
    <w:basedOn w:val="TableNormal"/>
    <w:uiPriority w:val="47"/>
    <w:rsid w:val="003A68E1"/>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ommentSubject">
    <w:name w:val="annotation subject"/>
    <w:basedOn w:val="CommentText"/>
    <w:next w:val="CommentText"/>
    <w:link w:val="CommentSubjectChar"/>
    <w:uiPriority w:val="99"/>
    <w:semiHidden/>
    <w:unhideWhenUsed/>
    <w:rsid w:val="00EB56B0"/>
    <w:rPr>
      <w:b/>
      <w:bCs/>
    </w:rPr>
  </w:style>
  <w:style w:type="character" w:customStyle="1" w:styleId="CommentSubjectChar">
    <w:name w:val="Comment Subject Char"/>
    <w:basedOn w:val="CommentTextChar"/>
    <w:link w:val="CommentSubject"/>
    <w:uiPriority w:val="99"/>
    <w:semiHidden/>
    <w:rsid w:val="00EB56B0"/>
    <w:rPr>
      <w:b/>
      <w:bCs/>
      <w:sz w:val="20"/>
      <w:szCs w:val="20"/>
    </w:rPr>
  </w:style>
  <w:style w:type="paragraph" w:styleId="BalloonText">
    <w:name w:val="Balloon Text"/>
    <w:basedOn w:val="Normal"/>
    <w:link w:val="BalloonTextChar"/>
    <w:uiPriority w:val="99"/>
    <w:semiHidden/>
    <w:unhideWhenUsed/>
    <w:rsid w:val="003346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460E"/>
    <w:rPr>
      <w:rFonts w:ascii="Segoe UI" w:hAnsi="Segoe UI" w:cs="Segoe UI"/>
      <w:sz w:val="18"/>
      <w:szCs w:val="18"/>
    </w:rPr>
  </w:style>
  <w:style w:type="paragraph" w:customStyle="1" w:styleId="EndNoteBibliographyTitle">
    <w:name w:val="EndNote Bibliography Title"/>
    <w:basedOn w:val="Normal"/>
    <w:link w:val="EndNoteBibliographyTitleChar"/>
    <w:rsid w:val="001C1E4B"/>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1C1E4B"/>
    <w:rPr>
      <w:rFonts w:ascii="Calibri" w:hAnsi="Calibri" w:cs="Calibri"/>
      <w:noProof/>
      <w:lang w:val="en-US"/>
    </w:rPr>
  </w:style>
  <w:style w:type="paragraph" w:customStyle="1" w:styleId="EndNoteBibliography">
    <w:name w:val="EndNote Bibliography"/>
    <w:basedOn w:val="Normal"/>
    <w:link w:val="EndNoteBibliographyChar"/>
    <w:rsid w:val="001C1E4B"/>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1C1E4B"/>
    <w:rPr>
      <w:rFonts w:ascii="Calibri" w:hAnsi="Calibri" w:cs="Calibri"/>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22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975</Words>
  <Characters>5560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HOLLIS Robb</dc:creator>
  <cp:keywords/>
  <dc:description/>
  <cp:lastModifiedBy>HOLLIS Robb</cp:lastModifiedBy>
  <cp:revision>16</cp:revision>
  <cp:lastPrinted>2022-05-18T10:21:00Z</cp:lastPrinted>
  <dcterms:created xsi:type="dcterms:W3CDTF">2021-11-06T11:15:00Z</dcterms:created>
  <dcterms:modified xsi:type="dcterms:W3CDTF">2022-05-18T11:05:00Z</dcterms:modified>
</cp:coreProperties>
</file>