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97BAE" w14:textId="77777777" w:rsidR="0065527B" w:rsidRPr="00A934E0" w:rsidRDefault="0065527B" w:rsidP="0065527B">
      <w:pPr>
        <w:spacing w:line="360" w:lineRule="auto"/>
        <w:rPr>
          <w:b/>
          <w:sz w:val="28"/>
          <w:szCs w:val="28"/>
          <w:lang w:val="en-US"/>
        </w:rPr>
      </w:pPr>
      <w:r w:rsidRPr="00A934E0">
        <w:rPr>
          <w:b/>
          <w:sz w:val="28"/>
          <w:szCs w:val="28"/>
          <w:lang w:val="en-US"/>
        </w:rPr>
        <w:t>Comprehensive small RNA-sequencing of primary myeloma cells identifies miR-105-5p as a predictor of patient survival</w:t>
      </w:r>
    </w:p>
    <w:p w14:paraId="612AB573" w14:textId="77777777" w:rsidR="0065527B" w:rsidRPr="00A934E0" w:rsidRDefault="0065527B" w:rsidP="0065527B">
      <w:pPr>
        <w:spacing w:line="360" w:lineRule="auto"/>
        <w:rPr>
          <w:b/>
          <w:sz w:val="36"/>
          <w:szCs w:val="36"/>
          <w:lang w:val="en-US"/>
        </w:rPr>
      </w:pPr>
    </w:p>
    <w:p w14:paraId="3E7FE4B4" w14:textId="4C90BB69" w:rsidR="0065527B" w:rsidRPr="00A934E0" w:rsidRDefault="0065527B" w:rsidP="0065527B">
      <w:pPr>
        <w:spacing w:line="276" w:lineRule="auto"/>
      </w:pPr>
      <w:r w:rsidRPr="00A934E0">
        <w:t>Kristin Roseth Aass</w:t>
      </w:r>
      <w:r w:rsidRPr="00A934E0">
        <w:rPr>
          <w:vertAlign w:val="superscript"/>
        </w:rPr>
        <w:t>1,2</w:t>
      </w:r>
      <w:r w:rsidRPr="00A934E0">
        <w:t xml:space="preserve">, </w:t>
      </w:r>
      <w:r w:rsidRPr="00A934E0">
        <w:rPr>
          <w:color w:val="000000"/>
          <w:shd w:val="clear" w:color="auto" w:fill="FFFFFF"/>
        </w:rPr>
        <w:t>Tonje Marie Vikene Nedal</w:t>
      </w:r>
      <w:r w:rsidRPr="00A934E0">
        <w:rPr>
          <w:vertAlign w:val="superscript"/>
        </w:rPr>
        <w:t>1,2</w:t>
      </w:r>
      <w:r w:rsidRPr="00A934E0">
        <w:t>, Siri Anshushaug Bouma</w:t>
      </w:r>
      <w:r w:rsidRPr="00A934E0">
        <w:rPr>
          <w:vertAlign w:val="superscript"/>
        </w:rPr>
        <w:t>2</w:t>
      </w:r>
      <w:r w:rsidRPr="00A934E0">
        <w:t>, Synne Stokke Tryggestad</w:t>
      </w:r>
      <w:r w:rsidRPr="00A934E0">
        <w:rPr>
          <w:vertAlign w:val="superscript"/>
        </w:rPr>
        <w:t>1,2</w:t>
      </w:r>
      <w:r w:rsidRPr="00A934E0">
        <w:t>, Einar Haukås</w:t>
      </w:r>
      <w:r w:rsidRPr="00A934E0">
        <w:rPr>
          <w:vertAlign w:val="superscript"/>
        </w:rPr>
        <w:t>3</w:t>
      </w:r>
      <w:r w:rsidRPr="00A934E0">
        <w:t xml:space="preserve">, Tobias </w:t>
      </w:r>
      <w:r w:rsidR="00A934E0" w:rsidRPr="00A934E0">
        <w:t>Schmidt</w:t>
      </w:r>
      <w:r w:rsidRPr="00A934E0">
        <w:t xml:space="preserve"> Slørdahl</w:t>
      </w:r>
      <w:r w:rsidRPr="00A934E0">
        <w:rPr>
          <w:vertAlign w:val="superscript"/>
        </w:rPr>
        <w:t>2,4</w:t>
      </w:r>
      <w:r w:rsidRPr="00A934E0">
        <w:t xml:space="preserve">, Anders Waage </w:t>
      </w:r>
      <w:r w:rsidRPr="00A934E0">
        <w:rPr>
          <w:vertAlign w:val="superscript"/>
        </w:rPr>
        <w:t>2,4</w:t>
      </w:r>
      <w:r w:rsidRPr="00A934E0">
        <w:t>, Therese Standal</w:t>
      </w:r>
      <w:r w:rsidRPr="00A934E0">
        <w:rPr>
          <w:vertAlign w:val="superscript"/>
        </w:rPr>
        <w:t>1,2,4#</w:t>
      </w:r>
      <w:r w:rsidRPr="00A934E0">
        <w:t>, Robin Mjelle</w:t>
      </w:r>
      <w:r w:rsidRPr="00A934E0">
        <w:rPr>
          <w:vertAlign w:val="superscript"/>
        </w:rPr>
        <w:t>2,5,6#</w:t>
      </w:r>
    </w:p>
    <w:p w14:paraId="4B75A4C2" w14:textId="77777777" w:rsidR="0065527B" w:rsidRPr="00A934E0" w:rsidRDefault="0065527B" w:rsidP="0065527B">
      <w:pPr>
        <w:spacing w:line="276" w:lineRule="auto"/>
        <w:rPr>
          <w:lang w:val="en-US"/>
        </w:rPr>
      </w:pPr>
      <w:r w:rsidRPr="00A934E0">
        <w:rPr>
          <w:lang w:val="en-US"/>
        </w:rPr>
        <w:t># Shared senior authorship</w:t>
      </w:r>
    </w:p>
    <w:p w14:paraId="7B3E785F" w14:textId="77777777" w:rsidR="0065527B" w:rsidRPr="00A934E0" w:rsidRDefault="0065527B" w:rsidP="0065527B">
      <w:pPr>
        <w:spacing w:line="276" w:lineRule="auto"/>
        <w:rPr>
          <w:lang w:val="en-US"/>
        </w:rPr>
      </w:pPr>
      <w:r w:rsidRPr="00A934E0">
        <w:rPr>
          <w:vertAlign w:val="superscript"/>
          <w:lang w:val="en-US"/>
        </w:rPr>
        <w:t>1</w:t>
      </w:r>
      <w:r w:rsidRPr="00A934E0">
        <w:rPr>
          <w:lang w:val="en-US"/>
        </w:rPr>
        <w:t>Centre of Molecular Inflammation Research, Department of Clinical and Molecular Medicine, Norwegian University of Science and Technology, 7491, Trondheim, Norway</w:t>
      </w:r>
    </w:p>
    <w:p w14:paraId="269CC2CF" w14:textId="77777777" w:rsidR="0065527B" w:rsidRPr="00A934E0" w:rsidRDefault="0065527B" w:rsidP="0065527B">
      <w:pPr>
        <w:spacing w:line="276" w:lineRule="auto"/>
        <w:rPr>
          <w:lang w:val="en-US"/>
        </w:rPr>
      </w:pPr>
      <w:r w:rsidRPr="00A934E0">
        <w:rPr>
          <w:vertAlign w:val="superscript"/>
          <w:lang w:val="en-US"/>
        </w:rPr>
        <w:t>2</w:t>
      </w:r>
      <w:r w:rsidRPr="00A934E0">
        <w:rPr>
          <w:lang w:val="en-US"/>
        </w:rPr>
        <w:t xml:space="preserve"> Department of Clinical and Molecular Medicine, Norwegian University of Science and Technology,7491, Trondheim, Norway</w:t>
      </w:r>
    </w:p>
    <w:p w14:paraId="66EA410F" w14:textId="77777777" w:rsidR="0065527B" w:rsidRPr="00A934E0" w:rsidRDefault="0065527B" w:rsidP="0065527B">
      <w:pPr>
        <w:spacing w:line="276" w:lineRule="auto"/>
        <w:rPr>
          <w:lang w:val="en-US"/>
        </w:rPr>
      </w:pPr>
      <w:r w:rsidRPr="00A934E0">
        <w:rPr>
          <w:vertAlign w:val="superscript"/>
          <w:lang w:val="en-US"/>
        </w:rPr>
        <w:t>3</w:t>
      </w:r>
      <w:r w:rsidRPr="00A934E0">
        <w:rPr>
          <w:lang w:val="en-US"/>
        </w:rPr>
        <w:t xml:space="preserve"> Department of Hematology, Stavanger University Hospital, 4011, Stavanger, Norway</w:t>
      </w:r>
    </w:p>
    <w:p w14:paraId="43CECFB0" w14:textId="77777777" w:rsidR="0065527B" w:rsidRPr="00A934E0" w:rsidRDefault="0065527B" w:rsidP="0065527B">
      <w:pPr>
        <w:spacing w:line="276" w:lineRule="auto"/>
        <w:rPr>
          <w:lang w:val="en-US"/>
        </w:rPr>
      </w:pPr>
      <w:r w:rsidRPr="00A934E0">
        <w:rPr>
          <w:vertAlign w:val="superscript"/>
          <w:lang w:val="en-US"/>
        </w:rPr>
        <w:t>4</w:t>
      </w:r>
      <w:r w:rsidRPr="00A934E0">
        <w:rPr>
          <w:lang w:val="en-US"/>
        </w:rPr>
        <w:t xml:space="preserve"> Department of Hematology, St. Olavs University Hospital, 7030, Trondheim, Norway</w:t>
      </w:r>
    </w:p>
    <w:p w14:paraId="70027AB6" w14:textId="77777777" w:rsidR="0065527B" w:rsidRPr="00A934E0" w:rsidRDefault="0065527B" w:rsidP="0065527B">
      <w:pPr>
        <w:spacing w:line="276" w:lineRule="auto"/>
        <w:rPr>
          <w:color w:val="222222"/>
          <w:shd w:val="clear" w:color="auto" w:fill="FFFFFF"/>
          <w:lang w:val="en-US"/>
        </w:rPr>
      </w:pPr>
      <w:r w:rsidRPr="00A934E0">
        <w:rPr>
          <w:vertAlign w:val="superscript"/>
          <w:lang w:val="en-US"/>
        </w:rPr>
        <w:t>5</w:t>
      </w:r>
      <w:r w:rsidRPr="00A934E0">
        <w:rPr>
          <w:lang w:val="en-US"/>
        </w:rPr>
        <w:t xml:space="preserve"> </w:t>
      </w:r>
      <w:r w:rsidRPr="00A934E0">
        <w:rPr>
          <w:color w:val="222222"/>
          <w:shd w:val="clear" w:color="auto" w:fill="FFFFFF"/>
          <w:lang w:val="en-US"/>
        </w:rPr>
        <w:t>Bioinformatics Core Facility - BioCore, Norwegian University of Science and Technology NTNU, 7491 Trondheim, Norway</w:t>
      </w:r>
    </w:p>
    <w:p w14:paraId="2A2A87E9" w14:textId="77777777" w:rsidR="0065527B" w:rsidRPr="00A934E0" w:rsidRDefault="0065527B" w:rsidP="0065527B">
      <w:pPr>
        <w:spacing w:line="276" w:lineRule="auto"/>
        <w:rPr>
          <w:lang w:val="en-US"/>
        </w:rPr>
      </w:pPr>
      <w:r w:rsidRPr="00A934E0">
        <w:rPr>
          <w:vertAlign w:val="superscript"/>
          <w:lang w:val="en-US"/>
        </w:rPr>
        <w:t>6</w:t>
      </w:r>
      <w:r w:rsidRPr="00A934E0">
        <w:rPr>
          <w:lang w:val="en-US"/>
        </w:rPr>
        <w:t xml:space="preserve"> Department of Pathology, St. Olavs University Hospital, 7030, Trondheim, Norway</w:t>
      </w:r>
    </w:p>
    <w:p w14:paraId="43914B0A" w14:textId="77777777" w:rsidR="00F316AC" w:rsidRPr="00A934E0" w:rsidRDefault="00F316AC">
      <w:pPr>
        <w:rPr>
          <w:b/>
          <w:bCs/>
          <w:lang w:val="en-US"/>
        </w:rPr>
      </w:pPr>
    </w:p>
    <w:p w14:paraId="585C2DD7" w14:textId="77777777" w:rsidR="002E2267" w:rsidRPr="00A934E0" w:rsidRDefault="002E2267">
      <w:pPr>
        <w:rPr>
          <w:b/>
          <w:bCs/>
          <w:lang w:val="en-US"/>
        </w:rPr>
      </w:pPr>
    </w:p>
    <w:p w14:paraId="6824D4B1" w14:textId="77777777" w:rsidR="00FA2BC4" w:rsidRPr="00A934E0" w:rsidRDefault="00FA2BC4">
      <w:pPr>
        <w:rPr>
          <w:b/>
          <w:bCs/>
          <w:lang w:val="en-US"/>
        </w:rPr>
      </w:pPr>
    </w:p>
    <w:p w14:paraId="4D5410FA" w14:textId="77605929" w:rsidR="007C0A83" w:rsidRPr="00A934E0" w:rsidRDefault="002E2267">
      <w:pPr>
        <w:rPr>
          <w:b/>
          <w:bCs/>
          <w:lang w:val="en-US"/>
        </w:rPr>
      </w:pPr>
      <w:r w:rsidRPr="00A934E0">
        <w:rPr>
          <w:b/>
          <w:bCs/>
          <w:lang w:val="en-US"/>
        </w:rPr>
        <w:t>Supplemental met</w:t>
      </w:r>
      <w:r w:rsidR="00581AD6" w:rsidRPr="00A934E0">
        <w:rPr>
          <w:b/>
          <w:bCs/>
          <w:lang w:val="en-US"/>
        </w:rPr>
        <w:t>h</w:t>
      </w:r>
      <w:r w:rsidRPr="00A934E0">
        <w:rPr>
          <w:b/>
          <w:bCs/>
          <w:lang w:val="en-US"/>
        </w:rPr>
        <w:t>od descriptions</w:t>
      </w:r>
    </w:p>
    <w:p w14:paraId="6CBF4560" w14:textId="0376E3A9" w:rsidR="008421FB" w:rsidRPr="00A934E0" w:rsidRDefault="008421FB">
      <w:pPr>
        <w:rPr>
          <w:b/>
          <w:bCs/>
          <w:lang w:val="en-US"/>
        </w:rPr>
      </w:pPr>
    </w:p>
    <w:p w14:paraId="4D007D1F" w14:textId="77777777" w:rsidR="002E2267" w:rsidRPr="00A934E0" w:rsidRDefault="002E2267" w:rsidP="00B63755">
      <w:pPr>
        <w:spacing w:line="480" w:lineRule="auto"/>
        <w:rPr>
          <w:b/>
          <w:bCs/>
          <w:color w:val="000000" w:themeColor="text1"/>
          <w:lang w:val="en-US"/>
        </w:rPr>
      </w:pPr>
    </w:p>
    <w:p w14:paraId="34F1EE37" w14:textId="67413E50" w:rsidR="00B63755" w:rsidRPr="00A934E0" w:rsidRDefault="00B63755" w:rsidP="00B63755">
      <w:pPr>
        <w:spacing w:line="480" w:lineRule="auto"/>
        <w:rPr>
          <w:b/>
          <w:bCs/>
          <w:color w:val="000000" w:themeColor="text1"/>
          <w:lang w:val="en-US"/>
        </w:rPr>
      </w:pPr>
      <w:r w:rsidRPr="00A934E0">
        <w:rPr>
          <w:b/>
          <w:bCs/>
          <w:color w:val="000000" w:themeColor="text1"/>
          <w:lang w:val="en-US"/>
        </w:rPr>
        <w:t>Differential expression analysis</w:t>
      </w:r>
    </w:p>
    <w:p w14:paraId="404C7E76" w14:textId="77777777" w:rsidR="00B63755" w:rsidRPr="00A934E0" w:rsidRDefault="00B63755" w:rsidP="00B63755">
      <w:pPr>
        <w:spacing w:line="480" w:lineRule="auto"/>
        <w:rPr>
          <w:lang w:val="en-US"/>
        </w:rPr>
      </w:pPr>
      <w:r w:rsidRPr="00A934E0">
        <w:rPr>
          <w:lang w:val="en-US"/>
        </w:rPr>
        <w:t>The following R-script was used to detect differentially expressed sRNAs:</w:t>
      </w:r>
    </w:p>
    <w:p w14:paraId="519C3D79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 xml:space="preserve">expr.mat.dge &lt;- edgeR::DGEList(counts = expr.mat) </w:t>
      </w:r>
    </w:p>
    <w:p w14:paraId="71EF252B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keep &lt;- rowSums(edgeR::cpm(expr.mat.dge)&gt;1) &gt;= dim(expr.mat.dge)[2]/4</w:t>
      </w:r>
    </w:p>
    <w:p w14:paraId="7E71D722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expr.mat.dge &lt;- expr.mat.dge[keep,]</w:t>
      </w:r>
    </w:p>
    <w:p w14:paraId="70571E92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expr.mat.calibrator.dge &lt;- DGEList(expr.mat.calibrator)</w:t>
      </w:r>
    </w:p>
    <w:p w14:paraId="593CC48B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expr.mat.calibrator.dge &lt;- calcNormFactors(expr.mat.calibrator.dge)</w:t>
      </w:r>
    </w:p>
    <w:p w14:paraId="0B4CEBEE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expr.mat.calibrator.dge &lt;- calcNormFactors(expr.mat.calibrator.dge, method="TMM")</w:t>
      </w:r>
    </w:p>
    <w:p w14:paraId="2103BE5D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expr.mat.dge$samples$norm.factors &lt;- expr.mat.calibrator.dge$samples$norm.factors</w:t>
      </w:r>
    </w:p>
    <w:p w14:paraId="27AAB267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des &lt;- model.matrix(~0+factor(ISS),+Age+Sex, exclude=NULL))</w:t>
      </w:r>
    </w:p>
    <w:p w14:paraId="5A8AF13C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colnames(des) &lt;- c("ISS1","ISS2","ISS3","Unknown")</w:t>
      </w:r>
    </w:p>
    <w:p w14:paraId="1F556024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v &lt;- voom(Mature_Standal_Biobank.dge,design = des)</w:t>
      </w:r>
    </w:p>
    <w:p w14:paraId="29561AA6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fit &lt;- lmFit(v, design=des)</w:t>
      </w:r>
    </w:p>
    <w:p w14:paraId="6749166A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lastRenderedPageBreak/>
        <w:t>contrasts &lt;- makeContrasts(cond1=ISS3-ISS1, levels=des)</w:t>
      </w:r>
    </w:p>
    <w:p w14:paraId="79EDBE9D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fit2 &lt;- contrasts.fit(fit, contrasts=contrasts)</w:t>
      </w:r>
    </w:p>
    <w:p w14:paraId="30B692A2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fit2 &lt;- eBayes(fit2)</w:t>
      </w:r>
    </w:p>
    <w:p w14:paraId="67242598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colSums(decideTests(fit2)!=0)</w:t>
      </w:r>
    </w:p>
    <w:p w14:paraId="70C322C4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colSums(decideTests(fit2, method="glob")!=0)</w:t>
      </w:r>
    </w:p>
    <w:p w14:paraId="09199E49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topTable1 &lt;- topTable(fit2,coef="cond1",sort.by="P",adjust.method="BH", n=10)</w:t>
      </w:r>
    </w:p>
    <w:p w14:paraId="36DA0B58" w14:textId="77777777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</w:p>
    <w:p w14:paraId="65F20AFB" w14:textId="00BC01AD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expr.mat is the miRNA/sRNA expression matrix</w:t>
      </w:r>
    </w:p>
    <w:p w14:paraId="119C1B20" w14:textId="2DD2937D" w:rsidR="00B63755" w:rsidRPr="00A934E0" w:rsidRDefault="00B63755" w:rsidP="00B63755">
      <w:pPr>
        <w:spacing w:line="480" w:lineRule="auto"/>
        <w:ind w:left="708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expr.mat.calibrator is the calibrator expression matrix</w:t>
      </w:r>
    </w:p>
    <w:p w14:paraId="2CC9493B" w14:textId="77777777" w:rsidR="00B63755" w:rsidRPr="00A934E0" w:rsidRDefault="00B63755" w:rsidP="00B63755">
      <w:pPr>
        <w:spacing w:line="480" w:lineRule="auto"/>
        <w:rPr>
          <w:b/>
          <w:bCs/>
          <w:lang w:val="en-US"/>
        </w:rPr>
      </w:pPr>
    </w:p>
    <w:p w14:paraId="410B3586" w14:textId="77777777" w:rsidR="00B63755" w:rsidRPr="00A934E0" w:rsidRDefault="00B63755" w:rsidP="00B63755">
      <w:pPr>
        <w:spacing w:line="480" w:lineRule="auto"/>
        <w:rPr>
          <w:b/>
          <w:lang w:val="en-US"/>
        </w:rPr>
      </w:pPr>
      <w:r w:rsidRPr="00A934E0">
        <w:rPr>
          <w:b/>
          <w:lang w:val="en-US"/>
        </w:rPr>
        <w:t>Survival analyses</w:t>
      </w:r>
    </w:p>
    <w:p w14:paraId="66112E65" w14:textId="48EEA4DD" w:rsidR="00B63755" w:rsidRPr="00A934E0" w:rsidRDefault="00D541A4" w:rsidP="00B63755">
      <w:pPr>
        <w:spacing w:line="480" w:lineRule="auto"/>
        <w:rPr>
          <w:lang w:val="en-US"/>
        </w:rPr>
      </w:pPr>
      <w:r w:rsidRPr="00A934E0">
        <w:rPr>
          <w:lang w:val="en-US"/>
        </w:rPr>
        <w:t xml:space="preserve">Survival analyses are performed using a coxph-model in R using the </w:t>
      </w:r>
      <w:r w:rsidRPr="00A934E0">
        <w:rPr>
          <w:i/>
          <w:lang w:val="en-US"/>
        </w:rPr>
        <w:t xml:space="preserve">survival </w:t>
      </w:r>
      <w:r w:rsidRPr="00A934E0">
        <w:rPr>
          <w:lang w:val="en-US"/>
        </w:rPr>
        <w:t xml:space="preserve">package and the functions </w:t>
      </w:r>
      <w:r w:rsidRPr="00A934E0">
        <w:rPr>
          <w:i/>
          <w:lang w:val="en-US"/>
        </w:rPr>
        <w:t xml:space="preserve">coxph </w:t>
      </w:r>
      <w:r w:rsidRPr="00A934E0">
        <w:rPr>
          <w:lang w:val="en-US"/>
        </w:rPr>
        <w:t xml:space="preserve">and </w:t>
      </w:r>
      <w:r w:rsidRPr="00A934E0">
        <w:rPr>
          <w:i/>
          <w:lang w:val="en-US"/>
        </w:rPr>
        <w:t>Surv</w:t>
      </w:r>
      <w:r w:rsidRPr="00A934E0">
        <w:rPr>
          <w:lang w:val="en-US"/>
        </w:rPr>
        <w:t xml:space="preserve"> . </w:t>
      </w:r>
      <w:r w:rsidR="00B63755" w:rsidRPr="00A934E0">
        <w:rPr>
          <w:lang w:val="en-US"/>
        </w:rPr>
        <w:t>The following R-script was used for</w:t>
      </w:r>
      <w:r w:rsidRPr="00A934E0">
        <w:rPr>
          <w:lang w:val="en-US"/>
        </w:rPr>
        <w:t xml:space="preserve"> discovery assessment of each sRNA class</w:t>
      </w:r>
      <w:r w:rsidR="00B63755" w:rsidRPr="00A934E0">
        <w:rPr>
          <w:lang w:val="en-US"/>
        </w:rPr>
        <w:t>:</w:t>
      </w:r>
    </w:p>
    <w:p w14:paraId="3C2DB4EE" w14:textId="77777777" w:rsidR="00B63755" w:rsidRPr="00A934E0" w:rsidRDefault="00B63755" w:rsidP="00B63755">
      <w:pPr>
        <w:pStyle w:val="ListParagraph"/>
        <w:spacing w:line="480" w:lineRule="auto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 xml:space="preserve">coxph.sRNA_  &lt;- capture.output(for(i  in colnames(data.df)){print(summary(coxph(as.formula(paste0("Surv(Time, Status)~", i, "+Age","+Sex",+”ISS”)),  data=as.data.frame(data.df)))) }) </w:t>
      </w:r>
    </w:p>
    <w:p w14:paraId="4082D8F1" w14:textId="77777777" w:rsidR="00B63755" w:rsidRPr="00A934E0" w:rsidRDefault="00B63755" w:rsidP="00B63755">
      <w:pPr>
        <w:pStyle w:val="ListParagraph"/>
        <w:spacing w:line="480" w:lineRule="auto"/>
        <w:rPr>
          <w:i/>
          <w:iCs/>
          <w:sz w:val="20"/>
          <w:szCs w:val="20"/>
          <w:lang w:val="en-US"/>
        </w:rPr>
      </w:pPr>
    </w:p>
    <w:p w14:paraId="76C95E27" w14:textId="77777777" w:rsidR="00B63755" w:rsidRPr="00A934E0" w:rsidRDefault="00B63755" w:rsidP="00C07F59">
      <w:pPr>
        <w:spacing w:line="480" w:lineRule="auto"/>
        <w:ind w:firstLine="720"/>
        <w:rPr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data.df</w:t>
      </w:r>
      <w:r w:rsidRPr="00A934E0">
        <w:rPr>
          <w:sz w:val="20"/>
          <w:szCs w:val="20"/>
          <w:lang w:val="en-US"/>
        </w:rPr>
        <w:t xml:space="preserve"> is the input data frame containing expression values and clinical parameters:</w:t>
      </w:r>
    </w:p>
    <w:p w14:paraId="262DFEBF" w14:textId="77777777" w:rsidR="00B63755" w:rsidRPr="00A934E0" w:rsidRDefault="00B63755" w:rsidP="00C07F59">
      <w:pPr>
        <w:spacing w:line="480" w:lineRule="auto"/>
        <w:ind w:firstLine="720"/>
        <w:rPr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Time</w:t>
      </w:r>
      <w:r w:rsidRPr="00A934E0">
        <w:rPr>
          <w:sz w:val="20"/>
          <w:szCs w:val="20"/>
          <w:lang w:val="en-US"/>
        </w:rPr>
        <w:t xml:space="preserve"> is the Survival time</w:t>
      </w:r>
    </w:p>
    <w:p w14:paraId="4D92B389" w14:textId="77777777" w:rsidR="00B63755" w:rsidRPr="00A934E0" w:rsidRDefault="00B63755" w:rsidP="00C07F59">
      <w:pPr>
        <w:spacing w:line="480" w:lineRule="auto"/>
        <w:ind w:firstLine="720"/>
        <w:rPr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Status</w:t>
      </w:r>
      <w:r w:rsidRPr="00A934E0">
        <w:rPr>
          <w:sz w:val="20"/>
          <w:szCs w:val="20"/>
          <w:lang w:val="en-US"/>
        </w:rPr>
        <w:t xml:space="preserve"> is the status of the patients (dead/alive)</w:t>
      </w:r>
    </w:p>
    <w:p w14:paraId="0FFE79EC" w14:textId="77777777" w:rsidR="00B63755" w:rsidRPr="00A934E0" w:rsidRDefault="00B63755" w:rsidP="00C07F59">
      <w:pPr>
        <w:spacing w:line="480" w:lineRule="auto"/>
        <w:ind w:firstLine="720"/>
        <w:rPr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Age</w:t>
      </w:r>
      <w:r w:rsidRPr="00A934E0">
        <w:rPr>
          <w:sz w:val="20"/>
          <w:szCs w:val="20"/>
          <w:lang w:val="en-US"/>
        </w:rPr>
        <w:t xml:space="preserve"> is the age of the patient</w:t>
      </w:r>
    </w:p>
    <w:p w14:paraId="3097FC79" w14:textId="77777777" w:rsidR="00B63755" w:rsidRPr="00A934E0" w:rsidRDefault="00B63755" w:rsidP="00C07F59">
      <w:pPr>
        <w:spacing w:line="480" w:lineRule="auto"/>
        <w:ind w:firstLine="720"/>
        <w:rPr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Sex</w:t>
      </w:r>
      <w:r w:rsidRPr="00A934E0">
        <w:rPr>
          <w:sz w:val="20"/>
          <w:szCs w:val="20"/>
          <w:lang w:val="en-US"/>
        </w:rPr>
        <w:t xml:space="preserve"> is the sex of the patient</w:t>
      </w:r>
    </w:p>
    <w:p w14:paraId="51BD681A" w14:textId="77777777" w:rsidR="00B63755" w:rsidRPr="00A934E0" w:rsidRDefault="00B63755" w:rsidP="00C07F59">
      <w:pPr>
        <w:spacing w:line="480" w:lineRule="auto"/>
        <w:ind w:firstLine="720"/>
        <w:rPr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>ISS</w:t>
      </w:r>
      <w:r w:rsidRPr="00A934E0">
        <w:rPr>
          <w:sz w:val="20"/>
          <w:szCs w:val="20"/>
          <w:lang w:val="en-US"/>
        </w:rPr>
        <w:t xml:space="preserve"> is the ISS stage</w:t>
      </w:r>
    </w:p>
    <w:p w14:paraId="6A4F857C" w14:textId="0BD8A710" w:rsidR="00B63755" w:rsidRPr="00A934E0" w:rsidRDefault="00B63755" w:rsidP="00C07F59">
      <w:pPr>
        <w:spacing w:line="480" w:lineRule="auto"/>
        <w:ind w:firstLine="720"/>
        <w:rPr>
          <w:color w:val="000000" w:themeColor="text1"/>
          <w:lang w:val="en-US"/>
        </w:rPr>
      </w:pPr>
      <w:r w:rsidRPr="00A934E0">
        <w:rPr>
          <w:i/>
          <w:iCs/>
          <w:color w:val="000000" w:themeColor="text1"/>
          <w:sz w:val="20"/>
          <w:szCs w:val="20"/>
          <w:lang w:val="en-US"/>
        </w:rPr>
        <w:t>i</w:t>
      </w:r>
      <w:r w:rsidRPr="00A934E0">
        <w:rPr>
          <w:color w:val="000000" w:themeColor="text1"/>
          <w:sz w:val="20"/>
          <w:szCs w:val="20"/>
          <w:lang w:val="en-US"/>
        </w:rPr>
        <w:t xml:space="preserve"> is the tested sRNA</w:t>
      </w:r>
    </w:p>
    <w:p w14:paraId="118DD9CC" w14:textId="77777777" w:rsidR="00602537" w:rsidRPr="00A934E0" w:rsidRDefault="00602537" w:rsidP="00B63755">
      <w:pPr>
        <w:spacing w:line="480" w:lineRule="auto"/>
        <w:rPr>
          <w:color w:val="000000" w:themeColor="text1"/>
          <w:lang w:val="en-US"/>
        </w:rPr>
      </w:pPr>
    </w:p>
    <w:p w14:paraId="17025BEC" w14:textId="7E4730EC" w:rsidR="00602537" w:rsidRPr="00A934E0" w:rsidRDefault="00602537" w:rsidP="00602537">
      <w:pPr>
        <w:spacing w:line="480" w:lineRule="auto"/>
        <w:rPr>
          <w:color w:val="000000" w:themeColor="text1"/>
          <w:lang w:val="en-US"/>
        </w:rPr>
      </w:pPr>
      <w:r w:rsidRPr="00A934E0">
        <w:rPr>
          <w:color w:val="000000" w:themeColor="text1"/>
          <w:lang w:val="en-US"/>
        </w:rPr>
        <w:t xml:space="preserve">The following </w:t>
      </w:r>
      <w:r w:rsidRPr="00A934E0">
        <w:rPr>
          <w:i/>
          <w:iCs/>
          <w:color w:val="000000" w:themeColor="text1"/>
          <w:lang w:val="en-US"/>
        </w:rPr>
        <w:t>coxph</w:t>
      </w:r>
      <w:r w:rsidRPr="00A934E0">
        <w:rPr>
          <w:color w:val="000000" w:themeColor="text1"/>
          <w:lang w:val="en-US"/>
        </w:rPr>
        <w:t xml:space="preserve">-model was used for the multivariate analysis: </w:t>
      </w:r>
    </w:p>
    <w:p w14:paraId="0C2CC480" w14:textId="77777777" w:rsidR="00602537" w:rsidRPr="00A934E0" w:rsidRDefault="00602537" w:rsidP="00602537">
      <w:pPr>
        <w:spacing w:line="480" w:lineRule="auto"/>
        <w:rPr>
          <w:color w:val="000000" w:themeColor="text1"/>
          <w:lang w:val="en-US"/>
        </w:rPr>
      </w:pPr>
    </w:p>
    <w:p w14:paraId="508D3198" w14:textId="77777777" w:rsidR="00602537" w:rsidRPr="00A934E0" w:rsidRDefault="00602537" w:rsidP="00473759">
      <w:pPr>
        <w:spacing w:line="480" w:lineRule="auto"/>
        <w:ind w:left="720"/>
        <w:rPr>
          <w:color w:val="000000" w:themeColor="text1"/>
          <w:sz w:val="20"/>
          <w:szCs w:val="20"/>
          <w:lang w:val="en-US"/>
        </w:rPr>
      </w:pPr>
      <w:r w:rsidRPr="00A934E0">
        <w:rPr>
          <w:color w:val="000000" w:themeColor="text1"/>
          <w:sz w:val="20"/>
          <w:szCs w:val="20"/>
          <w:lang w:val="en-US"/>
        </w:rPr>
        <w:lastRenderedPageBreak/>
        <w:t xml:space="preserve">coxph(Surv(Time, Status)  ~miR_105_5p+Age+Sex+ISS+Hemoglobin+ Creatine+ Calsium+ Albumin+ Beta2_Microglobulin, data = as.data.frame((data.df))) </w:t>
      </w:r>
    </w:p>
    <w:p w14:paraId="0308728F" w14:textId="77777777" w:rsidR="00B63755" w:rsidRPr="00A934E0" w:rsidRDefault="00B63755">
      <w:pPr>
        <w:rPr>
          <w:b/>
          <w:bCs/>
          <w:lang w:val="en-US"/>
        </w:rPr>
      </w:pPr>
    </w:p>
    <w:p w14:paraId="7DDC4B84" w14:textId="074A0F1B" w:rsidR="007C0A83" w:rsidRPr="00A934E0" w:rsidRDefault="007C0A83">
      <w:pPr>
        <w:rPr>
          <w:lang w:val="en-US"/>
        </w:rPr>
      </w:pPr>
    </w:p>
    <w:p w14:paraId="59137DBF" w14:textId="77777777" w:rsidR="00FF583A" w:rsidRPr="00A934E0" w:rsidRDefault="00FF583A" w:rsidP="00C71214">
      <w:pPr>
        <w:spacing w:line="480" w:lineRule="auto"/>
        <w:rPr>
          <w:lang w:val="en-US"/>
        </w:rPr>
      </w:pPr>
    </w:p>
    <w:p w14:paraId="1D7367F4" w14:textId="59392172" w:rsidR="00FF583A" w:rsidRPr="00A934E0" w:rsidRDefault="00FF583A" w:rsidP="00C71214">
      <w:pPr>
        <w:spacing w:line="480" w:lineRule="auto"/>
        <w:rPr>
          <w:lang w:val="en-US"/>
        </w:rPr>
      </w:pPr>
      <w:r w:rsidRPr="00A934E0">
        <w:rPr>
          <w:b/>
          <w:bCs/>
          <w:lang w:val="en-US"/>
        </w:rPr>
        <w:t xml:space="preserve">Kaplan–Meier survival curves </w:t>
      </w:r>
    </w:p>
    <w:p w14:paraId="666D9B4F" w14:textId="25E3F80F" w:rsidR="00C71214" w:rsidRPr="00A934E0" w:rsidRDefault="007C0A83" w:rsidP="00C71214">
      <w:pPr>
        <w:spacing w:line="480" w:lineRule="auto"/>
        <w:rPr>
          <w:lang w:val="en-US"/>
        </w:rPr>
      </w:pPr>
      <w:r w:rsidRPr="00A934E0">
        <w:rPr>
          <w:lang w:val="en-US"/>
        </w:rPr>
        <w:t xml:space="preserve">The survival curves and p-values </w:t>
      </w:r>
      <w:r w:rsidR="00FF583A" w:rsidRPr="00A934E0">
        <w:rPr>
          <w:lang w:val="en-US"/>
        </w:rPr>
        <w:t>were</w:t>
      </w:r>
      <w:r w:rsidRPr="00A934E0">
        <w:rPr>
          <w:lang w:val="en-US"/>
        </w:rPr>
        <w:t xml:space="preserve"> plotted and calculated using the function </w:t>
      </w:r>
      <w:r w:rsidRPr="00A934E0">
        <w:rPr>
          <w:i/>
          <w:lang w:val="en-US"/>
        </w:rPr>
        <w:t>ggsurvplot</w:t>
      </w:r>
      <w:r w:rsidRPr="00A934E0">
        <w:rPr>
          <w:lang w:val="en-US"/>
        </w:rPr>
        <w:t xml:space="preserve"> within the R package </w:t>
      </w:r>
      <w:r w:rsidRPr="00A934E0">
        <w:rPr>
          <w:i/>
          <w:lang w:val="en-US"/>
        </w:rPr>
        <w:t>survminer</w:t>
      </w:r>
      <w:r w:rsidR="00C71214" w:rsidRPr="00A934E0">
        <w:rPr>
          <w:lang w:val="en-US"/>
        </w:rPr>
        <w:t xml:space="preserve"> using the following script:</w:t>
      </w:r>
    </w:p>
    <w:p w14:paraId="3DBBC052" w14:textId="66CDD23E" w:rsidR="00C71214" w:rsidRPr="00A934E0" w:rsidRDefault="00C71214" w:rsidP="00C71214">
      <w:pPr>
        <w:spacing w:line="480" w:lineRule="auto"/>
        <w:rPr>
          <w:lang w:val="en-US"/>
        </w:rPr>
      </w:pPr>
    </w:p>
    <w:p w14:paraId="34E20D2C" w14:textId="1F166A34" w:rsidR="00C71214" w:rsidRPr="00A934E0" w:rsidRDefault="00C71214" w:rsidP="005D6A3E">
      <w:pPr>
        <w:spacing w:line="480" w:lineRule="auto"/>
        <w:ind w:left="720"/>
        <w:rPr>
          <w:i/>
          <w:iCs/>
          <w:sz w:val="20"/>
          <w:szCs w:val="20"/>
          <w:lang w:val="en-US"/>
        </w:rPr>
      </w:pPr>
      <w:r w:rsidRPr="00A934E0">
        <w:rPr>
          <w:i/>
          <w:iCs/>
          <w:sz w:val="20"/>
          <w:szCs w:val="20"/>
          <w:lang w:val="en-US"/>
        </w:rPr>
        <w:t xml:space="preserve">p &lt;- ggsurvplot(fitSurv.miRNA ,title="", xlab="Time (Yrs)", ylab="Overall survival probability", font.main = 8, font.x =  8,font.y = 8,font.tickslab = 8,font.legend=8,pval.size = 2,pval.coord = c(50,0.3), size=0.4,legend = "right",censor.size=2,break.time.by = 365,  pval ="", palette = c("#3182bd", "#de2d26"), ggtheme = theme_classic(),risk.table = T, fontsize = 2 , tables.theme = theme_cleantable(), xscale=365.25, xlim=c(0,7*365), legend.title = "",legend.labs = c("")) </w:t>
      </w:r>
    </w:p>
    <w:p w14:paraId="567B21C5" w14:textId="77777777" w:rsidR="005C72E6" w:rsidRPr="00A934E0" w:rsidRDefault="005C72E6" w:rsidP="005C72E6">
      <w:pPr>
        <w:spacing w:line="480" w:lineRule="auto"/>
        <w:rPr>
          <w:i/>
          <w:iCs/>
          <w:sz w:val="20"/>
          <w:szCs w:val="20"/>
          <w:lang w:val="en-US"/>
        </w:rPr>
      </w:pPr>
    </w:p>
    <w:p w14:paraId="333C8E78" w14:textId="25588A51" w:rsidR="00C71214" w:rsidRPr="00A934E0" w:rsidRDefault="00C71214" w:rsidP="005D6A3E">
      <w:pPr>
        <w:spacing w:line="480" w:lineRule="auto"/>
        <w:ind w:left="720"/>
        <w:rPr>
          <w:lang w:val="en-US"/>
        </w:rPr>
      </w:pPr>
      <w:r w:rsidRPr="00A934E0">
        <w:rPr>
          <w:i/>
          <w:iCs/>
          <w:sz w:val="20"/>
          <w:szCs w:val="20"/>
          <w:lang w:val="en-US"/>
        </w:rPr>
        <w:t xml:space="preserve">p$table &lt;- p$table +  theme(plot.title = element_text(size = 8, color = "black", face = "bold"),axis.text.y = element_blank(),axis.ticks.y = element_line(colour = c("#de2d26","#3182bd"),size=1),axis.ticks.length=unit(.4, "cm")) </w:t>
      </w:r>
    </w:p>
    <w:p w14:paraId="35325D92" w14:textId="1123550D" w:rsidR="00C71214" w:rsidRPr="00A934E0" w:rsidRDefault="005D6A3E" w:rsidP="00C71214">
      <w:pPr>
        <w:spacing w:line="480" w:lineRule="auto"/>
        <w:rPr>
          <w:lang w:val="en-US"/>
        </w:rPr>
      </w:pPr>
      <w:r w:rsidRPr="00A934E0">
        <w:rPr>
          <w:lang w:val="en-US"/>
        </w:rPr>
        <w:tab/>
      </w:r>
    </w:p>
    <w:p w14:paraId="13829464" w14:textId="7CECBEA7" w:rsidR="005D6A3E" w:rsidRPr="00A934E0" w:rsidRDefault="005D6A3E" w:rsidP="00C71214">
      <w:pPr>
        <w:spacing w:line="480" w:lineRule="auto"/>
        <w:rPr>
          <w:lang w:val="en-US"/>
        </w:rPr>
      </w:pPr>
      <w:r w:rsidRPr="00A934E0">
        <w:rPr>
          <w:lang w:val="en-US"/>
        </w:rPr>
        <w:tab/>
      </w:r>
      <w:r w:rsidRPr="00A934E0">
        <w:rPr>
          <w:i/>
          <w:iCs/>
          <w:sz w:val="20"/>
          <w:szCs w:val="20"/>
          <w:lang w:val="en-US"/>
        </w:rPr>
        <w:t xml:space="preserve">fitSurv.miRNA </w:t>
      </w:r>
      <w:r w:rsidRPr="00A934E0">
        <w:rPr>
          <w:sz w:val="20"/>
          <w:szCs w:val="20"/>
          <w:lang w:val="en-US"/>
        </w:rPr>
        <w:t>is the survfit object</w:t>
      </w:r>
    </w:p>
    <w:p w14:paraId="79D9C665" w14:textId="77777777" w:rsidR="00A36852" w:rsidRPr="00A934E0" w:rsidRDefault="00A36852" w:rsidP="00A36852">
      <w:pPr>
        <w:spacing w:line="480" w:lineRule="auto"/>
        <w:rPr>
          <w:i/>
          <w:iCs/>
          <w:lang w:val="en-US"/>
        </w:rPr>
      </w:pPr>
    </w:p>
    <w:p w14:paraId="04FBD854" w14:textId="70FD3CDC" w:rsidR="00CB0480" w:rsidRPr="00A934E0" w:rsidRDefault="00CB0480" w:rsidP="007C0A83">
      <w:pPr>
        <w:spacing w:line="480" w:lineRule="auto"/>
        <w:rPr>
          <w:b/>
          <w:lang w:val="en-US"/>
        </w:rPr>
      </w:pPr>
      <w:r w:rsidRPr="00A934E0">
        <w:rPr>
          <w:b/>
          <w:lang w:val="en-US"/>
        </w:rPr>
        <w:t xml:space="preserve">References: </w:t>
      </w:r>
    </w:p>
    <w:p w14:paraId="38AAE14D" w14:textId="77777777" w:rsidR="00CB0480" w:rsidRPr="00A934E0" w:rsidRDefault="00CB0480" w:rsidP="00CB0480">
      <w:pPr>
        <w:rPr>
          <w:lang w:val="en-US"/>
        </w:rPr>
      </w:pPr>
    </w:p>
    <w:p w14:paraId="704B51D4" w14:textId="77777777" w:rsidR="00621ACC" w:rsidRPr="00A934E0" w:rsidRDefault="00CB0480" w:rsidP="00621ACC">
      <w:pPr>
        <w:pStyle w:val="EndNoteBibliography"/>
        <w:ind w:left="720" w:hanging="720"/>
        <w:rPr>
          <w:noProof/>
        </w:rPr>
      </w:pPr>
      <w:r w:rsidRPr="00A934E0">
        <w:fldChar w:fldCharType="begin"/>
      </w:r>
      <w:r w:rsidRPr="00A934E0">
        <w:instrText xml:space="preserve"> ADDIN EN.REFLIST </w:instrText>
      </w:r>
      <w:r w:rsidRPr="00A934E0">
        <w:fldChar w:fldCharType="separate"/>
      </w:r>
      <w:r w:rsidR="00621ACC" w:rsidRPr="00A934E0">
        <w:rPr>
          <w:noProof/>
        </w:rPr>
        <w:t>1.</w:t>
      </w:r>
      <w:r w:rsidR="00621ACC" w:rsidRPr="00A934E0">
        <w:rPr>
          <w:noProof/>
        </w:rPr>
        <w:tab/>
        <w:t xml:space="preserve">Mjelle, R., et al., </w:t>
      </w:r>
      <w:r w:rsidR="00621ACC" w:rsidRPr="00A934E0">
        <w:rPr>
          <w:i/>
          <w:noProof/>
        </w:rPr>
        <w:t>Identification of metastasis-associated microRNAs in serum from rectal cancer patients.</w:t>
      </w:r>
      <w:r w:rsidR="00621ACC" w:rsidRPr="00A934E0">
        <w:rPr>
          <w:noProof/>
        </w:rPr>
        <w:t xml:space="preserve"> Oncotarget, 2017. </w:t>
      </w:r>
      <w:r w:rsidR="00621ACC" w:rsidRPr="00A934E0">
        <w:rPr>
          <w:b/>
          <w:noProof/>
        </w:rPr>
        <w:t>8</w:t>
      </w:r>
      <w:r w:rsidR="00621ACC" w:rsidRPr="00A934E0">
        <w:rPr>
          <w:noProof/>
        </w:rPr>
        <w:t>(52): p. 90077-90089.</w:t>
      </w:r>
    </w:p>
    <w:p w14:paraId="57AB70D2" w14:textId="77777777" w:rsidR="00621ACC" w:rsidRPr="00A934E0" w:rsidRDefault="00621ACC" w:rsidP="00621ACC">
      <w:pPr>
        <w:pStyle w:val="EndNoteBibliography"/>
        <w:ind w:left="720" w:hanging="720"/>
        <w:rPr>
          <w:noProof/>
        </w:rPr>
      </w:pPr>
      <w:r w:rsidRPr="00A934E0">
        <w:rPr>
          <w:noProof/>
        </w:rPr>
        <w:t>2.</w:t>
      </w:r>
      <w:r w:rsidRPr="00A934E0">
        <w:rPr>
          <w:noProof/>
        </w:rPr>
        <w:tab/>
        <w:t xml:space="preserve">Kryukov, F., et al., </w:t>
      </w:r>
      <w:r w:rsidRPr="00A934E0">
        <w:rPr>
          <w:i/>
          <w:noProof/>
        </w:rPr>
        <w:t>Centrosome associated genes pattern for risk sub-stratification in multiple myeloma.</w:t>
      </w:r>
      <w:r w:rsidRPr="00A934E0">
        <w:rPr>
          <w:noProof/>
        </w:rPr>
        <w:t xml:space="preserve"> J Transl Med, 2016. </w:t>
      </w:r>
      <w:r w:rsidRPr="00A934E0">
        <w:rPr>
          <w:b/>
          <w:noProof/>
        </w:rPr>
        <w:t>14</w:t>
      </w:r>
      <w:r w:rsidRPr="00A934E0">
        <w:rPr>
          <w:noProof/>
        </w:rPr>
        <w:t>(1): p. 150.</w:t>
      </w:r>
    </w:p>
    <w:p w14:paraId="3E14A840" w14:textId="555276FB" w:rsidR="00CB0480" w:rsidRPr="00A934E0" w:rsidRDefault="00CB0480" w:rsidP="00CB0480">
      <w:pPr>
        <w:spacing w:line="480" w:lineRule="auto"/>
        <w:rPr>
          <w:lang w:val="en-US"/>
        </w:rPr>
      </w:pPr>
      <w:r w:rsidRPr="00A934E0">
        <w:rPr>
          <w:lang w:val="en-US"/>
        </w:rPr>
        <w:fldChar w:fldCharType="end"/>
      </w:r>
    </w:p>
    <w:p w14:paraId="6DB1F9EA" w14:textId="77777777" w:rsidR="00621ACC" w:rsidRPr="00A934E0" w:rsidRDefault="00621ACC" w:rsidP="00CB0480">
      <w:pPr>
        <w:spacing w:line="480" w:lineRule="auto"/>
        <w:rPr>
          <w:b/>
          <w:lang w:val="en-US"/>
        </w:rPr>
      </w:pPr>
    </w:p>
    <w:p w14:paraId="73DF6338" w14:textId="5BEE467D" w:rsidR="007C0A83" w:rsidRPr="00A934E0" w:rsidRDefault="007C0A83" w:rsidP="007C0A83">
      <w:pPr>
        <w:spacing w:line="480" w:lineRule="auto"/>
        <w:rPr>
          <w:lang w:val="en-US"/>
        </w:rPr>
      </w:pPr>
    </w:p>
    <w:p w14:paraId="5F132005" w14:textId="77777777" w:rsidR="007C0A83" w:rsidRPr="00A934E0" w:rsidRDefault="007C0A83" w:rsidP="007C0A83">
      <w:pPr>
        <w:spacing w:line="480" w:lineRule="auto"/>
        <w:rPr>
          <w:lang w:val="en-US"/>
        </w:rPr>
      </w:pPr>
    </w:p>
    <w:p w14:paraId="1C4F6651" w14:textId="77777777" w:rsidR="007C0A83" w:rsidRPr="00A934E0" w:rsidRDefault="007C0A83" w:rsidP="007C0A83">
      <w:pPr>
        <w:spacing w:line="480" w:lineRule="auto"/>
        <w:rPr>
          <w:lang w:val="en-US"/>
        </w:rPr>
      </w:pPr>
    </w:p>
    <w:p w14:paraId="3F32247F" w14:textId="01AF03FE" w:rsidR="007C0A83" w:rsidRPr="00A934E0" w:rsidRDefault="007C0A83">
      <w:pPr>
        <w:rPr>
          <w:lang w:val="en-US"/>
        </w:rPr>
      </w:pPr>
    </w:p>
    <w:p w14:paraId="3238D14F" w14:textId="48C299B8" w:rsidR="007C0A83" w:rsidRPr="00A934E0" w:rsidRDefault="007C0A83">
      <w:pPr>
        <w:rPr>
          <w:lang w:val="en-US"/>
        </w:rPr>
      </w:pPr>
    </w:p>
    <w:p w14:paraId="6C900667" w14:textId="77777777" w:rsidR="007C0A83" w:rsidRPr="00A934E0" w:rsidRDefault="007C0A83">
      <w:pPr>
        <w:rPr>
          <w:lang w:val="en-US"/>
        </w:rPr>
      </w:pPr>
    </w:p>
    <w:p w14:paraId="26C50893" w14:textId="6FE6B575" w:rsidR="00930BF7" w:rsidRPr="00A934E0" w:rsidRDefault="00930BF7" w:rsidP="00B05485">
      <w:pPr>
        <w:rPr>
          <w:lang w:val="en-US"/>
        </w:rPr>
      </w:pPr>
    </w:p>
    <w:p w14:paraId="4C30A91F" w14:textId="77777777" w:rsidR="00A36852" w:rsidRPr="00A934E0" w:rsidRDefault="00A36852" w:rsidP="00A74DB9">
      <w:pPr>
        <w:spacing w:line="480" w:lineRule="auto"/>
        <w:rPr>
          <w:b/>
          <w:lang w:val="en-US"/>
        </w:rPr>
      </w:pPr>
    </w:p>
    <w:p w14:paraId="384D106F" w14:textId="4C1B3E45" w:rsidR="00A74DB9" w:rsidRPr="00A934E0" w:rsidRDefault="00A74DB9" w:rsidP="00A74DB9">
      <w:pPr>
        <w:spacing w:line="480" w:lineRule="auto"/>
        <w:rPr>
          <w:lang w:val="en-US"/>
        </w:rPr>
      </w:pPr>
      <w:r w:rsidRPr="00A934E0">
        <w:rPr>
          <w:b/>
          <w:lang w:val="en-US"/>
        </w:rPr>
        <w:t>Supplementary Fig</w:t>
      </w:r>
      <w:r w:rsidR="00B93F83" w:rsidRPr="00A934E0">
        <w:rPr>
          <w:b/>
          <w:lang w:val="en-US"/>
        </w:rPr>
        <w:t>ure S</w:t>
      </w:r>
      <w:r w:rsidRPr="00A934E0">
        <w:rPr>
          <w:b/>
          <w:lang w:val="en-US"/>
        </w:rPr>
        <w:t xml:space="preserve">1: Small RNA sequencing statistics. A) </w:t>
      </w:r>
      <w:r w:rsidRPr="00A934E0">
        <w:rPr>
          <w:lang w:val="en-US"/>
        </w:rPr>
        <w:t>The panel</w:t>
      </w:r>
      <w:r w:rsidRPr="00A934E0">
        <w:rPr>
          <w:b/>
          <w:lang w:val="en-US"/>
        </w:rPr>
        <w:t xml:space="preserve"> </w:t>
      </w:r>
      <w:r w:rsidRPr="00A934E0">
        <w:rPr>
          <w:lang w:val="en-US"/>
        </w:rPr>
        <w:t>“Library size”</w:t>
      </w:r>
      <w:r w:rsidRPr="00A934E0">
        <w:rPr>
          <w:b/>
          <w:lang w:val="en-US"/>
        </w:rPr>
        <w:t xml:space="preserve"> </w:t>
      </w:r>
      <w:r w:rsidRPr="00A934E0">
        <w:rPr>
          <w:lang w:val="en-US"/>
        </w:rPr>
        <w:t xml:space="preserve">shows the total library size. The panel “Alignments” shows the alignment-statistics, including reads that align at one position in the genome (SingleAligned); reads that align at multiple positions in the genome (MultiAligned); and reads that do not align to the human genome (NotAligned). The panel “Features” shows reads that overlap either the miRNA database miRBase, or the database of non-coding RNAs, RNACentral. The panel “RNAs” shows the absolute expression of the main RNA-classes detected. </w:t>
      </w:r>
      <w:r w:rsidRPr="00A934E0">
        <w:rPr>
          <w:b/>
          <w:lang w:val="en-US"/>
        </w:rPr>
        <w:t xml:space="preserve">B) </w:t>
      </w:r>
      <w:r w:rsidRPr="00A934E0">
        <w:rPr>
          <w:lang w:val="en-US"/>
        </w:rPr>
        <w:t xml:space="preserve">Shown is the relative expression of the main RNA-classes detected. </w:t>
      </w:r>
      <w:r w:rsidRPr="00A934E0">
        <w:rPr>
          <w:b/>
          <w:lang w:val="en-US"/>
        </w:rPr>
        <w:t>C)</w:t>
      </w:r>
      <w:r w:rsidRPr="00A934E0">
        <w:rPr>
          <w:lang w:val="en-US"/>
        </w:rPr>
        <w:t xml:space="preserve"> A reprehensive bioanalyzer result for the miRNA libraries. Shown is the length of the adapter-ligated RNA fragments after small RNA sequencing library preparation. The “miRNA-peak” has a length of 151 nucleotides</w:t>
      </w:r>
      <w:r w:rsidR="00FF0F3B" w:rsidRPr="00A934E0">
        <w:rPr>
          <w:lang w:val="en-US"/>
        </w:rPr>
        <w:t xml:space="preserve"> (due to adapters)</w:t>
      </w:r>
      <w:r w:rsidRPr="00A934E0">
        <w:rPr>
          <w:lang w:val="en-US"/>
        </w:rPr>
        <w:t>. The peaks longer than the miRNA-peak represent snoRNA, tRNAs and other non-coding RNAs.</w:t>
      </w:r>
    </w:p>
    <w:p w14:paraId="245E419A" w14:textId="7C92F285" w:rsidR="00A36852" w:rsidRPr="00A934E0" w:rsidRDefault="00A36852" w:rsidP="009B00D7">
      <w:pPr>
        <w:spacing w:line="480" w:lineRule="auto"/>
        <w:rPr>
          <w:bCs/>
          <w:lang w:val="en-US"/>
        </w:rPr>
      </w:pPr>
      <w:r w:rsidRPr="00A934E0">
        <w:rPr>
          <w:b/>
          <w:lang w:val="en-US"/>
        </w:rPr>
        <w:t>Supplementary Figure S</w:t>
      </w:r>
      <w:r w:rsidR="00E046D9" w:rsidRPr="00A934E0">
        <w:rPr>
          <w:b/>
          <w:lang w:val="en-US"/>
        </w:rPr>
        <w:t>2</w:t>
      </w:r>
      <w:r w:rsidRPr="00A934E0">
        <w:rPr>
          <w:b/>
          <w:lang w:val="en-US"/>
        </w:rPr>
        <w:t xml:space="preserve">: </w:t>
      </w:r>
      <w:r w:rsidRPr="00A934E0">
        <w:rPr>
          <w:bCs/>
          <w:lang w:val="en-US"/>
        </w:rPr>
        <w:t>Results from Cutoff Finder</w:t>
      </w:r>
      <w:r w:rsidR="00A931CC" w:rsidRPr="00A934E0">
        <w:rPr>
          <w:bCs/>
          <w:lang w:val="en-US"/>
        </w:rPr>
        <w:t xml:space="preserve"> and survival curves</w:t>
      </w:r>
      <w:r w:rsidRPr="00A934E0">
        <w:rPr>
          <w:bCs/>
          <w:lang w:val="en-US"/>
        </w:rPr>
        <w:t>.</w:t>
      </w:r>
      <w:r w:rsidRPr="00A934E0">
        <w:rPr>
          <w:b/>
          <w:lang w:val="en-US"/>
        </w:rPr>
        <w:t xml:space="preserve"> </w:t>
      </w:r>
      <w:r w:rsidR="0038299E" w:rsidRPr="00A934E0">
        <w:rPr>
          <w:b/>
          <w:lang w:val="en-US"/>
        </w:rPr>
        <w:t xml:space="preserve">A) </w:t>
      </w:r>
      <w:r w:rsidR="00E046D9" w:rsidRPr="00A934E0">
        <w:rPr>
          <w:bCs/>
          <w:lang w:val="en-US"/>
        </w:rPr>
        <w:t xml:space="preserve">Histogram of miR-105-5p expression values. A mixture model of two Gaussian distributions is fitted to each of the histograms (red lines). Vertical lines designate the optimal cutoffs derived from the mixture model using Cutoff Finder. </w:t>
      </w:r>
      <w:r w:rsidR="00A931CC" w:rsidRPr="00A934E0">
        <w:rPr>
          <w:b/>
          <w:lang w:val="en-US"/>
        </w:rPr>
        <w:t>B)</w:t>
      </w:r>
      <w:r w:rsidR="00A931CC" w:rsidRPr="00A934E0">
        <w:rPr>
          <w:bCs/>
          <w:lang w:val="en-US"/>
        </w:rPr>
        <w:t xml:space="preserve"> Survival curves for patients with t(4;14) translocation (n=9) and patients without t(4;15) translocation (n=54). </w:t>
      </w:r>
      <w:r w:rsidR="00A931CC" w:rsidRPr="00A934E0">
        <w:rPr>
          <w:b/>
          <w:lang w:val="en-US"/>
        </w:rPr>
        <w:t xml:space="preserve">C) </w:t>
      </w:r>
      <w:r w:rsidR="00A931CC" w:rsidRPr="00A934E0">
        <w:rPr>
          <w:bCs/>
          <w:lang w:val="en-US"/>
        </w:rPr>
        <w:t xml:space="preserve">Survival curves for patients with 17p13 deletion (n=7) and patients without 17p13 deletion (n=60). </w:t>
      </w:r>
    </w:p>
    <w:p w14:paraId="113BEB17" w14:textId="77777777" w:rsidR="00955F3B" w:rsidRPr="00A934E0" w:rsidRDefault="00955F3B" w:rsidP="009B00D7">
      <w:pPr>
        <w:spacing w:line="480" w:lineRule="auto"/>
        <w:rPr>
          <w:bCs/>
          <w:lang w:val="en-US"/>
        </w:rPr>
      </w:pPr>
    </w:p>
    <w:p w14:paraId="7E53901E" w14:textId="26867FBD" w:rsidR="00955F3B" w:rsidRPr="0065527B" w:rsidRDefault="00955F3B" w:rsidP="009B00D7">
      <w:pPr>
        <w:spacing w:line="480" w:lineRule="auto"/>
        <w:rPr>
          <w:b/>
          <w:lang w:val="en-US"/>
        </w:rPr>
      </w:pPr>
      <w:r w:rsidRPr="00A934E0">
        <w:rPr>
          <w:b/>
          <w:lang w:val="en-US"/>
        </w:rPr>
        <w:t>Supplementary Figure S3:</w:t>
      </w:r>
      <w:r w:rsidR="00C7103A" w:rsidRPr="00A934E0">
        <w:rPr>
          <w:bCs/>
          <w:lang w:val="en-US"/>
        </w:rPr>
        <w:t xml:space="preserve"> Survival curves for miR-105-5p.</w:t>
      </w:r>
      <w:r w:rsidR="00C7103A" w:rsidRPr="00A934E0">
        <w:rPr>
          <w:b/>
          <w:lang w:val="en-US"/>
        </w:rPr>
        <w:t xml:space="preserve"> A) </w:t>
      </w:r>
      <w:r w:rsidR="00C7103A" w:rsidRPr="00A934E0">
        <w:rPr>
          <w:bCs/>
          <w:lang w:val="en-US"/>
        </w:rPr>
        <w:t>Survival curves for patients with high and low miR-105-5p in combination with ISS stage</w:t>
      </w:r>
      <w:r w:rsidR="00A37718" w:rsidRPr="00A934E0">
        <w:rPr>
          <w:bCs/>
          <w:lang w:val="en-US"/>
        </w:rPr>
        <w:t>.</w:t>
      </w:r>
    </w:p>
    <w:sectPr w:rsidR="00955F3B" w:rsidRPr="0065527B" w:rsidSect="00AE1B2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6AF6"/>
    <w:multiLevelType w:val="hybridMultilevel"/>
    <w:tmpl w:val="ACDE4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47C22"/>
    <w:multiLevelType w:val="hybridMultilevel"/>
    <w:tmpl w:val="EABCA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B79A8"/>
    <w:multiLevelType w:val="hybridMultilevel"/>
    <w:tmpl w:val="EEA85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A493D"/>
    <w:multiLevelType w:val="hybridMultilevel"/>
    <w:tmpl w:val="C6DE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717960">
    <w:abstractNumId w:val="0"/>
  </w:num>
  <w:num w:numId="2" w16cid:durableId="1033386586">
    <w:abstractNumId w:val="2"/>
  </w:num>
  <w:num w:numId="3" w16cid:durableId="2131624628">
    <w:abstractNumId w:val="1"/>
  </w:num>
  <w:num w:numId="4" w16cid:durableId="880092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02tv9didwvr4e9pztv0arn0rdp5svadp5v&quot;&gt;NFR2022&lt;record-ids&gt;&lt;item&gt;10&lt;/item&gt;&lt;/record-ids&gt;&lt;/item&gt;&lt;/Libraries&gt;"/>
  </w:docVars>
  <w:rsids>
    <w:rsidRoot w:val="00A74DB9"/>
    <w:rsid w:val="00056E38"/>
    <w:rsid w:val="000E69E1"/>
    <w:rsid w:val="0010290D"/>
    <w:rsid w:val="00144AE9"/>
    <w:rsid w:val="00211EB6"/>
    <w:rsid w:val="00226A47"/>
    <w:rsid w:val="002E2267"/>
    <w:rsid w:val="00316003"/>
    <w:rsid w:val="0038299E"/>
    <w:rsid w:val="00393DE9"/>
    <w:rsid w:val="00467932"/>
    <w:rsid w:val="00473759"/>
    <w:rsid w:val="005136E1"/>
    <w:rsid w:val="00581AD6"/>
    <w:rsid w:val="005C72E6"/>
    <w:rsid w:val="005D6A3E"/>
    <w:rsid w:val="00602537"/>
    <w:rsid w:val="00607A49"/>
    <w:rsid w:val="00621ACC"/>
    <w:rsid w:val="0065527B"/>
    <w:rsid w:val="00663D6C"/>
    <w:rsid w:val="006B34D6"/>
    <w:rsid w:val="006D2BCD"/>
    <w:rsid w:val="00722E42"/>
    <w:rsid w:val="007402B1"/>
    <w:rsid w:val="007578A7"/>
    <w:rsid w:val="007A7818"/>
    <w:rsid w:val="007C0A83"/>
    <w:rsid w:val="007C1847"/>
    <w:rsid w:val="007F347A"/>
    <w:rsid w:val="0080027C"/>
    <w:rsid w:val="008421FB"/>
    <w:rsid w:val="00842929"/>
    <w:rsid w:val="00864816"/>
    <w:rsid w:val="0088167E"/>
    <w:rsid w:val="008D18AB"/>
    <w:rsid w:val="00930BF7"/>
    <w:rsid w:val="00955F3B"/>
    <w:rsid w:val="00991827"/>
    <w:rsid w:val="009B00D7"/>
    <w:rsid w:val="009E1583"/>
    <w:rsid w:val="00A16582"/>
    <w:rsid w:val="00A353EA"/>
    <w:rsid w:val="00A36852"/>
    <w:rsid w:val="00A37718"/>
    <w:rsid w:val="00A56A15"/>
    <w:rsid w:val="00A6581B"/>
    <w:rsid w:val="00A74DB9"/>
    <w:rsid w:val="00A81600"/>
    <w:rsid w:val="00A915DA"/>
    <w:rsid w:val="00A931CC"/>
    <w:rsid w:val="00A934E0"/>
    <w:rsid w:val="00AE1B27"/>
    <w:rsid w:val="00B05485"/>
    <w:rsid w:val="00B13C47"/>
    <w:rsid w:val="00B63755"/>
    <w:rsid w:val="00B93F83"/>
    <w:rsid w:val="00C07F59"/>
    <w:rsid w:val="00C11582"/>
    <w:rsid w:val="00C1291F"/>
    <w:rsid w:val="00C43026"/>
    <w:rsid w:val="00C7103A"/>
    <w:rsid w:val="00C71214"/>
    <w:rsid w:val="00C94D86"/>
    <w:rsid w:val="00CB0480"/>
    <w:rsid w:val="00CC488F"/>
    <w:rsid w:val="00D12727"/>
    <w:rsid w:val="00D13891"/>
    <w:rsid w:val="00D15884"/>
    <w:rsid w:val="00D541A4"/>
    <w:rsid w:val="00E034C5"/>
    <w:rsid w:val="00E046D9"/>
    <w:rsid w:val="00E07D05"/>
    <w:rsid w:val="00E22385"/>
    <w:rsid w:val="00E55AD9"/>
    <w:rsid w:val="00E77385"/>
    <w:rsid w:val="00F07CEF"/>
    <w:rsid w:val="00F316AC"/>
    <w:rsid w:val="00FA2BC4"/>
    <w:rsid w:val="00FF0F3B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CF5F0F"/>
  <w15:chartTrackingRefBased/>
  <w15:docId w15:val="{03C98330-2D5F-7D40-8279-6D93A67D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DB9"/>
    <w:rPr>
      <w:rFonts w:ascii="Times New Roman" w:eastAsia="Times New Roman" w:hAnsi="Times New Roman" w:cs="Times New Roman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74DB9"/>
    <w:rPr>
      <w:sz w:val="16"/>
      <w:szCs w:val="16"/>
    </w:rPr>
  </w:style>
  <w:style w:type="character" w:customStyle="1" w:styleId="ng-binding">
    <w:name w:val="ng-binding"/>
    <w:basedOn w:val="DefaultParagraphFont"/>
    <w:rsid w:val="00A74DB9"/>
  </w:style>
  <w:style w:type="character" w:customStyle="1" w:styleId="variationproductsku">
    <w:name w:val="variationproductsku"/>
    <w:basedOn w:val="DefaultParagraphFont"/>
    <w:rsid w:val="00A74DB9"/>
  </w:style>
  <w:style w:type="character" w:customStyle="1" w:styleId="st">
    <w:name w:val="st"/>
    <w:basedOn w:val="DefaultParagraphFont"/>
    <w:rsid w:val="00A74DB9"/>
  </w:style>
  <w:style w:type="table" w:styleId="TableGrid">
    <w:name w:val="Table Grid"/>
    <w:basedOn w:val="TableNormal"/>
    <w:uiPriority w:val="39"/>
    <w:rsid w:val="00B05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text"/>
    <w:basedOn w:val="Normal"/>
    <w:rsid w:val="00B05485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CB0480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0480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B0480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B0480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C712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2B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8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63755"/>
    <w:rPr>
      <w:rFonts w:ascii="Times New Roman" w:eastAsia="Times New Roman" w:hAnsi="Times New Roman" w:cs="Times New Roman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Mjelle</dc:creator>
  <cp:keywords/>
  <dc:description/>
  <cp:lastModifiedBy>Robin Mjelle</cp:lastModifiedBy>
  <cp:revision>9</cp:revision>
  <cp:lastPrinted>2021-08-17T06:14:00Z</cp:lastPrinted>
  <dcterms:created xsi:type="dcterms:W3CDTF">2022-08-21T18:42:00Z</dcterms:created>
  <dcterms:modified xsi:type="dcterms:W3CDTF">2022-11-09T08:00:00Z</dcterms:modified>
</cp:coreProperties>
</file>