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CFA" w:rsidRDefault="00DB4CFA" w:rsidP="002122E1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Direct cytotoxicity assay and ADCC assay protocol – Gaynor et al.</w:t>
      </w:r>
    </w:p>
    <w:p w:rsidR="00DB4CFA" w:rsidRPr="00FC32F2" w:rsidRDefault="00DB4CFA" w:rsidP="00DB4CF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SKBR3 and K562 t</w:t>
      </w:r>
      <w:r w:rsidRPr="00FC32F2">
        <w:rPr>
          <w:rFonts w:ascii="Arial" w:hAnsi="Arial" w:cs="Arial"/>
          <w:sz w:val="24"/>
          <w:szCs w:val="24"/>
        </w:rPr>
        <w:t xml:space="preserve">arget </w:t>
      </w:r>
      <w:r>
        <w:rPr>
          <w:rFonts w:ascii="Arial" w:hAnsi="Arial" w:cs="Arial"/>
          <w:sz w:val="24"/>
          <w:szCs w:val="24"/>
        </w:rPr>
        <w:t>c</w:t>
      </w:r>
      <w:r w:rsidRPr="00FC32F2">
        <w:rPr>
          <w:rFonts w:ascii="Arial" w:hAnsi="Arial" w:cs="Arial"/>
          <w:sz w:val="24"/>
          <w:szCs w:val="24"/>
        </w:rPr>
        <w:t xml:space="preserve">ells (TCs) were seeded 48 hours prior to assay commencement to achieve 70-80 % confluence on the day of the experiment. TCs were stained with 0.1 </w:t>
      </w:r>
      <w:proofErr w:type="spellStart"/>
      <w:r w:rsidRPr="00FC32F2">
        <w:rPr>
          <w:rFonts w:ascii="Arial" w:hAnsi="Arial" w:cs="Arial"/>
          <w:sz w:val="24"/>
          <w:szCs w:val="24"/>
        </w:rPr>
        <w:t>mM</w:t>
      </w:r>
      <w:proofErr w:type="spellEnd"/>
      <w:r w:rsidRPr="00FC32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2F2">
        <w:rPr>
          <w:rFonts w:ascii="Arial" w:hAnsi="Arial" w:cs="Arial"/>
          <w:sz w:val="24"/>
          <w:szCs w:val="24"/>
        </w:rPr>
        <w:t>carboxyfluorescein</w:t>
      </w:r>
      <w:proofErr w:type="spellEnd"/>
      <w:r w:rsidRPr="00FC32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2F2">
        <w:rPr>
          <w:rFonts w:ascii="Arial" w:hAnsi="Arial" w:cs="Arial"/>
          <w:sz w:val="24"/>
          <w:szCs w:val="24"/>
        </w:rPr>
        <w:t>succinimidyl</w:t>
      </w:r>
      <w:proofErr w:type="spellEnd"/>
      <w:r w:rsidRPr="00FC32F2">
        <w:rPr>
          <w:rFonts w:ascii="Arial" w:hAnsi="Arial" w:cs="Arial"/>
          <w:sz w:val="24"/>
          <w:szCs w:val="24"/>
        </w:rPr>
        <w:t xml:space="preserve"> ester (CFSE) (Sigma Aldrich 21888).</w:t>
      </w:r>
      <w:r>
        <w:rPr>
          <w:rFonts w:ascii="Arial" w:hAnsi="Arial" w:cs="Arial"/>
          <w:sz w:val="24"/>
          <w:szCs w:val="24"/>
        </w:rPr>
        <w:t xml:space="preserve"> </w:t>
      </w:r>
      <w:r w:rsidRPr="00FC32F2">
        <w:rPr>
          <w:rFonts w:ascii="Arial" w:hAnsi="Arial" w:cs="Arial"/>
          <w:sz w:val="24"/>
          <w:szCs w:val="24"/>
        </w:rPr>
        <w:t xml:space="preserve">Adherent cells were detached using </w:t>
      </w:r>
      <w:r>
        <w:rPr>
          <w:rFonts w:ascii="Arial" w:hAnsi="Arial" w:cs="Arial"/>
          <w:sz w:val="24"/>
          <w:szCs w:val="24"/>
        </w:rPr>
        <w:t xml:space="preserve">&lt;5 minute </w:t>
      </w:r>
      <w:r w:rsidRPr="00FC32F2">
        <w:rPr>
          <w:rFonts w:ascii="Arial" w:hAnsi="Arial" w:cs="Arial"/>
          <w:sz w:val="24"/>
          <w:szCs w:val="24"/>
        </w:rPr>
        <w:t>exposure to trypsin/EDTA. TC number and viability was determined using a flow cytometry-based method (</w:t>
      </w:r>
      <w:proofErr w:type="spellStart"/>
      <w:r>
        <w:rPr>
          <w:rFonts w:ascii="Arial" w:hAnsi="Arial" w:cs="Arial"/>
          <w:sz w:val="24"/>
          <w:szCs w:val="24"/>
        </w:rPr>
        <w:t>Luminex</w:t>
      </w:r>
      <w:proofErr w:type="spellEnd"/>
      <w:r w:rsidRPr="00FC32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2F2">
        <w:rPr>
          <w:rFonts w:ascii="Arial" w:hAnsi="Arial" w:cs="Arial"/>
          <w:sz w:val="24"/>
          <w:szCs w:val="24"/>
        </w:rPr>
        <w:t>Viacount</w:t>
      </w:r>
      <w:proofErr w:type="spellEnd"/>
      <w:r w:rsidRPr="00FC32F2">
        <w:rPr>
          <w:rFonts w:ascii="Arial" w:hAnsi="Arial" w:cs="Arial"/>
          <w:sz w:val="24"/>
          <w:szCs w:val="24"/>
        </w:rPr>
        <w:t>). TCs and PBMC effector cells (EC</w:t>
      </w:r>
      <w:r>
        <w:rPr>
          <w:rFonts w:ascii="Arial" w:hAnsi="Arial" w:cs="Arial"/>
          <w:sz w:val="24"/>
          <w:szCs w:val="24"/>
        </w:rPr>
        <w:t>s</w:t>
      </w:r>
      <w:r w:rsidRPr="00FC32F2">
        <w:rPr>
          <w:rFonts w:ascii="Arial" w:hAnsi="Arial" w:cs="Arial"/>
          <w:sz w:val="24"/>
          <w:szCs w:val="24"/>
        </w:rPr>
        <w:t>) were then normalized to 1.0-2.5 x 10</w:t>
      </w:r>
      <w:r w:rsidRPr="00FC32F2">
        <w:rPr>
          <w:rFonts w:ascii="Arial" w:hAnsi="Arial" w:cs="Arial"/>
          <w:sz w:val="24"/>
          <w:szCs w:val="24"/>
          <w:vertAlign w:val="superscript"/>
        </w:rPr>
        <w:t xml:space="preserve">5 </w:t>
      </w:r>
      <w:r w:rsidRPr="00FC32F2">
        <w:rPr>
          <w:rFonts w:ascii="Arial" w:hAnsi="Arial" w:cs="Arial"/>
          <w:sz w:val="24"/>
          <w:szCs w:val="24"/>
        </w:rPr>
        <w:t>cells/mL, depending on EC cell viability.</w:t>
      </w:r>
      <w:r w:rsidRPr="0000705F">
        <w:rPr>
          <w:rFonts w:ascii="Arial" w:hAnsi="Arial" w:cs="Arial"/>
          <w:sz w:val="24"/>
          <w:szCs w:val="24"/>
        </w:rPr>
        <w:t xml:space="preserve"> </w:t>
      </w:r>
      <w:r w:rsidRPr="00FC32F2">
        <w:rPr>
          <w:rFonts w:ascii="Arial" w:hAnsi="Arial" w:cs="Arial"/>
          <w:sz w:val="24"/>
          <w:szCs w:val="24"/>
        </w:rPr>
        <w:t xml:space="preserve">Due to an inverse correlation between cytotoxicity and viability, </w:t>
      </w:r>
      <w:r>
        <w:rPr>
          <w:rFonts w:ascii="Arial" w:hAnsi="Arial" w:cs="Arial"/>
          <w:sz w:val="24"/>
          <w:szCs w:val="24"/>
        </w:rPr>
        <w:t xml:space="preserve">EC </w:t>
      </w:r>
      <w:r w:rsidRPr="00FC32F2">
        <w:rPr>
          <w:rFonts w:ascii="Arial" w:hAnsi="Arial" w:cs="Arial"/>
          <w:sz w:val="24"/>
          <w:szCs w:val="24"/>
        </w:rPr>
        <w:t>samples with a viability of less than 70% were excluded from immune cytotoxicity analysis in line with previous studies.</w:t>
      </w:r>
      <w:r>
        <w:rPr>
          <w:rFonts w:ascii="Arial" w:hAnsi="Arial" w:cs="Arial"/>
          <w:sz w:val="24"/>
          <w:szCs w:val="24"/>
        </w:rPr>
        <w:t xml:space="preserve"> Post-treatment TCL arm samples were </w:t>
      </w:r>
      <w:proofErr w:type="spellStart"/>
      <w:r>
        <w:rPr>
          <w:rFonts w:ascii="Arial" w:hAnsi="Arial" w:cs="Arial"/>
          <w:sz w:val="24"/>
          <w:szCs w:val="24"/>
        </w:rPr>
        <w:t>utilised</w:t>
      </w:r>
      <w:proofErr w:type="spellEnd"/>
      <w:r>
        <w:rPr>
          <w:rFonts w:ascii="Arial" w:hAnsi="Arial" w:cs="Arial"/>
          <w:sz w:val="24"/>
          <w:szCs w:val="24"/>
        </w:rPr>
        <w:t xml:space="preserve"> as a control for post-treatment TCH/TCHL arm samples to ensure there was no residual trastuzumab contamination present.</w:t>
      </w:r>
    </w:p>
    <w:p w:rsidR="00DB4CFA" w:rsidRDefault="00DB4CFA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C32F2">
        <w:rPr>
          <w:rFonts w:ascii="Arial" w:hAnsi="Arial" w:cs="Arial"/>
          <w:sz w:val="24"/>
          <w:szCs w:val="24"/>
        </w:rPr>
        <w:t xml:space="preserve">TCs and ECs were </w:t>
      </w:r>
      <w:proofErr w:type="spellStart"/>
      <w:r w:rsidRPr="00FC32F2">
        <w:rPr>
          <w:rFonts w:ascii="Arial" w:hAnsi="Arial" w:cs="Arial"/>
          <w:sz w:val="24"/>
          <w:szCs w:val="24"/>
        </w:rPr>
        <w:t>aliquoted</w:t>
      </w:r>
      <w:proofErr w:type="spellEnd"/>
      <w:r w:rsidRPr="00FC32F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and trastuzumab 10 µg/mL and/or </w:t>
      </w:r>
      <w:proofErr w:type="spellStart"/>
      <w:r>
        <w:rPr>
          <w:rFonts w:ascii="Arial" w:hAnsi="Arial" w:cs="Arial"/>
          <w:sz w:val="24"/>
          <w:szCs w:val="24"/>
        </w:rPr>
        <w:t>pembrolizumab</w:t>
      </w:r>
      <w:proofErr w:type="spellEnd"/>
      <w:r>
        <w:rPr>
          <w:rFonts w:ascii="Arial" w:hAnsi="Arial" w:cs="Arial"/>
          <w:sz w:val="24"/>
          <w:szCs w:val="24"/>
        </w:rPr>
        <w:t xml:space="preserve"> 10 µg/mL</w:t>
      </w:r>
      <w:r w:rsidRPr="00FC32F2">
        <w:rPr>
          <w:rFonts w:ascii="Arial" w:hAnsi="Arial" w:cs="Arial"/>
          <w:sz w:val="24"/>
          <w:szCs w:val="24"/>
        </w:rPr>
        <w:t xml:space="preserve"> added. Cells were plated in 96 well round bottom plates</w:t>
      </w:r>
      <w:r>
        <w:rPr>
          <w:rFonts w:ascii="Arial" w:hAnsi="Arial" w:cs="Arial"/>
          <w:sz w:val="24"/>
          <w:szCs w:val="24"/>
        </w:rPr>
        <w:t xml:space="preserve"> in</w:t>
      </w:r>
      <w:r w:rsidRPr="00FC32F2">
        <w:rPr>
          <w:rFonts w:ascii="Arial" w:hAnsi="Arial" w:cs="Arial"/>
          <w:sz w:val="24"/>
          <w:szCs w:val="24"/>
        </w:rPr>
        <w:t xml:space="preserve"> triplicate wells at a ratio of 10:1 (EC: TC)</w:t>
      </w:r>
      <w:r>
        <w:rPr>
          <w:rFonts w:ascii="Arial" w:hAnsi="Arial" w:cs="Arial"/>
          <w:sz w:val="24"/>
          <w:szCs w:val="24"/>
        </w:rPr>
        <w:t xml:space="preserve"> in a volume of 200 </w:t>
      </w:r>
      <w:r w:rsidRPr="00FC32F2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L</w:t>
      </w:r>
      <w:r w:rsidRPr="00FC32F2">
        <w:rPr>
          <w:rFonts w:ascii="Arial" w:hAnsi="Arial" w:cs="Arial"/>
          <w:sz w:val="24"/>
          <w:szCs w:val="24"/>
        </w:rPr>
        <w:t>. Control wells included basal cell death</w:t>
      </w:r>
      <w:r>
        <w:rPr>
          <w:rFonts w:ascii="Arial" w:hAnsi="Arial" w:cs="Arial"/>
          <w:sz w:val="24"/>
          <w:szCs w:val="24"/>
        </w:rPr>
        <w:t xml:space="preserve"> +/- trastuzumab and/or </w:t>
      </w:r>
      <w:proofErr w:type="spellStart"/>
      <w:r>
        <w:rPr>
          <w:rFonts w:ascii="Arial" w:hAnsi="Arial" w:cs="Arial"/>
          <w:sz w:val="24"/>
          <w:szCs w:val="24"/>
        </w:rPr>
        <w:t>pembrolizumab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Pr="00FC32F2">
        <w:rPr>
          <w:rFonts w:ascii="Arial" w:hAnsi="Arial" w:cs="Arial"/>
          <w:sz w:val="24"/>
          <w:szCs w:val="24"/>
        </w:rPr>
        <w:t xml:space="preserve"> 100 % </w:t>
      </w:r>
      <w:r>
        <w:rPr>
          <w:rFonts w:ascii="Arial" w:hAnsi="Arial" w:cs="Arial"/>
          <w:sz w:val="24"/>
          <w:szCs w:val="24"/>
        </w:rPr>
        <w:t>TC dead cell controls</w:t>
      </w:r>
      <w:r w:rsidRPr="00FC32F2">
        <w:rPr>
          <w:rFonts w:ascii="Arial" w:hAnsi="Arial" w:cs="Arial"/>
          <w:sz w:val="24"/>
          <w:szCs w:val="24"/>
        </w:rPr>
        <w:t>, EC</w:t>
      </w:r>
      <w:r>
        <w:rPr>
          <w:rFonts w:ascii="Arial" w:hAnsi="Arial" w:cs="Arial"/>
          <w:sz w:val="24"/>
          <w:szCs w:val="24"/>
        </w:rPr>
        <w:t>s</w:t>
      </w:r>
      <w:r w:rsidRPr="00FC32F2">
        <w:rPr>
          <w:rFonts w:ascii="Arial" w:hAnsi="Arial" w:cs="Arial"/>
          <w:sz w:val="24"/>
          <w:szCs w:val="24"/>
        </w:rPr>
        <w:t xml:space="preserve"> only and a negative control for ADCC (CD20-specific rituximab, 10 µg/mL). The plates were centrifuged at 50G for 3 minutes and incubated for 4 hours</w:t>
      </w:r>
      <w:r>
        <w:rPr>
          <w:rFonts w:ascii="Arial" w:hAnsi="Arial" w:cs="Arial"/>
          <w:sz w:val="24"/>
          <w:szCs w:val="24"/>
        </w:rPr>
        <w:t xml:space="preserve"> at 37</w:t>
      </w:r>
      <w:r w:rsidRPr="000917AD">
        <w:rPr>
          <w:rFonts w:ascii="Arial" w:hAnsi="Arial" w:cs="Arial"/>
          <w:sz w:val="24"/>
          <w:szCs w:val="24"/>
          <w:vertAlign w:val="superscript"/>
        </w:rPr>
        <w:t>0</w:t>
      </w:r>
      <w:r>
        <w:rPr>
          <w:rFonts w:ascii="Arial" w:hAnsi="Arial" w:cs="Arial"/>
          <w:sz w:val="24"/>
          <w:szCs w:val="24"/>
        </w:rPr>
        <w:t>C</w:t>
      </w:r>
      <w:r w:rsidRPr="00FC32F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To stop the assay, 40 </w:t>
      </w:r>
      <w:r w:rsidRPr="00FC32F2">
        <w:rPr>
          <w:rFonts w:ascii="Arial" w:hAnsi="Arial" w:cs="Arial"/>
          <w:sz w:val="24"/>
          <w:szCs w:val="24"/>
        </w:rPr>
        <w:t>µ</w:t>
      </w:r>
      <w:r>
        <w:rPr>
          <w:rFonts w:ascii="Arial" w:hAnsi="Arial" w:cs="Arial"/>
          <w:sz w:val="24"/>
          <w:szCs w:val="24"/>
        </w:rPr>
        <w:t>L</w:t>
      </w:r>
      <w:r w:rsidRPr="00FC32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2F2">
        <w:rPr>
          <w:rFonts w:ascii="Arial" w:hAnsi="Arial" w:cs="Arial"/>
          <w:sz w:val="24"/>
          <w:szCs w:val="24"/>
        </w:rPr>
        <w:t>aminoactinomycin</w:t>
      </w:r>
      <w:proofErr w:type="spellEnd"/>
      <w:r w:rsidRPr="00FC32F2">
        <w:rPr>
          <w:rFonts w:ascii="Arial" w:hAnsi="Arial" w:cs="Arial"/>
          <w:sz w:val="24"/>
          <w:szCs w:val="24"/>
        </w:rPr>
        <w:t>-D (7AAD) (Sigma Aldrich 9400)</w:t>
      </w:r>
      <w:r>
        <w:rPr>
          <w:rFonts w:ascii="Arial" w:hAnsi="Arial" w:cs="Arial"/>
          <w:sz w:val="24"/>
          <w:szCs w:val="24"/>
        </w:rPr>
        <w:t xml:space="preserve"> was added to each well and mixed gently to disrupt EC</w:t>
      </w:r>
      <w:proofErr w:type="gramStart"/>
      <w:r>
        <w:rPr>
          <w:rFonts w:ascii="Arial" w:hAnsi="Arial" w:cs="Arial"/>
          <w:sz w:val="24"/>
          <w:szCs w:val="24"/>
        </w:rPr>
        <w:t>:TC</w:t>
      </w:r>
      <w:proofErr w:type="gramEnd"/>
      <w:r>
        <w:rPr>
          <w:rFonts w:ascii="Arial" w:hAnsi="Arial" w:cs="Arial"/>
          <w:sz w:val="24"/>
          <w:szCs w:val="24"/>
        </w:rPr>
        <w:t xml:space="preserve">  interactions</w:t>
      </w:r>
      <w:r w:rsidRPr="00FC32F2">
        <w:rPr>
          <w:rFonts w:ascii="Arial" w:hAnsi="Arial" w:cs="Arial"/>
          <w:sz w:val="24"/>
          <w:szCs w:val="24"/>
        </w:rPr>
        <w:t xml:space="preserve">. The plates were read on a </w:t>
      </w:r>
      <w:r>
        <w:rPr>
          <w:rFonts w:ascii="Arial" w:hAnsi="Arial" w:cs="Arial"/>
          <w:sz w:val="24"/>
          <w:szCs w:val="24"/>
        </w:rPr>
        <w:t>Guava</w:t>
      </w:r>
      <w:r w:rsidRPr="00FC32F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2F2">
        <w:rPr>
          <w:rFonts w:ascii="Arial" w:hAnsi="Arial" w:cs="Arial"/>
          <w:sz w:val="24"/>
          <w:szCs w:val="24"/>
        </w:rPr>
        <w:t>Easycyte</w:t>
      </w:r>
      <w:proofErr w:type="spellEnd"/>
      <w:r w:rsidRPr="00FC32F2">
        <w:rPr>
          <w:rFonts w:ascii="Arial" w:hAnsi="Arial" w:cs="Arial"/>
          <w:sz w:val="24"/>
          <w:szCs w:val="24"/>
        </w:rPr>
        <w:t xml:space="preserve"> flow cytometer using the Guava </w:t>
      </w:r>
      <w:proofErr w:type="spellStart"/>
      <w:r w:rsidRPr="00FC32F2">
        <w:rPr>
          <w:rFonts w:ascii="Arial" w:hAnsi="Arial" w:cs="Arial"/>
          <w:sz w:val="24"/>
          <w:szCs w:val="24"/>
        </w:rPr>
        <w:t>InCyte</w:t>
      </w:r>
      <w:proofErr w:type="spellEnd"/>
      <w:r w:rsidRPr="00FC32F2">
        <w:rPr>
          <w:rFonts w:ascii="Arial" w:hAnsi="Arial" w:cs="Arial"/>
          <w:sz w:val="24"/>
          <w:szCs w:val="24"/>
        </w:rPr>
        <w:t xml:space="preserve"> program (</w:t>
      </w:r>
      <w:proofErr w:type="spellStart"/>
      <w:r>
        <w:rPr>
          <w:rFonts w:ascii="Arial" w:hAnsi="Arial" w:cs="Arial"/>
          <w:sz w:val="24"/>
          <w:szCs w:val="24"/>
        </w:rPr>
        <w:t>Luminex</w:t>
      </w:r>
      <w:proofErr w:type="spellEnd"/>
      <w:r w:rsidRPr="00FC32F2">
        <w:rPr>
          <w:rFonts w:ascii="Arial" w:hAnsi="Arial" w:cs="Arial"/>
          <w:sz w:val="24"/>
          <w:szCs w:val="24"/>
        </w:rPr>
        <w:t xml:space="preserve">) to determine the </w:t>
      </w:r>
      <w:r>
        <w:rPr>
          <w:rFonts w:ascii="Arial" w:hAnsi="Arial" w:cs="Arial"/>
          <w:sz w:val="24"/>
          <w:szCs w:val="24"/>
        </w:rPr>
        <w:t xml:space="preserve">% </w:t>
      </w:r>
      <w:r w:rsidRPr="00FC32F2">
        <w:rPr>
          <w:rFonts w:ascii="Arial" w:hAnsi="Arial" w:cs="Arial"/>
          <w:sz w:val="24"/>
          <w:szCs w:val="24"/>
        </w:rPr>
        <w:t xml:space="preserve">viability of the </w:t>
      </w:r>
      <w:r>
        <w:rPr>
          <w:rFonts w:ascii="Arial" w:hAnsi="Arial" w:cs="Arial"/>
          <w:sz w:val="24"/>
          <w:szCs w:val="24"/>
        </w:rPr>
        <w:t>TC population</w:t>
      </w:r>
      <w:r w:rsidRPr="00FC32F2">
        <w:rPr>
          <w:rFonts w:ascii="Arial" w:hAnsi="Arial" w:cs="Arial"/>
          <w:sz w:val="24"/>
          <w:szCs w:val="24"/>
        </w:rPr>
        <w:t>.</w:t>
      </w:r>
      <w:r w:rsidRPr="00FF4157">
        <w:rPr>
          <w:rFonts w:ascii="Arial" w:hAnsi="Arial" w:cs="Arial"/>
          <w:sz w:val="24"/>
          <w:szCs w:val="24"/>
        </w:rPr>
        <w:t xml:space="preserve"> </w:t>
      </w:r>
    </w:p>
    <w:p w:rsidR="00DB4CFA" w:rsidRDefault="00DB4CFA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B4CFA" w:rsidRDefault="00DB4CFA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B4CFA" w:rsidRDefault="00DB4CFA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B4CFA" w:rsidRDefault="00DB4CFA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B4CFA" w:rsidRDefault="00DB4CFA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B4CFA" w:rsidRDefault="00DB4CFA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B4CFA" w:rsidRDefault="00DB4CFA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B4CFA" w:rsidRPr="00DB4CFA" w:rsidRDefault="00DB4CFA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751A9" w:rsidRPr="0092606E" w:rsidRDefault="008751A9" w:rsidP="002122E1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2606E">
        <w:rPr>
          <w:rFonts w:ascii="Arial" w:hAnsi="Arial" w:cs="Arial"/>
          <w:b/>
          <w:sz w:val="24"/>
          <w:szCs w:val="24"/>
          <w:u w:val="single"/>
        </w:rPr>
        <w:lastRenderedPageBreak/>
        <w:t>Calculation of direct cytotoxicity and ADCC</w:t>
      </w:r>
      <w:r w:rsidR="0092606E" w:rsidRPr="0092606E">
        <w:rPr>
          <w:rFonts w:ascii="Arial" w:hAnsi="Arial" w:cs="Arial"/>
          <w:b/>
          <w:sz w:val="24"/>
          <w:szCs w:val="24"/>
          <w:u w:val="single"/>
        </w:rPr>
        <w:t xml:space="preserve"> values</w:t>
      </w:r>
      <w:r w:rsidR="0092606E">
        <w:rPr>
          <w:rFonts w:ascii="Arial" w:hAnsi="Arial" w:cs="Arial"/>
          <w:b/>
          <w:sz w:val="24"/>
          <w:szCs w:val="24"/>
          <w:u w:val="single"/>
        </w:rPr>
        <w:t xml:space="preserve"> – Gaynor et al.</w:t>
      </w:r>
    </w:p>
    <w:p w:rsidR="0092606E" w:rsidRPr="0092606E" w:rsidRDefault="0092606E" w:rsidP="002122E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2606E">
        <w:rPr>
          <w:rFonts w:ascii="Arial" w:hAnsi="Arial" w:cs="Arial"/>
          <w:b/>
          <w:sz w:val="20"/>
          <w:szCs w:val="20"/>
        </w:rPr>
        <w:t>ADCC= antibody-dependent cell-mediated cytotoxicity</w:t>
      </w:r>
    </w:p>
    <w:p w:rsidR="008751A9" w:rsidRPr="0092606E" w:rsidRDefault="008751A9" w:rsidP="002122E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2606E">
        <w:rPr>
          <w:rFonts w:ascii="Arial" w:hAnsi="Arial" w:cs="Arial"/>
          <w:b/>
          <w:sz w:val="20"/>
          <w:szCs w:val="20"/>
        </w:rPr>
        <w:t>PBMC= Peripheral blood mononuclear cell</w:t>
      </w:r>
    </w:p>
    <w:p w:rsidR="008751A9" w:rsidRPr="0092606E" w:rsidRDefault="008751A9" w:rsidP="008751A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2606E">
        <w:rPr>
          <w:rFonts w:ascii="Arial" w:hAnsi="Arial" w:cs="Arial"/>
          <w:b/>
          <w:sz w:val="20"/>
          <w:szCs w:val="20"/>
        </w:rPr>
        <w:t>EC = effector cell</w:t>
      </w:r>
    </w:p>
    <w:p w:rsidR="002F30EA" w:rsidRPr="0092606E" w:rsidRDefault="008751A9" w:rsidP="002122E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2606E">
        <w:rPr>
          <w:rFonts w:ascii="Arial" w:hAnsi="Arial" w:cs="Arial"/>
          <w:b/>
          <w:sz w:val="20"/>
          <w:szCs w:val="20"/>
        </w:rPr>
        <w:t>TC = target cell</w:t>
      </w:r>
    </w:p>
    <w:p w:rsidR="0092606E" w:rsidRDefault="0092606E" w:rsidP="002122E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Direct cytotoxicity and trastuzumab-mediated ADCC</w:t>
      </w:r>
    </w:p>
    <w:p w:rsidR="0092606E" w:rsidRDefault="0092606E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values referred to below were determined </w:t>
      </w:r>
      <w:r>
        <w:rPr>
          <w:rFonts w:ascii="Arial" w:hAnsi="Arial" w:cs="Arial"/>
          <w:sz w:val="24"/>
          <w:szCs w:val="24"/>
        </w:rPr>
        <w:t>from the flow cytometry experiment</w:t>
      </w:r>
      <w:r>
        <w:rPr>
          <w:rFonts w:ascii="Arial" w:hAnsi="Arial" w:cs="Arial"/>
          <w:sz w:val="24"/>
          <w:szCs w:val="24"/>
        </w:rPr>
        <w:t xml:space="preserve"> as a % of the TC population within each stated condition. </w:t>
      </w:r>
    </w:p>
    <w:p w:rsidR="002F30EA" w:rsidRDefault="002122E1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FC32F2">
        <w:rPr>
          <w:rFonts w:ascii="Arial" w:hAnsi="Arial" w:cs="Arial"/>
          <w:sz w:val="24"/>
          <w:szCs w:val="24"/>
        </w:rPr>
        <w:t>irect PBMC-mediated cytotoxicity</w:t>
      </w:r>
      <w:r>
        <w:rPr>
          <w:rFonts w:ascii="Arial" w:hAnsi="Arial" w:cs="Arial"/>
          <w:sz w:val="24"/>
          <w:szCs w:val="24"/>
        </w:rPr>
        <w:t xml:space="preserve"> (EC </w:t>
      </w:r>
      <w:proofErr w:type="spellStart"/>
      <w:r>
        <w:rPr>
          <w:rFonts w:ascii="Arial" w:hAnsi="Arial" w:cs="Arial"/>
          <w:sz w:val="24"/>
          <w:szCs w:val="24"/>
        </w:rPr>
        <w:t>Cytox</w:t>
      </w:r>
      <w:proofErr w:type="spellEnd"/>
      <w:r>
        <w:rPr>
          <w:rFonts w:ascii="Arial" w:hAnsi="Arial" w:cs="Arial"/>
          <w:sz w:val="24"/>
          <w:szCs w:val="24"/>
        </w:rPr>
        <w:t xml:space="preserve">) was calculated by subtracting basal </w:t>
      </w:r>
      <w:proofErr w:type="gramStart"/>
      <w:r w:rsidR="00DF3A77">
        <w:rPr>
          <w:rFonts w:ascii="Arial" w:hAnsi="Arial" w:cs="Arial"/>
          <w:sz w:val="24"/>
          <w:szCs w:val="24"/>
        </w:rPr>
        <w:t xml:space="preserve">TC </w:t>
      </w:r>
      <w:r>
        <w:rPr>
          <w:rFonts w:ascii="Arial" w:hAnsi="Arial" w:cs="Arial"/>
          <w:sz w:val="24"/>
          <w:szCs w:val="24"/>
        </w:rPr>
        <w:t xml:space="preserve"> death</w:t>
      </w:r>
      <w:proofErr w:type="gramEnd"/>
      <w:r>
        <w:rPr>
          <w:rFonts w:ascii="Arial" w:hAnsi="Arial" w:cs="Arial"/>
          <w:sz w:val="24"/>
          <w:szCs w:val="24"/>
        </w:rPr>
        <w:t xml:space="preserve"> from TC death in the presence of ECs only</w:t>
      </w:r>
      <w:r w:rsidR="002F30EA">
        <w:rPr>
          <w:rFonts w:ascii="Arial" w:hAnsi="Arial" w:cs="Arial"/>
          <w:sz w:val="24"/>
          <w:szCs w:val="24"/>
        </w:rPr>
        <w:t xml:space="preserve"> </w:t>
      </w:r>
      <w:r w:rsidR="002F30EA">
        <w:rPr>
          <w:rFonts w:ascii="Arial" w:hAnsi="Arial" w:cs="Arial"/>
          <w:sz w:val="24"/>
          <w:szCs w:val="24"/>
        </w:rPr>
        <w:t>for K562 and SKBR3</w:t>
      </w:r>
      <w:r w:rsidR="002F30EA">
        <w:rPr>
          <w:rFonts w:ascii="Arial" w:hAnsi="Arial" w:cs="Arial"/>
          <w:sz w:val="24"/>
          <w:szCs w:val="24"/>
        </w:rPr>
        <w:t>.</w:t>
      </w:r>
    </w:p>
    <w:p w:rsidR="00DF3A77" w:rsidRPr="002F30EA" w:rsidRDefault="0092606E" w:rsidP="002F30EA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% d</w:t>
      </w:r>
      <w:r w:rsidR="002F30EA" w:rsidRPr="002F30EA">
        <w:rPr>
          <w:rFonts w:ascii="Arial" w:hAnsi="Arial" w:cs="Arial"/>
          <w:sz w:val="24"/>
          <w:szCs w:val="24"/>
          <w:u w:val="single"/>
        </w:rPr>
        <w:t xml:space="preserve">irect cytotoxicity (EC </w:t>
      </w:r>
      <w:proofErr w:type="spellStart"/>
      <w:r w:rsidR="002F30EA" w:rsidRPr="002F30EA">
        <w:rPr>
          <w:rFonts w:ascii="Arial" w:hAnsi="Arial" w:cs="Arial"/>
          <w:sz w:val="24"/>
          <w:szCs w:val="24"/>
          <w:u w:val="single"/>
        </w:rPr>
        <w:t>Cytox</w:t>
      </w:r>
      <w:proofErr w:type="spellEnd"/>
      <w:r w:rsidR="002F30EA" w:rsidRPr="002F30EA">
        <w:rPr>
          <w:rFonts w:ascii="Arial" w:hAnsi="Arial" w:cs="Arial"/>
          <w:sz w:val="24"/>
          <w:szCs w:val="24"/>
          <w:u w:val="single"/>
        </w:rPr>
        <w:t>) =</w:t>
      </w:r>
      <w:r w:rsidR="002122E1" w:rsidRPr="002F30EA">
        <w:rPr>
          <w:rFonts w:ascii="Arial" w:hAnsi="Arial" w:cs="Arial"/>
          <w:sz w:val="24"/>
          <w:szCs w:val="24"/>
          <w:u w:val="single"/>
        </w:rPr>
        <w:t xml:space="preserve"> (EC: TC, 10:1</w:t>
      </w:r>
      <w:r w:rsidR="002F30EA" w:rsidRPr="002F30EA">
        <w:rPr>
          <w:rFonts w:ascii="Arial" w:hAnsi="Arial" w:cs="Arial"/>
          <w:sz w:val="24"/>
          <w:szCs w:val="24"/>
          <w:u w:val="single"/>
        </w:rPr>
        <w:t>)</w:t>
      </w:r>
      <w:r w:rsidR="002122E1" w:rsidRPr="002F30EA">
        <w:rPr>
          <w:rFonts w:ascii="Arial" w:hAnsi="Arial" w:cs="Arial"/>
          <w:sz w:val="24"/>
          <w:szCs w:val="24"/>
          <w:u w:val="single"/>
        </w:rPr>
        <w:t xml:space="preserve"> </w:t>
      </w:r>
      <w:r w:rsidR="002F30EA" w:rsidRPr="002F30EA">
        <w:rPr>
          <w:rFonts w:ascii="Arial" w:hAnsi="Arial" w:cs="Arial"/>
          <w:sz w:val="24"/>
          <w:szCs w:val="24"/>
          <w:u w:val="single"/>
        </w:rPr>
        <w:t>– (</w:t>
      </w:r>
      <w:r w:rsidR="002122E1" w:rsidRPr="002F30EA">
        <w:rPr>
          <w:rFonts w:ascii="Arial" w:hAnsi="Arial" w:cs="Arial"/>
          <w:sz w:val="24"/>
          <w:szCs w:val="24"/>
          <w:u w:val="single"/>
        </w:rPr>
        <w:t>EC</w:t>
      </w:r>
      <w:proofErr w:type="gramStart"/>
      <w:r w:rsidR="002122E1" w:rsidRPr="002F30EA">
        <w:rPr>
          <w:rFonts w:ascii="Arial" w:hAnsi="Arial" w:cs="Arial"/>
          <w:sz w:val="24"/>
          <w:szCs w:val="24"/>
          <w:u w:val="single"/>
        </w:rPr>
        <w:t>:TC</w:t>
      </w:r>
      <w:proofErr w:type="gramEnd"/>
      <w:r w:rsidR="002122E1" w:rsidRPr="002F30EA">
        <w:rPr>
          <w:rFonts w:ascii="Arial" w:hAnsi="Arial" w:cs="Arial"/>
          <w:sz w:val="24"/>
          <w:szCs w:val="24"/>
          <w:u w:val="single"/>
        </w:rPr>
        <w:t>, 0:1 control)</w:t>
      </w:r>
    </w:p>
    <w:p w:rsidR="002F30EA" w:rsidRDefault="002122E1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SKBR3,</w:t>
      </w:r>
      <w:r w:rsidRPr="00FC32F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basal </w:t>
      </w:r>
      <w:r w:rsidR="00DF3A77">
        <w:rPr>
          <w:rFonts w:ascii="Arial" w:hAnsi="Arial" w:cs="Arial"/>
          <w:sz w:val="24"/>
          <w:szCs w:val="24"/>
        </w:rPr>
        <w:t>TC</w:t>
      </w:r>
      <w:r>
        <w:rPr>
          <w:rFonts w:ascii="Arial" w:hAnsi="Arial" w:cs="Arial"/>
          <w:sz w:val="24"/>
          <w:szCs w:val="24"/>
        </w:rPr>
        <w:t xml:space="preserve"> death in the presence of trastuzumab (</w:t>
      </w:r>
      <w:r w:rsidRPr="008A61B8">
        <w:rPr>
          <w:rFonts w:ascii="Arial" w:hAnsi="Arial" w:cs="Arial"/>
          <w:sz w:val="24"/>
          <w:szCs w:val="24"/>
        </w:rPr>
        <w:t>EC</w:t>
      </w:r>
      <w:proofErr w:type="gramStart"/>
      <w:r w:rsidRPr="008A61B8">
        <w:rPr>
          <w:rFonts w:ascii="Arial" w:hAnsi="Arial" w:cs="Arial"/>
          <w:sz w:val="24"/>
          <w:szCs w:val="24"/>
        </w:rPr>
        <w:t>:TC</w:t>
      </w:r>
      <w:proofErr w:type="gramEnd"/>
      <w:r w:rsidRPr="008A61B8">
        <w:rPr>
          <w:rFonts w:ascii="Arial" w:hAnsi="Arial" w:cs="Arial"/>
          <w:sz w:val="24"/>
          <w:szCs w:val="24"/>
        </w:rPr>
        <w:t>, 0:1</w:t>
      </w:r>
      <w:r w:rsidR="002F30EA">
        <w:rPr>
          <w:rFonts w:ascii="Arial" w:hAnsi="Arial" w:cs="Arial"/>
          <w:sz w:val="24"/>
          <w:szCs w:val="24"/>
        </w:rPr>
        <w:t xml:space="preserve"> + t</w:t>
      </w:r>
      <w:r>
        <w:rPr>
          <w:rFonts w:ascii="Arial" w:hAnsi="Arial" w:cs="Arial"/>
          <w:sz w:val="24"/>
          <w:szCs w:val="24"/>
        </w:rPr>
        <w:t>rastuzumab control) was subtracted from (</w:t>
      </w:r>
      <w:r w:rsidRPr="00FC32F2">
        <w:rPr>
          <w:rFonts w:ascii="Arial" w:hAnsi="Arial" w:cs="Arial"/>
          <w:sz w:val="24"/>
          <w:szCs w:val="24"/>
        </w:rPr>
        <w:t>EC: TC</w:t>
      </w:r>
      <w:r>
        <w:rPr>
          <w:rFonts w:ascii="Arial" w:hAnsi="Arial" w:cs="Arial"/>
          <w:sz w:val="24"/>
          <w:szCs w:val="24"/>
        </w:rPr>
        <w:t xml:space="preserve">, </w:t>
      </w:r>
      <w:r w:rsidRPr="00FC32F2">
        <w:rPr>
          <w:rFonts w:ascii="Arial" w:hAnsi="Arial" w:cs="Arial"/>
          <w:sz w:val="24"/>
          <w:szCs w:val="24"/>
        </w:rPr>
        <w:t xml:space="preserve">10:1 </w:t>
      </w:r>
      <w:r w:rsidR="002F30EA">
        <w:rPr>
          <w:rFonts w:ascii="Arial" w:hAnsi="Arial" w:cs="Arial"/>
          <w:sz w:val="24"/>
          <w:szCs w:val="24"/>
        </w:rPr>
        <w:t>+ t</w:t>
      </w:r>
      <w:r>
        <w:rPr>
          <w:rFonts w:ascii="Arial" w:hAnsi="Arial" w:cs="Arial"/>
          <w:sz w:val="24"/>
          <w:szCs w:val="24"/>
        </w:rPr>
        <w:t>rastuzumab) to remove any non-immune cytotoxicity associated with trastuzumab</w:t>
      </w:r>
      <w:r w:rsidR="002F30EA">
        <w:rPr>
          <w:rFonts w:ascii="Arial" w:hAnsi="Arial" w:cs="Arial"/>
          <w:sz w:val="24"/>
          <w:szCs w:val="24"/>
        </w:rPr>
        <w:t xml:space="preserve"> in the assay (</w:t>
      </w:r>
      <w:r>
        <w:rPr>
          <w:rFonts w:ascii="Arial" w:hAnsi="Arial" w:cs="Arial"/>
          <w:sz w:val="24"/>
          <w:szCs w:val="24"/>
        </w:rPr>
        <w:t xml:space="preserve">EC </w:t>
      </w:r>
      <w:proofErr w:type="spellStart"/>
      <w:r>
        <w:rPr>
          <w:rFonts w:ascii="Arial" w:hAnsi="Arial" w:cs="Arial"/>
          <w:sz w:val="24"/>
          <w:szCs w:val="24"/>
        </w:rPr>
        <w:t>Cytox</w:t>
      </w:r>
      <w:proofErr w:type="spellEnd"/>
      <w:r>
        <w:rPr>
          <w:rFonts w:ascii="Arial" w:hAnsi="Arial" w:cs="Arial"/>
          <w:sz w:val="24"/>
          <w:szCs w:val="24"/>
        </w:rPr>
        <w:t xml:space="preserve"> with </w:t>
      </w:r>
      <w:proofErr w:type="spellStart"/>
      <w:r>
        <w:rPr>
          <w:rFonts w:ascii="Arial" w:hAnsi="Arial" w:cs="Arial"/>
          <w:sz w:val="24"/>
          <w:szCs w:val="24"/>
        </w:rPr>
        <w:t>Tras</w:t>
      </w:r>
      <w:proofErr w:type="spellEnd"/>
      <w:r>
        <w:rPr>
          <w:rFonts w:ascii="Arial" w:hAnsi="Arial" w:cs="Arial"/>
          <w:sz w:val="24"/>
          <w:szCs w:val="24"/>
        </w:rPr>
        <w:t xml:space="preserve">). </w:t>
      </w:r>
    </w:p>
    <w:p w:rsidR="002F30EA" w:rsidRDefault="002122E1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ADCC in SKBR3 was calculated by subtracting (EC </w:t>
      </w:r>
      <w:proofErr w:type="spellStart"/>
      <w:r>
        <w:rPr>
          <w:rFonts w:ascii="Arial" w:hAnsi="Arial" w:cs="Arial"/>
          <w:sz w:val="24"/>
          <w:szCs w:val="24"/>
        </w:rPr>
        <w:t>Cytox</w:t>
      </w:r>
      <w:proofErr w:type="spellEnd"/>
      <w:r>
        <w:rPr>
          <w:rFonts w:ascii="Arial" w:hAnsi="Arial" w:cs="Arial"/>
          <w:sz w:val="24"/>
          <w:szCs w:val="24"/>
        </w:rPr>
        <w:t xml:space="preserve">) </w:t>
      </w:r>
      <w:r w:rsidRPr="00144F00">
        <w:rPr>
          <w:rFonts w:ascii="Arial" w:hAnsi="Arial" w:cs="Arial"/>
          <w:sz w:val="24"/>
          <w:szCs w:val="24"/>
        </w:rPr>
        <w:t xml:space="preserve">from </w:t>
      </w:r>
      <w:r>
        <w:rPr>
          <w:rFonts w:ascii="Arial" w:hAnsi="Arial" w:cs="Arial"/>
          <w:sz w:val="24"/>
          <w:szCs w:val="24"/>
        </w:rPr>
        <w:t xml:space="preserve">(EC </w:t>
      </w:r>
      <w:proofErr w:type="spellStart"/>
      <w:r>
        <w:rPr>
          <w:rFonts w:ascii="Arial" w:hAnsi="Arial" w:cs="Arial"/>
          <w:sz w:val="24"/>
          <w:szCs w:val="24"/>
        </w:rPr>
        <w:t>Cytox</w:t>
      </w:r>
      <w:proofErr w:type="spellEnd"/>
      <w:r>
        <w:rPr>
          <w:rFonts w:ascii="Arial" w:hAnsi="Arial" w:cs="Arial"/>
          <w:sz w:val="24"/>
          <w:szCs w:val="24"/>
        </w:rPr>
        <w:t xml:space="preserve"> with </w:t>
      </w:r>
      <w:proofErr w:type="spellStart"/>
      <w:r>
        <w:rPr>
          <w:rFonts w:ascii="Arial" w:hAnsi="Arial" w:cs="Arial"/>
          <w:sz w:val="24"/>
          <w:szCs w:val="24"/>
        </w:rPr>
        <w:t>Tras</w:t>
      </w:r>
      <w:proofErr w:type="spellEnd"/>
      <w:r>
        <w:rPr>
          <w:rFonts w:ascii="Arial" w:hAnsi="Arial" w:cs="Arial"/>
          <w:sz w:val="24"/>
          <w:szCs w:val="24"/>
        </w:rPr>
        <w:t>).</w:t>
      </w:r>
    </w:p>
    <w:p w:rsidR="008751A9" w:rsidRDefault="0092606E" w:rsidP="002F30EA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% </w:t>
      </w:r>
      <w:r w:rsidR="002F30EA" w:rsidRPr="002F30EA">
        <w:rPr>
          <w:rFonts w:ascii="Arial" w:hAnsi="Arial" w:cs="Arial"/>
          <w:sz w:val="24"/>
          <w:szCs w:val="24"/>
          <w:u w:val="single"/>
        </w:rPr>
        <w:t xml:space="preserve">ADCC = </w:t>
      </w:r>
      <w:r w:rsidR="002F30EA" w:rsidRPr="002F30EA">
        <w:rPr>
          <w:rFonts w:ascii="Arial" w:hAnsi="Arial" w:cs="Arial"/>
          <w:sz w:val="24"/>
          <w:szCs w:val="24"/>
          <w:u w:val="single"/>
        </w:rPr>
        <w:t xml:space="preserve">(EC </w:t>
      </w:r>
      <w:proofErr w:type="spellStart"/>
      <w:r w:rsidR="002F30EA" w:rsidRPr="002F30EA">
        <w:rPr>
          <w:rFonts w:ascii="Arial" w:hAnsi="Arial" w:cs="Arial"/>
          <w:sz w:val="24"/>
          <w:szCs w:val="24"/>
          <w:u w:val="single"/>
        </w:rPr>
        <w:t>Cytox</w:t>
      </w:r>
      <w:proofErr w:type="spellEnd"/>
      <w:r w:rsidR="002F30EA" w:rsidRPr="002F30EA">
        <w:rPr>
          <w:rFonts w:ascii="Arial" w:hAnsi="Arial" w:cs="Arial"/>
          <w:sz w:val="24"/>
          <w:szCs w:val="24"/>
          <w:u w:val="single"/>
        </w:rPr>
        <w:t xml:space="preserve"> with </w:t>
      </w:r>
      <w:proofErr w:type="spellStart"/>
      <w:r w:rsidR="002F30EA" w:rsidRPr="002F30EA">
        <w:rPr>
          <w:rFonts w:ascii="Arial" w:hAnsi="Arial" w:cs="Arial"/>
          <w:sz w:val="24"/>
          <w:szCs w:val="24"/>
          <w:u w:val="single"/>
        </w:rPr>
        <w:t>Tras</w:t>
      </w:r>
      <w:proofErr w:type="spellEnd"/>
      <w:r w:rsidR="002F30EA" w:rsidRPr="002F30EA">
        <w:rPr>
          <w:rFonts w:ascii="Arial" w:hAnsi="Arial" w:cs="Arial"/>
          <w:sz w:val="24"/>
          <w:szCs w:val="24"/>
          <w:u w:val="single"/>
        </w:rPr>
        <w:t xml:space="preserve">) – (EC </w:t>
      </w:r>
      <w:proofErr w:type="spellStart"/>
      <w:r w:rsidR="002F30EA" w:rsidRPr="002F30EA">
        <w:rPr>
          <w:rFonts w:ascii="Arial" w:hAnsi="Arial" w:cs="Arial"/>
          <w:sz w:val="24"/>
          <w:szCs w:val="24"/>
          <w:u w:val="single"/>
        </w:rPr>
        <w:t>Cytox</w:t>
      </w:r>
      <w:proofErr w:type="spellEnd"/>
      <w:r w:rsidR="002F30EA" w:rsidRPr="002F30EA">
        <w:rPr>
          <w:rFonts w:ascii="Arial" w:hAnsi="Arial" w:cs="Arial"/>
          <w:sz w:val="24"/>
          <w:szCs w:val="24"/>
          <w:u w:val="single"/>
        </w:rPr>
        <w:t>)</w:t>
      </w:r>
    </w:p>
    <w:p w:rsidR="0092606E" w:rsidRDefault="0092606E" w:rsidP="002F30EA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:rsidR="002F30EA" w:rsidRPr="002F30EA" w:rsidRDefault="0092606E" w:rsidP="0092606E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Direct cytotoxicity and trastuzumab-mediated ADCC</w:t>
      </w:r>
      <w:r>
        <w:rPr>
          <w:rFonts w:ascii="Arial" w:hAnsi="Arial" w:cs="Arial"/>
          <w:b/>
          <w:sz w:val="24"/>
          <w:szCs w:val="24"/>
        </w:rPr>
        <w:t xml:space="preserve"> in the presence of </w:t>
      </w:r>
      <w:proofErr w:type="spellStart"/>
      <w:r>
        <w:rPr>
          <w:rFonts w:ascii="Arial" w:hAnsi="Arial" w:cs="Arial"/>
          <w:b/>
          <w:sz w:val="24"/>
          <w:szCs w:val="24"/>
        </w:rPr>
        <w:t>pembrolizumab</w:t>
      </w:r>
      <w:proofErr w:type="spellEnd"/>
      <w:r>
        <w:rPr>
          <w:rFonts w:ascii="Arial" w:hAnsi="Arial" w:cs="Arial"/>
          <w:b/>
          <w:sz w:val="24"/>
          <w:szCs w:val="24"/>
        </w:rPr>
        <w:t>.</w:t>
      </w:r>
    </w:p>
    <w:p w:rsidR="008751A9" w:rsidRDefault="002122E1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the </w:t>
      </w:r>
      <w:proofErr w:type="spellStart"/>
      <w:r>
        <w:rPr>
          <w:rFonts w:ascii="Arial" w:hAnsi="Arial" w:cs="Arial"/>
          <w:sz w:val="24"/>
          <w:szCs w:val="24"/>
        </w:rPr>
        <w:t>pembrolizumab</w:t>
      </w:r>
      <w:proofErr w:type="spellEnd"/>
      <w:r>
        <w:rPr>
          <w:rFonts w:ascii="Arial" w:hAnsi="Arial" w:cs="Arial"/>
          <w:sz w:val="24"/>
          <w:szCs w:val="24"/>
        </w:rPr>
        <w:t xml:space="preserve"> assays, the same experimental set-up was used with the </w:t>
      </w:r>
      <w:r w:rsidR="008751A9">
        <w:rPr>
          <w:rFonts w:ascii="Arial" w:hAnsi="Arial" w:cs="Arial"/>
          <w:sz w:val="24"/>
          <w:szCs w:val="24"/>
        </w:rPr>
        <w:t>inclusion</w:t>
      </w:r>
      <w:r>
        <w:rPr>
          <w:rFonts w:ascii="Arial" w:hAnsi="Arial" w:cs="Arial"/>
          <w:sz w:val="24"/>
          <w:szCs w:val="24"/>
        </w:rPr>
        <w:t xml:space="preserve"> of</w:t>
      </w:r>
      <w:r w:rsidR="008751A9">
        <w:rPr>
          <w:rFonts w:ascii="Arial" w:hAnsi="Arial" w:cs="Arial"/>
          <w:sz w:val="24"/>
          <w:szCs w:val="24"/>
        </w:rPr>
        <w:t xml:space="preserve"> </w:t>
      </w:r>
      <w:r w:rsidR="002F30EA">
        <w:rPr>
          <w:rFonts w:ascii="Arial" w:hAnsi="Arial" w:cs="Arial"/>
          <w:sz w:val="24"/>
          <w:szCs w:val="24"/>
        </w:rPr>
        <w:t xml:space="preserve">additional, </w:t>
      </w:r>
      <w:r w:rsidR="008751A9">
        <w:rPr>
          <w:rFonts w:ascii="Arial" w:hAnsi="Arial" w:cs="Arial"/>
          <w:sz w:val="24"/>
          <w:szCs w:val="24"/>
        </w:rPr>
        <w:t>relevant</w:t>
      </w:r>
      <w:r w:rsidR="002F30EA">
        <w:rPr>
          <w:rFonts w:ascii="Arial" w:hAnsi="Arial" w:cs="Arial"/>
          <w:sz w:val="24"/>
          <w:szCs w:val="24"/>
        </w:rPr>
        <w:t xml:space="preserve"> basal cell death controls (</w:t>
      </w:r>
      <w:r w:rsidRPr="008A61B8">
        <w:rPr>
          <w:rFonts w:ascii="Arial" w:hAnsi="Arial" w:cs="Arial"/>
          <w:sz w:val="24"/>
          <w:szCs w:val="24"/>
        </w:rPr>
        <w:t>EC</w:t>
      </w:r>
      <w:proofErr w:type="gramStart"/>
      <w:r w:rsidRPr="008A61B8">
        <w:rPr>
          <w:rFonts w:ascii="Arial" w:hAnsi="Arial" w:cs="Arial"/>
          <w:sz w:val="24"/>
          <w:szCs w:val="24"/>
        </w:rPr>
        <w:t>:TC</w:t>
      </w:r>
      <w:proofErr w:type="gramEnd"/>
      <w:r w:rsidRPr="008A61B8">
        <w:rPr>
          <w:rFonts w:ascii="Arial" w:hAnsi="Arial" w:cs="Arial"/>
          <w:sz w:val="24"/>
          <w:szCs w:val="24"/>
        </w:rPr>
        <w:t>, 0:1</w:t>
      </w:r>
      <w:r>
        <w:rPr>
          <w:rFonts w:ascii="Arial" w:hAnsi="Arial" w:cs="Arial"/>
          <w:sz w:val="24"/>
          <w:szCs w:val="24"/>
        </w:rPr>
        <w:t xml:space="preserve"> + </w:t>
      </w:r>
      <w:proofErr w:type="spellStart"/>
      <w:r>
        <w:rPr>
          <w:rFonts w:ascii="Arial" w:hAnsi="Arial" w:cs="Arial"/>
          <w:sz w:val="24"/>
          <w:szCs w:val="24"/>
        </w:rPr>
        <w:t>pembrolizumab</w:t>
      </w:r>
      <w:proofErr w:type="spellEnd"/>
      <w:r>
        <w:rPr>
          <w:rFonts w:ascii="Arial" w:hAnsi="Arial" w:cs="Arial"/>
          <w:sz w:val="24"/>
          <w:szCs w:val="24"/>
        </w:rPr>
        <w:t xml:space="preserve"> for K562 and SKBR3, and </w:t>
      </w:r>
      <w:r w:rsidRPr="008A61B8">
        <w:rPr>
          <w:rFonts w:ascii="Arial" w:hAnsi="Arial" w:cs="Arial"/>
          <w:sz w:val="24"/>
          <w:szCs w:val="24"/>
        </w:rPr>
        <w:t>EC:TC, 0:1</w:t>
      </w:r>
      <w:r>
        <w:rPr>
          <w:rFonts w:ascii="Arial" w:hAnsi="Arial" w:cs="Arial"/>
          <w:sz w:val="24"/>
          <w:szCs w:val="24"/>
        </w:rPr>
        <w:t xml:space="preserve"> + </w:t>
      </w:r>
      <w:proofErr w:type="spellStart"/>
      <w:r>
        <w:rPr>
          <w:rFonts w:ascii="Arial" w:hAnsi="Arial" w:cs="Arial"/>
          <w:sz w:val="24"/>
          <w:szCs w:val="24"/>
        </w:rPr>
        <w:t>pembrolizumab</w:t>
      </w:r>
      <w:proofErr w:type="spellEnd"/>
      <w:r>
        <w:rPr>
          <w:rFonts w:ascii="Arial" w:hAnsi="Arial" w:cs="Arial"/>
          <w:sz w:val="24"/>
          <w:szCs w:val="24"/>
        </w:rPr>
        <w:t xml:space="preserve"> + trastuzumab</w:t>
      </w:r>
      <w:r w:rsidR="002F30EA">
        <w:rPr>
          <w:rFonts w:ascii="Arial" w:hAnsi="Arial" w:cs="Arial"/>
          <w:sz w:val="24"/>
          <w:szCs w:val="24"/>
        </w:rPr>
        <w:t xml:space="preserve"> for SKBR3),</w:t>
      </w:r>
      <w:r>
        <w:rPr>
          <w:rFonts w:ascii="Arial" w:hAnsi="Arial" w:cs="Arial"/>
          <w:sz w:val="24"/>
          <w:szCs w:val="24"/>
        </w:rPr>
        <w:t xml:space="preserve"> and additional EC test conditions (</w:t>
      </w:r>
      <w:r w:rsidRPr="00C9256A">
        <w:rPr>
          <w:rFonts w:ascii="Arial" w:hAnsi="Arial" w:cs="Arial"/>
          <w:sz w:val="24"/>
          <w:szCs w:val="24"/>
        </w:rPr>
        <w:t>EC: TC, 10:1</w:t>
      </w:r>
      <w:r w:rsidR="00DF3A77">
        <w:rPr>
          <w:rFonts w:ascii="Arial" w:hAnsi="Arial" w:cs="Arial"/>
          <w:sz w:val="24"/>
          <w:szCs w:val="24"/>
        </w:rPr>
        <w:t xml:space="preserve"> + </w:t>
      </w:r>
      <w:proofErr w:type="spellStart"/>
      <w:r w:rsidR="00DF3A77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embrolizumab</w:t>
      </w:r>
      <w:proofErr w:type="spellEnd"/>
      <w:r>
        <w:rPr>
          <w:rFonts w:ascii="Arial" w:hAnsi="Arial" w:cs="Arial"/>
          <w:sz w:val="24"/>
          <w:szCs w:val="24"/>
        </w:rPr>
        <w:t xml:space="preserve"> for K562 and SKBR3) and (</w:t>
      </w:r>
      <w:r w:rsidRPr="00C9256A">
        <w:rPr>
          <w:rFonts w:ascii="Arial" w:hAnsi="Arial" w:cs="Arial"/>
          <w:sz w:val="24"/>
          <w:szCs w:val="24"/>
        </w:rPr>
        <w:t>EC: TC, 10:1</w:t>
      </w:r>
      <w:r w:rsidR="00DF3A77">
        <w:rPr>
          <w:rFonts w:ascii="Arial" w:hAnsi="Arial" w:cs="Arial"/>
          <w:sz w:val="24"/>
          <w:szCs w:val="24"/>
        </w:rPr>
        <w:t xml:space="preserve"> + </w:t>
      </w:r>
      <w:proofErr w:type="spellStart"/>
      <w:r w:rsidR="00DF3A77">
        <w:rPr>
          <w:rFonts w:ascii="Arial" w:hAnsi="Arial" w:cs="Arial"/>
          <w:sz w:val="24"/>
          <w:szCs w:val="24"/>
        </w:rPr>
        <w:t>pembrolizumab</w:t>
      </w:r>
      <w:proofErr w:type="spellEnd"/>
      <w:r w:rsidR="00DF3A77">
        <w:rPr>
          <w:rFonts w:ascii="Arial" w:hAnsi="Arial" w:cs="Arial"/>
          <w:sz w:val="24"/>
          <w:szCs w:val="24"/>
        </w:rPr>
        <w:t xml:space="preserve"> + t</w:t>
      </w:r>
      <w:r>
        <w:rPr>
          <w:rFonts w:ascii="Arial" w:hAnsi="Arial" w:cs="Arial"/>
          <w:sz w:val="24"/>
          <w:szCs w:val="24"/>
        </w:rPr>
        <w:t xml:space="preserve">rastuzumab for SKBR3). </w:t>
      </w:r>
    </w:p>
    <w:p w:rsidR="00DF3A77" w:rsidRDefault="002122E1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Basal </w:t>
      </w:r>
      <w:r w:rsidR="00DF3A77">
        <w:rPr>
          <w:rFonts w:ascii="Arial" w:hAnsi="Arial" w:cs="Arial"/>
          <w:sz w:val="24"/>
          <w:szCs w:val="24"/>
        </w:rPr>
        <w:t>TC</w:t>
      </w:r>
      <w:r>
        <w:rPr>
          <w:rFonts w:ascii="Arial" w:hAnsi="Arial" w:cs="Arial"/>
          <w:sz w:val="24"/>
          <w:szCs w:val="24"/>
        </w:rPr>
        <w:t xml:space="preserve"> death adjusted d</w:t>
      </w:r>
      <w:r w:rsidRPr="00FC32F2">
        <w:rPr>
          <w:rFonts w:ascii="Arial" w:hAnsi="Arial" w:cs="Arial"/>
          <w:sz w:val="24"/>
          <w:szCs w:val="24"/>
        </w:rPr>
        <w:t>irect PBMC cytotoxicity</w:t>
      </w:r>
      <w:r>
        <w:rPr>
          <w:rFonts w:ascii="Arial" w:hAnsi="Arial" w:cs="Arial"/>
          <w:sz w:val="24"/>
          <w:szCs w:val="24"/>
        </w:rPr>
        <w:t xml:space="preserve"> in the presence of </w:t>
      </w:r>
      <w:proofErr w:type="spellStart"/>
      <w:r>
        <w:rPr>
          <w:rFonts w:ascii="Arial" w:hAnsi="Arial" w:cs="Arial"/>
          <w:sz w:val="24"/>
          <w:szCs w:val="24"/>
        </w:rPr>
        <w:t>pembrolizumab</w:t>
      </w:r>
      <w:proofErr w:type="spellEnd"/>
      <w:r>
        <w:rPr>
          <w:rFonts w:ascii="Arial" w:hAnsi="Arial" w:cs="Arial"/>
          <w:sz w:val="24"/>
          <w:szCs w:val="24"/>
        </w:rPr>
        <w:t xml:space="preserve"> (EC </w:t>
      </w:r>
      <w:proofErr w:type="spellStart"/>
      <w:r>
        <w:rPr>
          <w:rFonts w:ascii="Arial" w:hAnsi="Arial" w:cs="Arial"/>
          <w:sz w:val="24"/>
          <w:szCs w:val="24"/>
        </w:rPr>
        <w:t>Cytox</w:t>
      </w:r>
      <w:proofErr w:type="spellEnd"/>
      <w:r>
        <w:rPr>
          <w:rFonts w:ascii="Arial" w:hAnsi="Arial" w:cs="Arial"/>
          <w:sz w:val="24"/>
          <w:szCs w:val="24"/>
        </w:rPr>
        <w:t xml:space="preserve"> P)</w:t>
      </w:r>
      <w:r w:rsidR="008751A9">
        <w:rPr>
          <w:rFonts w:ascii="Arial" w:hAnsi="Arial" w:cs="Arial"/>
          <w:sz w:val="24"/>
          <w:szCs w:val="24"/>
        </w:rPr>
        <w:t xml:space="preserve"> was calculated</w:t>
      </w:r>
      <w:r w:rsidR="00DF3A77">
        <w:rPr>
          <w:rFonts w:ascii="Arial" w:hAnsi="Arial" w:cs="Arial"/>
          <w:sz w:val="24"/>
          <w:szCs w:val="24"/>
        </w:rPr>
        <w:t xml:space="preserve"> by subtracting (</w:t>
      </w:r>
      <w:r w:rsidR="00DF3A77" w:rsidRPr="008A61B8">
        <w:rPr>
          <w:rFonts w:ascii="Arial" w:hAnsi="Arial" w:cs="Arial"/>
          <w:sz w:val="24"/>
          <w:szCs w:val="24"/>
        </w:rPr>
        <w:t>EC</w:t>
      </w:r>
      <w:proofErr w:type="gramStart"/>
      <w:r w:rsidR="00DF3A77" w:rsidRPr="008A61B8">
        <w:rPr>
          <w:rFonts w:ascii="Arial" w:hAnsi="Arial" w:cs="Arial"/>
          <w:sz w:val="24"/>
          <w:szCs w:val="24"/>
        </w:rPr>
        <w:t>:TC</w:t>
      </w:r>
      <w:proofErr w:type="gramEnd"/>
      <w:r w:rsidR="00DF3A77" w:rsidRPr="008A61B8">
        <w:rPr>
          <w:rFonts w:ascii="Arial" w:hAnsi="Arial" w:cs="Arial"/>
          <w:sz w:val="24"/>
          <w:szCs w:val="24"/>
        </w:rPr>
        <w:t>, 0:1</w:t>
      </w:r>
      <w:r w:rsidR="00DF3A77">
        <w:rPr>
          <w:rFonts w:ascii="Arial" w:hAnsi="Arial" w:cs="Arial"/>
          <w:sz w:val="24"/>
          <w:szCs w:val="24"/>
        </w:rPr>
        <w:t xml:space="preserve"> + </w:t>
      </w:r>
      <w:proofErr w:type="spellStart"/>
      <w:r w:rsidR="00DF3A77">
        <w:rPr>
          <w:rFonts w:ascii="Arial" w:hAnsi="Arial" w:cs="Arial"/>
          <w:sz w:val="24"/>
          <w:szCs w:val="24"/>
        </w:rPr>
        <w:t>pembrolizumab</w:t>
      </w:r>
      <w:proofErr w:type="spellEnd"/>
      <w:r w:rsidR="00DF3A77">
        <w:rPr>
          <w:rFonts w:ascii="Arial" w:hAnsi="Arial" w:cs="Arial"/>
          <w:sz w:val="24"/>
          <w:szCs w:val="24"/>
        </w:rPr>
        <w:t xml:space="preserve">) from (EC: TC, 10:1 + </w:t>
      </w:r>
      <w:proofErr w:type="spellStart"/>
      <w:r w:rsidR="00DF3A77">
        <w:rPr>
          <w:rFonts w:ascii="Arial" w:hAnsi="Arial" w:cs="Arial"/>
          <w:sz w:val="24"/>
          <w:szCs w:val="24"/>
        </w:rPr>
        <w:t>p</w:t>
      </w:r>
      <w:r w:rsidR="00DF3A77" w:rsidRPr="00DF3A77">
        <w:rPr>
          <w:rFonts w:ascii="Arial" w:hAnsi="Arial" w:cs="Arial"/>
          <w:sz w:val="24"/>
          <w:szCs w:val="24"/>
        </w:rPr>
        <w:t>embrolizumab</w:t>
      </w:r>
      <w:proofErr w:type="spellEnd"/>
      <w:r w:rsidR="00DF3A77">
        <w:rPr>
          <w:rFonts w:ascii="Arial" w:hAnsi="Arial" w:cs="Arial"/>
          <w:sz w:val="24"/>
          <w:szCs w:val="24"/>
        </w:rPr>
        <w:t>).</w:t>
      </w:r>
    </w:p>
    <w:p w:rsidR="00754956" w:rsidRDefault="0092606E" w:rsidP="002F30EA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% </w:t>
      </w:r>
      <w:proofErr w:type="gramStart"/>
      <w:r w:rsidR="002F30EA" w:rsidRPr="002F30EA">
        <w:rPr>
          <w:rFonts w:ascii="Arial" w:hAnsi="Arial" w:cs="Arial"/>
          <w:sz w:val="24"/>
          <w:szCs w:val="24"/>
          <w:u w:val="single"/>
        </w:rPr>
        <w:t>Direct</w:t>
      </w:r>
      <w:proofErr w:type="gramEnd"/>
      <w:r w:rsidR="002F30EA" w:rsidRPr="002F30EA">
        <w:rPr>
          <w:rFonts w:ascii="Arial" w:hAnsi="Arial" w:cs="Arial"/>
          <w:sz w:val="24"/>
          <w:szCs w:val="24"/>
          <w:u w:val="single"/>
        </w:rPr>
        <w:t xml:space="preserve"> cytotoxicity (EC </w:t>
      </w:r>
      <w:proofErr w:type="spellStart"/>
      <w:r w:rsidR="002F30EA" w:rsidRPr="002F30EA">
        <w:rPr>
          <w:rFonts w:ascii="Arial" w:hAnsi="Arial" w:cs="Arial"/>
          <w:sz w:val="24"/>
          <w:szCs w:val="24"/>
          <w:u w:val="single"/>
        </w:rPr>
        <w:t>Cytox</w:t>
      </w:r>
      <w:proofErr w:type="spellEnd"/>
      <w:r w:rsidR="002F30EA">
        <w:rPr>
          <w:rFonts w:ascii="Arial" w:hAnsi="Arial" w:cs="Arial"/>
          <w:sz w:val="24"/>
          <w:szCs w:val="24"/>
          <w:u w:val="single"/>
        </w:rPr>
        <w:t xml:space="preserve"> P</w:t>
      </w:r>
      <w:r w:rsidR="002F30EA" w:rsidRPr="002F30EA">
        <w:rPr>
          <w:rFonts w:ascii="Arial" w:hAnsi="Arial" w:cs="Arial"/>
          <w:sz w:val="24"/>
          <w:szCs w:val="24"/>
          <w:u w:val="single"/>
        </w:rPr>
        <w:t xml:space="preserve">) = </w:t>
      </w:r>
    </w:p>
    <w:p w:rsidR="0092606E" w:rsidRDefault="002F30EA" w:rsidP="0092606E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2F30EA">
        <w:rPr>
          <w:rFonts w:ascii="Arial" w:hAnsi="Arial" w:cs="Arial"/>
          <w:sz w:val="24"/>
          <w:szCs w:val="24"/>
          <w:u w:val="single"/>
        </w:rPr>
        <w:lastRenderedPageBreak/>
        <w:t>(EC: TC, 10:1</w:t>
      </w:r>
      <w:r>
        <w:rPr>
          <w:rFonts w:ascii="Arial" w:hAnsi="Arial" w:cs="Arial"/>
          <w:sz w:val="24"/>
          <w:szCs w:val="24"/>
          <w:u w:val="single"/>
        </w:rPr>
        <w:t xml:space="preserve"> + </w:t>
      </w:r>
      <w:proofErr w:type="spellStart"/>
      <w:r>
        <w:rPr>
          <w:rFonts w:ascii="Arial" w:hAnsi="Arial" w:cs="Arial"/>
          <w:sz w:val="24"/>
          <w:szCs w:val="24"/>
          <w:u w:val="single"/>
        </w:rPr>
        <w:t>pembrolizumab</w:t>
      </w:r>
      <w:proofErr w:type="spellEnd"/>
      <w:r w:rsidRPr="002F30EA">
        <w:rPr>
          <w:rFonts w:ascii="Arial" w:hAnsi="Arial" w:cs="Arial"/>
          <w:sz w:val="24"/>
          <w:szCs w:val="24"/>
          <w:u w:val="single"/>
        </w:rPr>
        <w:t>) – (EC</w:t>
      </w:r>
      <w:proofErr w:type="gramStart"/>
      <w:r w:rsidRPr="002F30EA">
        <w:rPr>
          <w:rFonts w:ascii="Arial" w:hAnsi="Arial" w:cs="Arial"/>
          <w:sz w:val="24"/>
          <w:szCs w:val="24"/>
          <w:u w:val="single"/>
        </w:rPr>
        <w:t>:TC</w:t>
      </w:r>
      <w:proofErr w:type="gramEnd"/>
      <w:r w:rsidRPr="002F30EA">
        <w:rPr>
          <w:rFonts w:ascii="Arial" w:hAnsi="Arial" w:cs="Arial"/>
          <w:sz w:val="24"/>
          <w:szCs w:val="24"/>
          <w:u w:val="single"/>
        </w:rPr>
        <w:t>, 0:1 control</w:t>
      </w:r>
      <w:r>
        <w:rPr>
          <w:rFonts w:ascii="Arial" w:hAnsi="Arial" w:cs="Arial"/>
          <w:sz w:val="24"/>
          <w:szCs w:val="24"/>
          <w:u w:val="single"/>
        </w:rPr>
        <w:t xml:space="preserve"> + </w:t>
      </w:r>
      <w:proofErr w:type="spellStart"/>
      <w:r>
        <w:rPr>
          <w:rFonts w:ascii="Arial" w:hAnsi="Arial" w:cs="Arial"/>
          <w:sz w:val="24"/>
          <w:szCs w:val="24"/>
          <w:u w:val="single"/>
        </w:rPr>
        <w:t>pembrolizumab</w:t>
      </w:r>
      <w:proofErr w:type="spellEnd"/>
      <w:r w:rsidRPr="002F30EA">
        <w:rPr>
          <w:rFonts w:ascii="Arial" w:hAnsi="Arial" w:cs="Arial"/>
          <w:sz w:val="24"/>
          <w:szCs w:val="24"/>
          <w:u w:val="single"/>
        </w:rPr>
        <w:t>)</w:t>
      </w:r>
    </w:p>
    <w:p w:rsidR="0092606E" w:rsidRPr="002F30EA" w:rsidRDefault="0092606E" w:rsidP="0092606E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:rsidR="002F30EA" w:rsidRDefault="00DF3A77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2122E1">
        <w:rPr>
          <w:rFonts w:ascii="Arial" w:hAnsi="Arial" w:cs="Arial"/>
          <w:sz w:val="24"/>
          <w:szCs w:val="24"/>
        </w:rPr>
        <w:t xml:space="preserve">asal </w:t>
      </w:r>
      <w:r>
        <w:rPr>
          <w:rFonts w:ascii="Arial" w:hAnsi="Arial" w:cs="Arial"/>
          <w:sz w:val="24"/>
          <w:szCs w:val="24"/>
        </w:rPr>
        <w:t>TC</w:t>
      </w:r>
      <w:r w:rsidR="002122E1">
        <w:rPr>
          <w:rFonts w:ascii="Arial" w:hAnsi="Arial" w:cs="Arial"/>
          <w:sz w:val="24"/>
          <w:szCs w:val="24"/>
        </w:rPr>
        <w:t xml:space="preserve"> death adjusted EC cytotoxicity in the presence of</w:t>
      </w:r>
      <w:r w:rsidR="002F30EA">
        <w:rPr>
          <w:rFonts w:ascii="Arial" w:hAnsi="Arial" w:cs="Arial"/>
          <w:sz w:val="24"/>
          <w:szCs w:val="24"/>
        </w:rPr>
        <w:t xml:space="preserve"> trastuzumab and </w:t>
      </w:r>
      <w:proofErr w:type="spellStart"/>
      <w:r w:rsidR="002F30EA">
        <w:rPr>
          <w:rFonts w:ascii="Arial" w:hAnsi="Arial" w:cs="Arial"/>
          <w:sz w:val="24"/>
          <w:szCs w:val="24"/>
        </w:rPr>
        <w:t>pembrolizumab</w:t>
      </w:r>
      <w:proofErr w:type="spellEnd"/>
      <w:r w:rsidR="002F30EA">
        <w:rPr>
          <w:rFonts w:ascii="Arial" w:hAnsi="Arial" w:cs="Arial"/>
          <w:sz w:val="24"/>
          <w:szCs w:val="24"/>
        </w:rPr>
        <w:t xml:space="preserve"> was designated EC </w:t>
      </w:r>
      <w:proofErr w:type="spellStart"/>
      <w:r w:rsidR="002F30EA">
        <w:rPr>
          <w:rFonts w:ascii="Arial" w:hAnsi="Arial" w:cs="Arial"/>
          <w:sz w:val="24"/>
          <w:szCs w:val="24"/>
        </w:rPr>
        <w:t>Cytox</w:t>
      </w:r>
      <w:proofErr w:type="spellEnd"/>
      <w:r w:rsidR="002F30EA">
        <w:rPr>
          <w:rFonts w:ascii="Arial" w:hAnsi="Arial" w:cs="Arial"/>
          <w:sz w:val="24"/>
          <w:szCs w:val="24"/>
        </w:rPr>
        <w:t xml:space="preserve"> P with </w:t>
      </w:r>
      <w:proofErr w:type="spellStart"/>
      <w:r w:rsidR="002F30EA">
        <w:rPr>
          <w:rFonts w:ascii="Arial" w:hAnsi="Arial" w:cs="Arial"/>
          <w:sz w:val="24"/>
          <w:szCs w:val="24"/>
        </w:rPr>
        <w:t>Tras</w:t>
      </w:r>
      <w:proofErr w:type="spellEnd"/>
      <w:r w:rsidR="002F30EA">
        <w:rPr>
          <w:rFonts w:ascii="Arial" w:hAnsi="Arial" w:cs="Arial"/>
          <w:sz w:val="24"/>
          <w:szCs w:val="24"/>
        </w:rPr>
        <w:t xml:space="preserve"> and was calculated as follows:</w:t>
      </w:r>
    </w:p>
    <w:p w:rsidR="00754956" w:rsidRPr="0092606E" w:rsidRDefault="0092606E" w:rsidP="0092606E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% </w:t>
      </w:r>
      <w:r w:rsidR="002F30EA" w:rsidRPr="0092606E">
        <w:rPr>
          <w:rFonts w:ascii="Arial" w:hAnsi="Arial" w:cs="Arial"/>
          <w:sz w:val="24"/>
          <w:szCs w:val="24"/>
          <w:u w:val="single"/>
        </w:rPr>
        <w:t xml:space="preserve">EC </w:t>
      </w:r>
      <w:proofErr w:type="spellStart"/>
      <w:r w:rsidR="002F30EA" w:rsidRPr="0092606E">
        <w:rPr>
          <w:rFonts w:ascii="Arial" w:hAnsi="Arial" w:cs="Arial"/>
          <w:sz w:val="24"/>
          <w:szCs w:val="24"/>
          <w:u w:val="single"/>
        </w:rPr>
        <w:t>Cytox</w:t>
      </w:r>
      <w:proofErr w:type="spellEnd"/>
      <w:r w:rsidR="002F30EA" w:rsidRPr="0092606E">
        <w:rPr>
          <w:rFonts w:ascii="Arial" w:hAnsi="Arial" w:cs="Arial"/>
          <w:sz w:val="24"/>
          <w:szCs w:val="24"/>
          <w:u w:val="single"/>
        </w:rPr>
        <w:t xml:space="preserve"> P with </w:t>
      </w:r>
      <w:proofErr w:type="spellStart"/>
      <w:proofErr w:type="gramStart"/>
      <w:r w:rsidR="002F30EA" w:rsidRPr="0092606E">
        <w:rPr>
          <w:rFonts w:ascii="Arial" w:hAnsi="Arial" w:cs="Arial"/>
          <w:sz w:val="24"/>
          <w:szCs w:val="24"/>
          <w:u w:val="single"/>
        </w:rPr>
        <w:t>Tras</w:t>
      </w:r>
      <w:proofErr w:type="spellEnd"/>
      <w:r w:rsidR="002F30EA" w:rsidRPr="0092606E">
        <w:rPr>
          <w:rFonts w:ascii="Arial" w:hAnsi="Arial" w:cs="Arial"/>
          <w:sz w:val="24"/>
          <w:szCs w:val="24"/>
          <w:u w:val="single"/>
        </w:rPr>
        <w:t xml:space="preserve"> </w:t>
      </w:r>
      <w:r w:rsidR="00754956" w:rsidRPr="0092606E">
        <w:rPr>
          <w:rFonts w:ascii="Arial" w:hAnsi="Arial" w:cs="Arial"/>
          <w:sz w:val="24"/>
          <w:szCs w:val="24"/>
          <w:u w:val="single"/>
        </w:rPr>
        <w:t xml:space="preserve"> </w:t>
      </w:r>
      <w:r w:rsidR="002F30EA" w:rsidRPr="0092606E">
        <w:rPr>
          <w:rFonts w:ascii="Arial" w:hAnsi="Arial" w:cs="Arial"/>
          <w:sz w:val="24"/>
          <w:szCs w:val="24"/>
          <w:u w:val="single"/>
        </w:rPr>
        <w:t>=</w:t>
      </w:r>
      <w:proofErr w:type="gramEnd"/>
    </w:p>
    <w:p w:rsidR="0092606E" w:rsidRDefault="002F30EA" w:rsidP="0092606E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92606E">
        <w:rPr>
          <w:rFonts w:ascii="Arial" w:hAnsi="Arial" w:cs="Arial"/>
          <w:sz w:val="24"/>
          <w:szCs w:val="24"/>
          <w:u w:val="single"/>
        </w:rPr>
        <w:t xml:space="preserve">(EC: TC, 10:1 + </w:t>
      </w:r>
      <w:proofErr w:type="spellStart"/>
      <w:r w:rsidRPr="0092606E">
        <w:rPr>
          <w:rFonts w:ascii="Arial" w:hAnsi="Arial" w:cs="Arial"/>
          <w:sz w:val="24"/>
          <w:szCs w:val="24"/>
          <w:u w:val="single"/>
        </w:rPr>
        <w:t>pembrolizumab</w:t>
      </w:r>
      <w:proofErr w:type="spellEnd"/>
      <w:r w:rsidRPr="0092606E">
        <w:rPr>
          <w:rFonts w:ascii="Arial" w:hAnsi="Arial" w:cs="Arial"/>
          <w:sz w:val="24"/>
          <w:szCs w:val="24"/>
          <w:u w:val="single"/>
        </w:rPr>
        <w:t xml:space="preserve"> + trastuzumab)</w:t>
      </w:r>
      <w:r w:rsidRPr="0092606E">
        <w:rPr>
          <w:rFonts w:ascii="Arial" w:hAnsi="Arial" w:cs="Arial"/>
          <w:sz w:val="24"/>
          <w:szCs w:val="24"/>
          <w:u w:val="single"/>
        </w:rPr>
        <w:t xml:space="preserve"> </w:t>
      </w:r>
      <w:r w:rsidR="0092606E">
        <w:rPr>
          <w:rFonts w:ascii="Arial" w:hAnsi="Arial" w:cs="Arial"/>
          <w:sz w:val="24"/>
          <w:szCs w:val="24"/>
          <w:u w:val="single"/>
        </w:rPr>
        <w:t>–</w:t>
      </w:r>
      <w:r w:rsidRPr="0092606E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2F30EA" w:rsidRPr="0092606E" w:rsidRDefault="00DF3A77" w:rsidP="0092606E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92606E">
        <w:rPr>
          <w:rFonts w:ascii="Arial" w:hAnsi="Arial" w:cs="Arial"/>
          <w:sz w:val="24"/>
          <w:szCs w:val="24"/>
          <w:u w:val="single"/>
        </w:rPr>
        <w:t>(EC</w:t>
      </w:r>
      <w:proofErr w:type="gramStart"/>
      <w:r w:rsidRPr="0092606E">
        <w:rPr>
          <w:rFonts w:ascii="Arial" w:hAnsi="Arial" w:cs="Arial"/>
          <w:sz w:val="24"/>
          <w:szCs w:val="24"/>
          <w:u w:val="single"/>
        </w:rPr>
        <w:t>:TC</w:t>
      </w:r>
      <w:proofErr w:type="gramEnd"/>
      <w:r w:rsidRPr="0092606E">
        <w:rPr>
          <w:rFonts w:ascii="Arial" w:hAnsi="Arial" w:cs="Arial"/>
          <w:sz w:val="24"/>
          <w:szCs w:val="24"/>
          <w:u w:val="single"/>
        </w:rPr>
        <w:t xml:space="preserve">, 0:1 + </w:t>
      </w:r>
      <w:proofErr w:type="spellStart"/>
      <w:r w:rsidRPr="0092606E">
        <w:rPr>
          <w:rFonts w:ascii="Arial" w:hAnsi="Arial" w:cs="Arial"/>
          <w:sz w:val="24"/>
          <w:szCs w:val="24"/>
          <w:u w:val="single"/>
        </w:rPr>
        <w:t>pembrolizumab</w:t>
      </w:r>
      <w:proofErr w:type="spellEnd"/>
      <w:r w:rsidRPr="0092606E">
        <w:rPr>
          <w:rFonts w:ascii="Arial" w:hAnsi="Arial" w:cs="Arial"/>
          <w:sz w:val="24"/>
          <w:szCs w:val="24"/>
          <w:u w:val="single"/>
        </w:rPr>
        <w:t xml:space="preserve"> + trastuzumab</w:t>
      </w:r>
      <w:r w:rsidR="002F30EA" w:rsidRPr="0092606E">
        <w:rPr>
          <w:rFonts w:ascii="Arial" w:hAnsi="Arial" w:cs="Arial"/>
          <w:sz w:val="24"/>
          <w:szCs w:val="24"/>
          <w:u w:val="single"/>
        </w:rPr>
        <w:t>)</w:t>
      </w:r>
      <w:r w:rsidR="002122E1" w:rsidRPr="0092606E">
        <w:rPr>
          <w:rFonts w:ascii="Arial" w:hAnsi="Arial" w:cs="Arial"/>
          <w:sz w:val="24"/>
          <w:szCs w:val="24"/>
          <w:u w:val="single"/>
        </w:rPr>
        <w:t>.</w:t>
      </w:r>
    </w:p>
    <w:p w:rsidR="002122E1" w:rsidRDefault="002122E1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ADCC in the presence of </w:t>
      </w:r>
      <w:proofErr w:type="spellStart"/>
      <w:r>
        <w:rPr>
          <w:rFonts w:ascii="Arial" w:hAnsi="Arial" w:cs="Arial"/>
          <w:sz w:val="24"/>
          <w:szCs w:val="24"/>
        </w:rPr>
        <w:t>pembrolizumab</w:t>
      </w:r>
      <w:proofErr w:type="spellEnd"/>
      <w:r>
        <w:rPr>
          <w:rFonts w:ascii="Arial" w:hAnsi="Arial" w:cs="Arial"/>
          <w:sz w:val="24"/>
          <w:szCs w:val="24"/>
        </w:rPr>
        <w:t xml:space="preserve"> was calculated by subtracting (EC </w:t>
      </w:r>
      <w:proofErr w:type="spellStart"/>
      <w:r>
        <w:rPr>
          <w:rFonts w:ascii="Arial" w:hAnsi="Arial" w:cs="Arial"/>
          <w:sz w:val="24"/>
          <w:szCs w:val="24"/>
        </w:rPr>
        <w:t>Cytox</w:t>
      </w:r>
      <w:proofErr w:type="spellEnd"/>
      <w:r>
        <w:rPr>
          <w:rFonts w:ascii="Arial" w:hAnsi="Arial" w:cs="Arial"/>
          <w:sz w:val="24"/>
          <w:szCs w:val="24"/>
        </w:rPr>
        <w:t xml:space="preserve"> P) </w:t>
      </w:r>
      <w:r w:rsidRPr="00144F00">
        <w:rPr>
          <w:rFonts w:ascii="Arial" w:hAnsi="Arial" w:cs="Arial"/>
          <w:sz w:val="24"/>
          <w:szCs w:val="24"/>
        </w:rPr>
        <w:t xml:space="preserve">from </w:t>
      </w:r>
      <w:r w:rsidR="0092606E">
        <w:rPr>
          <w:rFonts w:ascii="Arial" w:hAnsi="Arial" w:cs="Arial"/>
          <w:sz w:val="24"/>
          <w:szCs w:val="24"/>
        </w:rPr>
        <w:t xml:space="preserve">(EC </w:t>
      </w:r>
      <w:proofErr w:type="spellStart"/>
      <w:r w:rsidR="0092606E">
        <w:rPr>
          <w:rFonts w:ascii="Arial" w:hAnsi="Arial" w:cs="Arial"/>
          <w:sz w:val="24"/>
          <w:szCs w:val="24"/>
        </w:rPr>
        <w:t>Cytox</w:t>
      </w:r>
      <w:proofErr w:type="spellEnd"/>
      <w:r w:rsidR="0092606E">
        <w:rPr>
          <w:rFonts w:ascii="Arial" w:hAnsi="Arial" w:cs="Arial"/>
          <w:sz w:val="24"/>
          <w:szCs w:val="24"/>
        </w:rPr>
        <w:t xml:space="preserve"> P with </w:t>
      </w:r>
      <w:proofErr w:type="spellStart"/>
      <w:r w:rsidR="0092606E">
        <w:rPr>
          <w:rFonts w:ascii="Arial" w:hAnsi="Arial" w:cs="Arial"/>
          <w:sz w:val="24"/>
          <w:szCs w:val="24"/>
        </w:rPr>
        <w:t>Tras</w:t>
      </w:r>
      <w:proofErr w:type="spellEnd"/>
      <w:r w:rsidR="0092606E">
        <w:rPr>
          <w:rFonts w:ascii="Arial" w:hAnsi="Arial" w:cs="Arial"/>
          <w:sz w:val="24"/>
          <w:szCs w:val="24"/>
        </w:rPr>
        <w:t>):</w:t>
      </w:r>
    </w:p>
    <w:p w:rsidR="002F30EA" w:rsidRDefault="0092606E" w:rsidP="002F30EA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% </w:t>
      </w:r>
      <w:r w:rsidR="002F30EA" w:rsidRPr="002F30EA">
        <w:rPr>
          <w:rFonts w:ascii="Arial" w:hAnsi="Arial" w:cs="Arial"/>
          <w:sz w:val="24"/>
          <w:szCs w:val="24"/>
          <w:u w:val="single"/>
        </w:rPr>
        <w:t xml:space="preserve">ADCC = (EC </w:t>
      </w:r>
      <w:proofErr w:type="spellStart"/>
      <w:r w:rsidR="002F30EA" w:rsidRPr="002F30EA">
        <w:rPr>
          <w:rFonts w:ascii="Arial" w:hAnsi="Arial" w:cs="Arial"/>
          <w:sz w:val="24"/>
          <w:szCs w:val="24"/>
          <w:u w:val="single"/>
        </w:rPr>
        <w:t>Cytox</w:t>
      </w:r>
      <w:proofErr w:type="spellEnd"/>
      <w:r w:rsidR="002F30EA" w:rsidRPr="002F30EA">
        <w:rPr>
          <w:rFonts w:ascii="Arial" w:hAnsi="Arial" w:cs="Arial"/>
          <w:sz w:val="24"/>
          <w:szCs w:val="24"/>
          <w:u w:val="single"/>
        </w:rPr>
        <w:t xml:space="preserve"> </w:t>
      </w:r>
      <w:r w:rsidR="00754956">
        <w:rPr>
          <w:rFonts w:ascii="Arial" w:hAnsi="Arial" w:cs="Arial"/>
          <w:sz w:val="24"/>
          <w:szCs w:val="24"/>
          <w:u w:val="single"/>
        </w:rPr>
        <w:t xml:space="preserve">P </w:t>
      </w:r>
      <w:r w:rsidR="002F30EA" w:rsidRPr="002F30EA">
        <w:rPr>
          <w:rFonts w:ascii="Arial" w:hAnsi="Arial" w:cs="Arial"/>
          <w:sz w:val="24"/>
          <w:szCs w:val="24"/>
          <w:u w:val="single"/>
        </w:rPr>
        <w:t xml:space="preserve">with </w:t>
      </w:r>
      <w:proofErr w:type="spellStart"/>
      <w:r w:rsidR="002F30EA" w:rsidRPr="002F30EA">
        <w:rPr>
          <w:rFonts w:ascii="Arial" w:hAnsi="Arial" w:cs="Arial"/>
          <w:sz w:val="24"/>
          <w:szCs w:val="24"/>
          <w:u w:val="single"/>
        </w:rPr>
        <w:t>Tras</w:t>
      </w:r>
      <w:proofErr w:type="spellEnd"/>
      <w:r w:rsidR="002F30EA" w:rsidRPr="002F30EA">
        <w:rPr>
          <w:rFonts w:ascii="Arial" w:hAnsi="Arial" w:cs="Arial"/>
          <w:sz w:val="24"/>
          <w:szCs w:val="24"/>
          <w:u w:val="single"/>
        </w:rPr>
        <w:t xml:space="preserve">) – (EC </w:t>
      </w:r>
      <w:proofErr w:type="spellStart"/>
      <w:r w:rsidR="002F30EA" w:rsidRPr="002F30EA">
        <w:rPr>
          <w:rFonts w:ascii="Arial" w:hAnsi="Arial" w:cs="Arial"/>
          <w:sz w:val="24"/>
          <w:szCs w:val="24"/>
          <w:u w:val="single"/>
        </w:rPr>
        <w:t>Cytox</w:t>
      </w:r>
      <w:proofErr w:type="spellEnd"/>
      <w:r w:rsidR="00754956">
        <w:rPr>
          <w:rFonts w:ascii="Arial" w:hAnsi="Arial" w:cs="Arial"/>
          <w:sz w:val="24"/>
          <w:szCs w:val="24"/>
          <w:u w:val="single"/>
        </w:rPr>
        <w:t xml:space="preserve"> P</w:t>
      </w:r>
      <w:r w:rsidR="002F30EA" w:rsidRPr="002F30EA">
        <w:rPr>
          <w:rFonts w:ascii="Arial" w:hAnsi="Arial" w:cs="Arial"/>
          <w:sz w:val="24"/>
          <w:szCs w:val="24"/>
          <w:u w:val="single"/>
        </w:rPr>
        <w:t>)</w:t>
      </w:r>
    </w:p>
    <w:p w:rsidR="002F30EA" w:rsidRDefault="002F30EA" w:rsidP="002122E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22611" w:rsidRDefault="00722611"/>
    <w:sectPr w:rsidR="007226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2E1"/>
    <w:rsid w:val="001C6F54"/>
    <w:rsid w:val="002122E1"/>
    <w:rsid w:val="002F30EA"/>
    <w:rsid w:val="00722611"/>
    <w:rsid w:val="00754956"/>
    <w:rsid w:val="008751A9"/>
    <w:rsid w:val="0092606E"/>
    <w:rsid w:val="00DB4CFA"/>
    <w:rsid w:val="00D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AC8F5"/>
  <w15:chartTrackingRefBased/>
  <w15:docId w15:val="{8E5F318D-EDFA-4423-B00E-A3678CC4B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06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3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DCU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Collins</dc:creator>
  <cp:keywords/>
  <dc:description/>
  <cp:lastModifiedBy>Denis Collins</cp:lastModifiedBy>
  <cp:revision>3</cp:revision>
  <dcterms:created xsi:type="dcterms:W3CDTF">2023-01-06T16:50:00Z</dcterms:created>
  <dcterms:modified xsi:type="dcterms:W3CDTF">2023-01-08T13:49:00Z</dcterms:modified>
</cp:coreProperties>
</file>