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97347" w14:textId="77777777" w:rsidR="00265375" w:rsidRPr="0053650E" w:rsidRDefault="00265375" w:rsidP="00736AEA">
      <w:pPr>
        <w:spacing w:after="0" w:line="480" w:lineRule="auto"/>
        <w:jc w:val="both"/>
        <w:rPr>
          <w:rFonts w:cs="Times New Roman"/>
          <w:b/>
          <w:sz w:val="28"/>
          <w:szCs w:val="28"/>
          <w:lang w:val="en-US"/>
        </w:rPr>
      </w:pPr>
      <w:r w:rsidRPr="0053650E">
        <w:rPr>
          <w:rFonts w:cs="Times New Roman"/>
          <w:b/>
          <w:sz w:val="28"/>
          <w:szCs w:val="28"/>
          <w:lang w:val="en-US"/>
        </w:rPr>
        <w:t>Supplementary Materials and Methods:</w:t>
      </w:r>
    </w:p>
    <w:p w14:paraId="2CC29298" w14:textId="026921CD" w:rsidR="0078620B" w:rsidRPr="0053650E" w:rsidRDefault="00E87B74" w:rsidP="00736AEA">
      <w:pPr>
        <w:jc w:val="both"/>
        <w:rPr>
          <w:b/>
          <w:bCs/>
          <w:lang w:val="en-US"/>
        </w:rPr>
      </w:pPr>
      <w:r w:rsidRPr="0053650E">
        <w:rPr>
          <w:b/>
          <w:bCs/>
          <w:lang w:val="en-US"/>
        </w:rPr>
        <w:t>Cell culture, m</w:t>
      </w:r>
      <w:r w:rsidR="0078620B" w:rsidRPr="0053650E">
        <w:rPr>
          <w:b/>
          <w:bCs/>
          <w:lang w:val="en-US"/>
        </w:rPr>
        <w:t>ycoplasma detection and cell authentication</w:t>
      </w:r>
    </w:p>
    <w:p w14:paraId="3EDEB273" w14:textId="3803D871" w:rsidR="00265375" w:rsidRPr="0053650E" w:rsidRDefault="00E87B74" w:rsidP="00736AEA">
      <w:pPr>
        <w:jc w:val="both"/>
        <w:rPr>
          <w:lang w:val="en-US"/>
        </w:rPr>
      </w:pPr>
      <w:r w:rsidRPr="0053650E">
        <w:rPr>
          <w:lang w:val="en-US"/>
        </w:rPr>
        <w:t xml:space="preserve">Cells were cultured in DMEM (Dulbecco’s Modified Eagle Medium) (Lonza, Basel, Switzerland; with 4500 mg/dm3 glucose, </w:t>
      </w:r>
      <w:proofErr w:type="gramStart"/>
      <w:r w:rsidRPr="0053650E">
        <w:rPr>
          <w:lang w:val="en-US"/>
        </w:rPr>
        <w:t>pyruvate</w:t>
      </w:r>
      <w:proofErr w:type="gramEnd"/>
      <w:r w:rsidRPr="0053650E">
        <w:rPr>
          <w:lang w:val="en-US"/>
        </w:rPr>
        <w:t xml:space="preserve"> and L-glutamine) supplemented with 10% fetal bovine serum (FBS (</w:t>
      </w:r>
      <w:proofErr w:type="spellStart"/>
      <w:r w:rsidRPr="0053650E">
        <w:rPr>
          <w:lang w:val="en-US"/>
        </w:rPr>
        <w:t>EuroClone</w:t>
      </w:r>
      <w:proofErr w:type="spellEnd"/>
      <w:r w:rsidRPr="0053650E">
        <w:rPr>
          <w:lang w:val="en-US"/>
        </w:rPr>
        <w:t xml:space="preserve">, Pero, MI, Italy) and 1% penicillin-streptomycin-amphotericin (Lonza) in tissue culture flasks in a humidified 5% CO2 atmosphere at 37 ºC. </w:t>
      </w:r>
      <w:r w:rsidR="00736AEA" w:rsidRPr="0053650E">
        <w:rPr>
          <w:lang w:val="en-US"/>
        </w:rPr>
        <w:t xml:space="preserve">Detection of possible Mycoplasma contamination was performed and was found negative by </w:t>
      </w:r>
      <w:proofErr w:type="spellStart"/>
      <w:r w:rsidR="00736AEA" w:rsidRPr="0053650E">
        <w:rPr>
          <w:lang w:val="en-US"/>
        </w:rPr>
        <w:t>Mycoprobe</w:t>
      </w:r>
      <w:proofErr w:type="spellEnd"/>
      <w:r w:rsidR="00736AEA" w:rsidRPr="0053650E">
        <w:rPr>
          <w:lang w:val="en-US"/>
        </w:rPr>
        <w:t xml:space="preserve"> kit (Bio-Techne). Authentication of H358</w:t>
      </w:r>
      <w:r w:rsidR="002D47B7" w:rsidRPr="0053650E">
        <w:rPr>
          <w:lang w:val="en-US"/>
        </w:rPr>
        <w:t>, PF97 and PF139</w:t>
      </w:r>
      <w:r w:rsidR="00736AEA" w:rsidRPr="0053650E">
        <w:rPr>
          <w:lang w:val="en-US"/>
        </w:rPr>
        <w:t xml:space="preserve"> was performed by </w:t>
      </w:r>
      <w:proofErr w:type="spellStart"/>
      <w:r w:rsidR="00736AEA" w:rsidRPr="0053650E">
        <w:rPr>
          <w:lang w:val="en-US"/>
        </w:rPr>
        <w:t>Multiplexion</w:t>
      </w:r>
      <w:proofErr w:type="spellEnd"/>
      <w:r w:rsidR="000A349D" w:rsidRPr="0053650E">
        <w:rPr>
          <w:lang w:val="en-US"/>
        </w:rPr>
        <w:t xml:space="preserve"> (SNP-based authentication)</w:t>
      </w:r>
      <w:r w:rsidR="002D47B7" w:rsidRPr="0053650E">
        <w:rPr>
          <w:lang w:val="en-US"/>
        </w:rPr>
        <w:t xml:space="preserve">, while SW1573 was authenticated by </w:t>
      </w:r>
      <w:r w:rsidR="00736AEA" w:rsidRPr="0053650E">
        <w:rPr>
          <w:lang w:val="en-US"/>
        </w:rPr>
        <w:t>ATCC</w:t>
      </w:r>
      <w:r w:rsidR="000A349D" w:rsidRPr="0053650E">
        <w:rPr>
          <w:lang w:val="en-US"/>
        </w:rPr>
        <w:t xml:space="preserve"> (STR-based authentication)</w:t>
      </w:r>
      <w:r w:rsidR="00736AEA" w:rsidRPr="0053650E">
        <w:rPr>
          <w:lang w:val="en-US"/>
        </w:rPr>
        <w:t>. Experiments MIAPACA2 was performed with low (below 10) passage number following purchase from ATCC.</w:t>
      </w:r>
    </w:p>
    <w:p w14:paraId="49A7B34D" w14:textId="2B1B5CB7" w:rsidR="00BD77BF" w:rsidRPr="0053650E" w:rsidRDefault="00BD77BF" w:rsidP="00736AEA">
      <w:pPr>
        <w:jc w:val="both"/>
        <w:rPr>
          <w:b/>
          <w:bCs/>
          <w:lang w:val="en-US"/>
        </w:rPr>
      </w:pPr>
      <w:proofErr w:type="spellStart"/>
      <w:r w:rsidRPr="0053650E">
        <w:rPr>
          <w:b/>
          <w:bCs/>
          <w:lang w:val="en-US"/>
        </w:rPr>
        <w:t>Polyhema</w:t>
      </w:r>
      <w:proofErr w:type="spellEnd"/>
      <w:r w:rsidRPr="0053650E">
        <w:rPr>
          <w:b/>
          <w:bCs/>
          <w:lang w:val="en-US"/>
        </w:rPr>
        <w:t xml:space="preserve"> plate preparation</w:t>
      </w:r>
    </w:p>
    <w:p w14:paraId="095E6456" w14:textId="6C04F6C5" w:rsidR="00BD77BF" w:rsidRPr="0053650E" w:rsidRDefault="00BD77BF" w:rsidP="00736AEA">
      <w:pPr>
        <w:jc w:val="both"/>
        <w:rPr>
          <w:lang w:val="en-US"/>
        </w:rPr>
      </w:pPr>
      <w:r w:rsidRPr="0053650E">
        <w:rPr>
          <w:lang w:val="en-US"/>
        </w:rPr>
        <w:t xml:space="preserve">Spheroids were grown in </w:t>
      </w:r>
      <w:proofErr w:type="spellStart"/>
      <w:r w:rsidRPr="0053650E">
        <w:rPr>
          <w:lang w:val="en-US"/>
        </w:rPr>
        <w:t>polyHEMA</w:t>
      </w:r>
      <w:proofErr w:type="spellEnd"/>
      <w:r w:rsidRPr="0053650E">
        <w:rPr>
          <w:lang w:val="en-US"/>
        </w:rPr>
        <w:t xml:space="preserve"> (</w:t>
      </w:r>
      <w:proofErr w:type="spellStart"/>
      <w:r w:rsidRPr="0053650E">
        <w:rPr>
          <w:lang w:val="en-US"/>
        </w:rPr>
        <w:t>polyhydroximethylmethylacrylate</w:t>
      </w:r>
      <w:proofErr w:type="spellEnd"/>
      <w:r w:rsidRPr="0053650E">
        <w:rPr>
          <w:lang w:val="en-US"/>
        </w:rPr>
        <w:t xml:space="preserve">) coated 96-well round bottom plates (Sarstedt, </w:t>
      </w:r>
      <w:proofErr w:type="spellStart"/>
      <w:r w:rsidRPr="0053650E">
        <w:rPr>
          <w:lang w:val="en-US"/>
        </w:rPr>
        <w:t>Nümbrecht</w:t>
      </w:r>
      <w:proofErr w:type="spellEnd"/>
      <w:r w:rsidRPr="0053650E">
        <w:rPr>
          <w:lang w:val="en-US"/>
        </w:rPr>
        <w:t xml:space="preserve">, Germany). Briefly, the inner 60 wells of the plate were coated with 60 µl 5 mg/ml </w:t>
      </w:r>
      <w:proofErr w:type="spellStart"/>
      <w:r w:rsidRPr="0053650E">
        <w:rPr>
          <w:lang w:val="en-US"/>
        </w:rPr>
        <w:t>polyHEMA</w:t>
      </w:r>
      <w:proofErr w:type="spellEnd"/>
      <w:r w:rsidRPr="0053650E">
        <w:rPr>
          <w:lang w:val="en-US"/>
        </w:rPr>
        <w:t xml:space="preserve"> dissolved in 96% ethanol.  Plates were dried at 60 °C in a plate shaker while shaking, then sterilized with UV.</w:t>
      </w:r>
    </w:p>
    <w:p w14:paraId="1EE6436D" w14:textId="77777777" w:rsidR="00736AEA" w:rsidRPr="0053650E" w:rsidRDefault="00736AEA" w:rsidP="00736AEA">
      <w:pPr>
        <w:jc w:val="both"/>
        <w:rPr>
          <w:b/>
          <w:bCs/>
          <w:lang w:val="en-US"/>
        </w:rPr>
      </w:pPr>
      <w:r w:rsidRPr="0053650E">
        <w:rPr>
          <w:b/>
          <w:bCs/>
          <w:lang w:val="en-US"/>
        </w:rPr>
        <w:t>Cell cycle assay</w:t>
      </w:r>
    </w:p>
    <w:p w14:paraId="02B56938" w14:textId="77777777" w:rsidR="00736AEA" w:rsidRPr="0053650E" w:rsidRDefault="00736AEA" w:rsidP="00736AEA">
      <w:pPr>
        <w:jc w:val="both"/>
        <w:rPr>
          <w:lang w:val="en-US"/>
        </w:rPr>
      </w:pPr>
      <w:r w:rsidRPr="0053650E">
        <w:rPr>
          <w:lang w:val="en-US"/>
        </w:rPr>
        <w:t xml:space="preserve">Determination of DNA content in each cell was used to evaluate the number of cells in each cell cycle phase as described </w:t>
      </w:r>
      <w:proofErr w:type="gramStart"/>
      <w:r w:rsidRPr="0053650E">
        <w:rPr>
          <w:lang w:val="en-US"/>
        </w:rPr>
        <w:t>earlier.(</w:t>
      </w:r>
      <w:proofErr w:type="gramEnd"/>
      <w:r w:rsidRPr="0053650E">
        <w:rPr>
          <w:lang w:val="en-US"/>
        </w:rPr>
        <w:t xml:space="preserve">50) Briefly, 500 </w:t>
      </w:r>
      <w:proofErr w:type="spellStart"/>
      <w:r w:rsidRPr="0053650E">
        <w:rPr>
          <w:lang w:val="en-US"/>
        </w:rPr>
        <w:t>nM</w:t>
      </w:r>
      <w:proofErr w:type="spellEnd"/>
      <w:r w:rsidRPr="0053650E">
        <w:rPr>
          <w:lang w:val="en-US"/>
        </w:rPr>
        <w:t xml:space="preserve"> tipifarnib, 100 </w:t>
      </w:r>
      <w:proofErr w:type="spellStart"/>
      <w:r w:rsidRPr="0053650E">
        <w:rPr>
          <w:lang w:val="en-US"/>
        </w:rPr>
        <w:t>nM</w:t>
      </w:r>
      <w:proofErr w:type="spellEnd"/>
      <w:r w:rsidRPr="0053650E">
        <w:rPr>
          <w:lang w:val="en-US"/>
        </w:rPr>
        <w:t xml:space="preserve"> </w:t>
      </w:r>
      <w:proofErr w:type="spellStart"/>
      <w:r w:rsidRPr="0053650E">
        <w:rPr>
          <w:lang w:val="en-US"/>
        </w:rPr>
        <w:t>sotorasib</w:t>
      </w:r>
      <w:proofErr w:type="spellEnd"/>
      <w:r w:rsidRPr="0053650E">
        <w:rPr>
          <w:lang w:val="en-US"/>
        </w:rPr>
        <w:t xml:space="preserve"> or their combination were used for treatment. All cells were treated for 96 hours in 6-well plates, except for H358, which was only treated for 48 hours due to its higher sensitivity to </w:t>
      </w:r>
      <w:proofErr w:type="spellStart"/>
      <w:r w:rsidRPr="0053650E">
        <w:rPr>
          <w:lang w:val="en-US"/>
        </w:rPr>
        <w:t>sotorasib</w:t>
      </w:r>
      <w:proofErr w:type="spellEnd"/>
      <w:r w:rsidRPr="0053650E">
        <w:rPr>
          <w:lang w:val="en-US"/>
        </w:rPr>
        <w:t xml:space="preserve">. Cells were </w:t>
      </w:r>
      <w:proofErr w:type="spellStart"/>
      <w:r w:rsidRPr="0053650E">
        <w:rPr>
          <w:lang w:val="en-US"/>
        </w:rPr>
        <w:t>trypsinized</w:t>
      </w:r>
      <w:proofErr w:type="spellEnd"/>
      <w:r w:rsidRPr="0053650E">
        <w:rPr>
          <w:lang w:val="en-US"/>
        </w:rPr>
        <w:t xml:space="preserve"> and lysed before staining with DAPI (4′,6-diamidino-2-phenylindole) for 5 min at 37°C. After adding the stabilization buffer, 10 µl of each sample was loaded onto an 8-well NC slide. </w:t>
      </w:r>
      <w:proofErr w:type="spellStart"/>
      <w:r w:rsidRPr="0053650E">
        <w:rPr>
          <w:lang w:val="en-US"/>
        </w:rPr>
        <w:t>NucleoCounter</w:t>
      </w:r>
      <w:proofErr w:type="spellEnd"/>
      <w:r w:rsidRPr="0053650E">
        <w:rPr>
          <w:lang w:val="en-US"/>
        </w:rPr>
        <w:t xml:space="preserve"> NC-3000™ system (</w:t>
      </w:r>
      <w:proofErr w:type="spellStart"/>
      <w:r w:rsidRPr="0053650E">
        <w:rPr>
          <w:lang w:val="en-US"/>
        </w:rPr>
        <w:t>Chemometec</w:t>
      </w:r>
      <w:proofErr w:type="spellEnd"/>
      <w:r w:rsidRPr="0053650E">
        <w:rPr>
          <w:lang w:val="en-US"/>
        </w:rPr>
        <w:t xml:space="preserve">, </w:t>
      </w:r>
      <w:proofErr w:type="spellStart"/>
      <w:r w:rsidRPr="0053650E">
        <w:rPr>
          <w:lang w:val="en-US"/>
        </w:rPr>
        <w:t>Allerod</w:t>
      </w:r>
      <w:proofErr w:type="spellEnd"/>
      <w:r w:rsidRPr="0053650E">
        <w:rPr>
          <w:lang w:val="en-US"/>
        </w:rPr>
        <w:t xml:space="preserve">, Denmark) was used to quantify cellular fluorescence. </w:t>
      </w:r>
    </w:p>
    <w:p w14:paraId="73E27C90" w14:textId="04923ACD" w:rsidR="00736AEA" w:rsidRPr="0053650E" w:rsidRDefault="00736AEA" w:rsidP="00736AEA">
      <w:pPr>
        <w:jc w:val="both"/>
        <w:rPr>
          <w:lang w:val="en-US"/>
        </w:rPr>
      </w:pPr>
      <w:r w:rsidRPr="0053650E">
        <w:rPr>
          <w:lang w:val="en-US"/>
        </w:rPr>
        <w:t>Modified M phase preserving protocol was performed by prior fixation of the cell suspension by ice-cold 70% ethanol before lysis.</w:t>
      </w:r>
    </w:p>
    <w:p w14:paraId="257DA41B" w14:textId="77777777" w:rsidR="00736AEA" w:rsidRPr="0053650E" w:rsidRDefault="00736AEA" w:rsidP="00736AEA">
      <w:pPr>
        <w:jc w:val="both"/>
        <w:rPr>
          <w:b/>
          <w:bCs/>
          <w:lang w:val="en-US"/>
        </w:rPr>
      </w:pPr>
      <w:r w:rsidRPr="0053650E">
        <w:rPr>
          <w:b/>
          <w:bCs/>
          <w:lang w:val="en-US"/>
        </w:rPr>
        <w:t>siRNA knockdown experiments</w:t>
      </w:r>
    </w:p>
    <w:p w14:paraId="6323B84B" w14:textId="600D5E4C" w:rsidR="00736AEA" w:rsidRPr="0053650E" w:rsidRDefault="00736AEA" w:rsidP="00736AEA">
      <w:pPr>
        <w:jc w:val="both"/>
        <w:rPr>
          <w:lang w:val="en-US"/>
        </w:rPr>
      </w:pPr>
      <w:r w:rsidRPr="0053650E">
        <w:rPr>
          <w:lang w:val="en-US"/>
        </w:rPr>
        <w:t xml:space="preserve">Cells that reached 70-80% confluence were </w:t>
      </w:r>
      <w:proofErr w:type="spellStart"/>
      <w:r w:rsidRPr="0053650E">
        <w:rPr>
          <w:lang w:val="en-US"/>
        </w:rPr>
        <w:t>trypsinized</w:t>
      </w:r>
      <w:proofErr w:type="spellEnd"/>
      <w:r w:rsidRPr="0053650E">
        <w:rPr>
          <w:lang w:val="en-US"/>
        </w:rPr>
        <w:t xml:space="preserve"> and counted using Luna II Automated Cell Counter. Cells were plated in 2500 and 7500 cells/well density (for non-targeting siRNA and HRAS siRNA treatment, respectively) on a 48-well plate and in 25000 cells/well on a 6-well plate (for immunoblot validation sample) supplemented with pre-mixed Lipofectamine </w:t>
      </w:r>
      <w:proofErr w:type="spellStart"/>
      <w:r w:rsidRPr="0053650E">
        <w:rPr>
          <w:lang w:val="en-US"/>
        </w:rPr>
        <w:t>RNAiMAX</w:t>
      </w:r>
      <w:proofErr w:type="spellEnd"/>
      <w:r w:rsidRPr="0053650E">
        <w:rPr>
          <w:lang w:val="en-US"/>
        </w:rPr>
        <w:t xml:space="preserve"> Reagent (</w:t>
      </w:r>
      <w:proofErr w:type="spellStart"/>
      <w:r w:rsidRPr="0053650E">
        <w:rPr>
          <w:lang w:val="en-US"/>
        </w:rPr>
        <w:t>Thermo</w:t>
      </w:r>
      <w:proofErr w:type="spellEnd"/>
      <w:r w:rsidRPr="0053650E">
        <w:rPr>
          <w:lang w:val="en-US"/>
        </w:rPr>
        <w:t xml:space="preserve"> Fisher Scientific) and </w:t>
      </w:r>
      <w:proofErr w:type="spellStart"/>
      <w:r w:rsidRPr="0053650E">
        <w:rPr>
          <w:lang w:val="en-US"/>
        </w:rPr>
        <w:t>OptiMEM</w:t>
      </w:r>
      <w:proofErr w:type="spellEnd"/>
      <w:r w:rsidRPr="0053650E">
        <w:rPr>
          <w:lang w:val="en-US"/>
        </w:rPr>
        <w:t xml:space="preserve"> (</w:t>
      </w:r>
      <w:proofErr w:type="spellStart"/>
      <w:r w:rsidRPr="0053650E">
        <w:rPr>
          <w:lang w:val="en-US"/>
        </w:rPr>
        <w:t>Thermo</w:t>
      </w:r>
      <w:proofErr w:type="spellEnd"/>
      <w:r w:rsidRPr="0053650E">
        <w:rPr>
          <w:lang w:val="en-US"/>
        </w:rPr>
        <w:t xml:space="preserve"> Fisher Scientific) containing 2.5 </w:t>
      </w:r>
      <w:proofErr w:type="spellStart"/>
      <w:r w:rsidRPr="0053650E">
        <w:rPr>
          <w:lang w:val="en-US"/>
        </w:rPr>
        <w:t>pmol</w:t>
      </w:r>
      <w:proofErr w:type="spellEnd"/>
      <w:r w:rsidRPr="0053650E">
        <w:rPr>
          <w:lang w:val="en-US"/>
        </w:rPr>
        <w:t xml:space="preserve">/well non-targeting or HRAS siRNA according to the manufacturer’s instruction (reverse transfection protocol). Next day, cells on 48-well plates were treated with tipifarnib or </w:t>
      </w:r>
      <w:proofErr w:type="spellStart"/>
      <w:r w:rsidRPr="0053650E">
        <w:rPr>
          <w:lang w:val="en-US"/>
        </w:rPr>
        <w:t>sotorasib</w:t>
      </w:r>
      <w:proofErr w:type="spellEnd"/>
      <w:r w:rsidRPr="0053650E">
        <w:rPr>
          <w:lang w:val="en-US"/>
        </w:rPr>
        <w:t xml:space="preserve"> with 0, 1, 5, 25, 125 and 625 </w:t>
      </w:r>
      <w:proofErr w:type="spellStart"/>
      <w:r w:rsidRPr="0053650E">
        <w:rPr>
          <w:lang w:val="en-US"/>
        </w:rPr>
        <w:t>nM</w:t>
      </w:r>
      <w:proofErr w:type="spellEnd"/>
      <w:r w:rsidRPr="0053650E">
        <w:rPr>
          <w:lang w:val="en-US"/>
        </w:rPr>
        <w:t xml:space="preserve"> final concentration. On the 3rd day of the treatment, cells were supplemented with fresh pre-mixed 2.5 </w:t>
      </w:r>
      <w:proofErr w:type="spellStart"/>
      <w:r w:rsidRPr="0053650E">
        <w:rPr>
          <w:lang w:val="en-US"/>
        </w:rPr>
        <w:t>pmol</w:t>
      </w:r>
      <w:proofErr w:type="spellEnd"/>
      <w:r w:rsidRPr="0053650E">
        <w:rPr>
          <w:lang w:val="en-US"/>
        </w:rPr>
        <w:t xml:space="preserve">/well siRNA diluted in Lipofectamine </w:t>
      </w:r>
      <w:proofErr w:type="spellStart"/>
      <w:r w:rsidRPr="0053650E">
        <w:rPr>
          <w:lang w:val="en-US"/>
        </w:rPr>
        <w:t>RNAiMAX</w:t>
      </w:r>
      <w:proofErr w:type="spellEnd"/>
      <w:r w:rsidRPr="0053650E">
        <w:rPr>
          <w:lang w:val="en-US"/>
        </w:rPr>
        <w:t xml:space="preserve"> Reagent and </w:t>
      </w:r>
      <w:proofErr w:type="spellStart"/>
      <w:r w:rsidRPr="0053650E">
        <w:rPr>
          <w:lang w:val="en-US"/>
        </w:rPr>
        <w:t>OptiMEM</w:t>
      </w:r>
      <w:proofErr w:type="spellEnd"/>
      <w:r w:rsidRPr="0053650E">
        <w:rPr>
          <w:lang w:val="en-US"/>
        </w:rPr>
        <w:t xml:space="preserve"> according to the manufacturer’s instruction. After 6 days, wells were washed with DPBS (Lonza</w:t>
      </w:r>
      <w:proofErr w:type="gramStart"/>
      <w:r w:rsidRPr="0053650E">
        <w:rPr>
          <w:lang w:val="en-US"/>
        </w:rPr>
        <w:t>)</w:t>
      </w:r>
      <w:proofErr w:type="gramEnd"/>
      <w:r w:rsidRPr="0053650E">
        <w:rPr>
          <w:lang w:val="en-US"/>
        </w:rPr>
        <w:t xml:space="preserve"> and the cells were fixed by 10% trichloroacetic acid and stained with SRB (Sigma) dye for 15 minutes. Plates were then repeatedly washed with 1% acetic acid to remove excess dye. Protein-bound SRB was then dissolved in 10 mM </w:t>
      </w:r>
      <w:proofErr w:type="gramStart"/>
      <w:r w:rsidRPr="0053650E">
        <w:rPr>
          <w:lang w:val="en-US"/>
        </w:rPr>
        <w:t>Tris</w:t>
      </w:r>
      <w:proofErr w:type="gramEnd"/>
      <w:r w:rsidRPr="0053650E">
        <w:rPr>
          <w:lang w:val="en-US"/>
        </w:rPr>
        <w:t xml:space="preserve"> buffer (pH=7,4) and OD was measured at 570 nm using a microplate reader (EL800, </w:t>
      </w:r>
      <w:proofErr w:type="spellStart"/>
      <w:r w:rsidRPr="0053650E">
        <w:rPr>
          <w:lang w:val="en-US"/>
        </w:rPr>
        <w:t>BioTec</w:t>
      </w:r>
      <w:proofErr w:type="spellEnd"/>
      <w:r w:rsidRPr="0053650E">
        <w:rPr>
          <w:lang w:val="en-US"/>
        </w:rPr>
        <w:t xml:space="preserve"> Instruments, Winooski, VT, USA). OD values were normalized to control, and IC50 values were calculated from transformed data using GraphPad Prism 5 software. Immunoblot samples were isolated and investigated to validate successful HRAS knockdown as stated at immunoblot method section.</w:t>
      </w:r>
    </w:p>
    <w:p w14:paraId="6E917BC9" w14:textId="77777777" w:rsidR="00F86B12" w:rsidRPr="0053650E" w:rsidRDefault="00F86B12" w:rsidP="00F86B12">
      <w:pPr>
        <w:jc w:val="both"/>
        <w:rPr>
          <w:b/>
          <w:bCs/>
          <w:lang w:val="en-US"/>
        </w:rPr>
      </w:pPr>
      <w:r w:rsidRPr="0053650E">
        <w:rPr>
          <w:b/>
          <w:bCs/>
          <w:lang w:val="en-US"/>
        </w:rPr>
        <w:lastRenderedPageBreak/>
        <w:t>Western blotting</w:t>
      </w:r>
    </w:p>
    <w:p w14:paraId="5BD4A290" w14:textId="484F2E6C" w:rsidR="00F86B12" w:rsidRPr="0053650E" w:rsidRDefault="00F86B12" w:rsidP="00F86B12">
      <w:pPr>
        <w:jc w:val="both"/>
        <w:rPr>
          <w:lang w:val="en-US"/>
        </w:rPr>
      </w:pPr>
      <w:r w:rsidRPr="0053650E">
        <w:rPr>
          <w:lang w:val="en-US"/>
        </w:rPr>
        <w:t xml:space="preserve">Protein expression and phosphorylation were investigated by immunoblot assays. Following 48 hours (samples for RAS signalization and detection of </w:t>
      </w:r>
      <w:proofErr w:type="spellStart"/>
      <w:r w:rsidRPr="0053650E">
        <w:rPr>
          <w:lang w:val="en-US"/>
        </w:rPr>
        <w:t>lamin</w:t>
      </w:r>
      <w:proofErr w:type="spellEnd"/>
      <w:r w:rsidRPr="0053650E">
        <w:rPr>
          <w:lang w:val="en-US"/>
        </w:rPr>
        <w:t xml:space="preserve">) or 96 hours (samples for PARP and PCNA) treatment with 500 </w:t>
      </w:r>
      <w:proofErr w:type="spellStart"/>
      <w:r w:rsidRPr="0053650E">
        <w:rPr>
          <w:lang w:val="en-US"/>
        </w:rPr>
        <w:t>nM</w:t>
      </w:r>
      <w:proofErr w:type="spellEnd"/>
      <w:r w:rsidRPr="0053650E">
        <w:rPr>
          <w:lang w:val="en-US"/>
        </w:rPr>
        <w:t xml:space="preserve"> tipifarnib, 100 </w:t>
      </w:r>
      <w:proofErr w:type="spellStart"/>
      <w:r w:rsidRPr="0053650E">
        <w:rPr>
          <w:lang w:val="en-US"/>
        </w:rPr>
        <w:t>nM</w:t>
      </w:r>
      <w:proofErr w:type="spellEnd"/>
      <w:r w:rsidRPr="0053650E">
        <w:rPr>
          <w:lang w:val="en-US"/>
        </w:rPr>
        <w:t xml:space="preserve"> </w:t>
      </w:r>
      <w:proofErr w:type="spellStart"/>
      <w:r w:rsidRPr="0053650E">
        <w:rPr>
          <w:lang w:val="en-US"/>
        </w:rPr>
        <w:t>sotorasib</w:t>
      </w:r>
      <w:proofErr w:type="spellEnd"/>
      <w:r w:rsidRPr="0053650E">
        <w:rPr>
          <w:lang w:val="en-US"/>
        </w:rPr>
        <w:t xml:space="preserve"> or their combination in 6-well plates, cells were washed with DPBS and fixed with 6% trichloroacetic acid for an hour at 4°C. Cells were mechanically harvested and centrifuged at 6000 RCF for 15 minutes. Precipitated protein was dissolved in modified </w:t>
      </w:r>
      <w:proofErr w:type="spellStart"/>
      <w:r w:rsidRPr="0053650E">
        <w:rPr>
          <w:lang w:val="en-US"/>
        </w:rPr>
        <w:t>Läemmli</w:t>
      </w:r>
      <w:proofErr w:type="spellEnd"/>
      <w:r w:rsidRPr="0053650E">
        <w:rPr>
          <w:lang w:val="en-US"/>
        </w:rPr>
        <w:t xml:space="preserve">-type sample buffer containing 0.02% bromophenol blue, 10% glycerol, 2% SDS, 100 mM dithiothreitol (DTT), 5 mM EDTA, 125 mg/ml urea, 90 mM Tris-HCl, pH 7.9.  Qubit fluorometer was used for determination of protein concentration. Equal amounts of protein (20 µg/lane) were loaded onto 10% </w:t>
      </w:r>
      <w:proofErr w:type="spellStart"/>
      <w:r w:rsidRPr="0053650E">
        <w:rPr>
          <w:lang w:val="en-US"/>
        </w:rPr>
        <w:t>poliacrylamid</w:t>
      </w:r>
      <w:proofErr w:type="spellEnd"/>
      <w:r w:rsidRPr="0053650E">
        <w:rPr>
          <w:lang w:val="en-US"/>
        </w:rPr>
        <w:t xml:space="preserve"> gels and transferred after electrophoretic separation to PVDF (polyvinylidene fluoride) membranes. Analyses of RAS mediated signaling were performed using p-AKT (4058S), AKT (9272S), p-S6 (2215S), S6 (2217S), p-ERK1/2 (9101S), ERK1/2 (9102S), RHEB (13879S)</w:t>
      </w:r>
      <w:r w:rsidR="0048793A" w:rsidRPr="0053650E">
        <w:rPr>
          <w:lang w:val="en-US"/>
        </w:rPr>
        <w:t>, FAK (3285), p-FAK (3283)</w:t>
      </w:r>
      <w:r w:rsidRPr="0053650E">
        <w:rPr>
          <w:lang w:val="en-US"/>
        </w:rPr>
        <w:t xml:space="preserve"> and β-TUBULIN (2128S) primary antibodies (all Cell Signaling Technology, Danvers, MA, USA). For detection of apoptosis and cell proliferation PARP (9545S, Cell Signaling Technology) and PCNA (13110S, Cell Signaling Technology) primary antibody was used, respectively. Detection of changes in nuclear lamina was performed using a </w:t>
      </w:r>
      <w:proofErr w:type="spellStart"/>
      <w:r w:rsidRPr="0053650E">
        <w:rPr>
          <w:lang w:val="en-US"/>
        </w:rPr>
        <w:t>lamin</w:t>
      </w:r>
      <w:proofErr w:type="spellEnd"/>
      <w:r w:rsidRPr="0053650E">
        <w:rPr>
          <w:lang w:val="en-US"/>
        </w:rPr>
        <w:t xml:space="preserve"> A/C primary antibody (4777T, Cell Signaling Technology). All antibodies were dissolved according to the manufacturer’s instructions in 5% BSA or dry milk in 1x TTBS (tris-buffered saline supplemented with 1% Tween80) buffer. Membranes were blocked at room temperature in 5% dry milk dissolved in 1x TTBS for an hour, then were incubated in primary antibodies overnight at 4°C. HSP (horse-radish peroxidase) conjugated rabbit secondary antibodies (1:10000, 1 h, RT) and Pierce ECL Western Blotting Substrate (</w:t>
      </w:r>
      <w:proofErr w:type="spellStart"/>
      <w:r w:rsidRPr="0053650E">
        <w:rPr>
          <w:lang w:val="en-US"/>
        </w:rPr>
        <w:t>Thermo</w:t>
      </w:r>
      <w:proofErr w:type="spellEnd"/>
      <w:r w:rsidRPr="0053650E">
        <w:rPr>
          <w:lang w:val="en-US"/>
        </w:rPr>
        <w:t xml:space="preserve"> Fisher Scientific, Waltham, MA, USA) were used for visualization. Ponceau staining was used for normalization. Quantification was performed using ImageJ software</w:t>
      </w:r>
      <w:r w:rsidR="00AF7A28" w:rsidRPr="0053650E">
        <w:rPr>
          <w:lang w:val="en-US"/>
        </w:rPr>
        <w:t xml:space="preserve"> using “sum of all data points in a replicate” method as described in </w:t>
      </w:r>
      <w:r w:rsidR="00AF7A28" w:rsidRPr="0053650E">
        <w:rPr>
          <w:lang w:val="en-US"/>
        </w:rPr>
        <w:fldChar w:fldCharType="begin">
          <w:fldData xml:space="preserve">PEVuZE5vdGU+PENpdGU+PEF1dGhvcj5EZWdhc3Blcmk8L0F1dGhvcj48WWVhcj4yMDE0PC9ZZWFy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</w:fldData>
        </w:fldChar>
      </w:r>
      <w:r w:rsidR="00AF7A28" w:rsidRPr="0053650E">
        <w:rPr>
          <w:lang w:val="en-US"/>
        </w:rPr>
        <w:instrText xml:space="preserve"> ADDIN EN.CITE </w:instrText>
      </w:r>
      <w:r w:rsidR="00AF7A28" w:rsidRPr="0053650E">
        <w:rPr>
          <w:lang w:val="en-US"/>
        </w:rPr>
        <w:fldChar w:fldCharType="begin">
          <w:fldData xml:space="preserve">PEVuZE5vdGU+PENpdGU+PEF1dGhvcj5EZWdhc3Blcmk8L0F1dGhvcj48WWVhcj4yMDE0PC9ZZWFy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</w:fldData>
        </w:fldChar>
      </w:r>
      <w:r w:rsidR="00AF7A28" w:rsidRPr="0053650E">
        <w:rPr>
          <w:lang w:val="en-US"/>
        </w:rPr>
        <w:instrText xml:space="preserve"> ADDIN EN.CITE.DATA </w:instrText>
      </w:r>
      <w:r w:rsidR="00AF7A28" w:rsidRPr="0053650E">
        <w:rPr>
          <w:lang w:val="en-US"/>
        </w:rPr>
      </w:r>
      <w:r w:rsidR="00AF7A28" w:rsidRPr="0053650E">
        <w:rPr>
          <w:lang w:val="en-US"/>
        </w:rPr>
        <w:fldChar w:fldCharType="end"/>
      </w:r>
      <w:r w:rsidR="00AF7A28" w:rsidRPr="0053650E">
        <w:rPr>
          <w:lang w:val="en-US"/>
        </w:rPr>
      </w:r>
      <w:r w:rsidR="00AF7A28" w:rsidRPr="0053650E">
        <w:rPr>
          <w:lang w:val="en-US"/>
        </w:rPr>
        <w:fldChar w:fldCharType="separate"/>
      </w:r>
      <w:r w:rsidR="00AF7A28" w:rsidRPr="0053650E">
        <w:rPr>
          <w:noProof/>
          <w:lang w:val="en-US"/>
        </w:rPr>
        <w:t>(1)</w:t>
      </w:r>
      <w:r w:rsidR="00AF7A28" w:rsidRPr="0053650E">
        <w:rPr>
          <w:lang w:val="en-US"/>
        </w:rPr>
        <w:fldChar w:fldCharType="end"/>
      </w:r>
      <w:r w:rsidRPr="0053650E">
        <w:rPr>
          <w:lang w:val="en-US"/>
        </w:rPr>
        <w:t xml:space="preserve">. Each cell line was analyzed in 3 biological replicates.  </w:t>
      </w:r>
    </w:p>
    <w:p w14:paraId="35AB9D75" w14:textId="1FC0082D" w:rsidR="00776DC7" w:rsidRPr="0053650E" w:rsidRDefault="00776DC7" w:rsidP="00F86B12">
      <w:pPr>
        <w:jc w:val="both"/>
        <w:rPr>
          <w:b/>
          <w:bCs/>
          <w:lang w:val="en-US"/>
        </w:rPr>
      </w:pPr>
      <w:r w:rsidRPr="0053650E">
        <w:rPr>
          <w:b/>
          <w:bCs/>
          <w:lang w:val="en-US"/>
        </w:rPr>
        <w:t>Active RAS pulldown experiments</w:t>
      </w:r>
    </w:p>
    <w:p w14:paraId="036DFA43" w14:textId="7C495BBC" w:rsidR="00776DC7" w:rsidRPr="0053650E" w:rsidRDefault="00776DC7" w:rsidP="00F86B12">
      <w:pPr>
        <w:jc w:val="both"/>
        <w:rPr>
          <w:lang w:val="en-US"/>
        </w:rPr>
      </w:pPr>
      <w:r w:rsidRPr="0053650E">
        <w:rPr>
          <w:lang w:val="en-US"/>
        </w:rPr>
        <w:t xml:space="preserve">SW1573 cells were cultured in 6-well plates and left for a day to attach to the surface. Next day, the medium was replaced to fresh medium containing the inhibitors. Following 48 hours treatment with 500 </w:t>
      </w:r>
      <w:proofErr w:type="spellStart"/>
      <w:r w:rsidRPr="0053650E">
        <w:rPr>
          <w:lang w:val="en-US"/>
        </w:rPr>
        <w:t>nM</w:t>
      </w:r>
      <w:proofErr w:type="spellEnd"/>
      <w:r w:rsidRPr="0053650E">
        <w:rPr>
          <w:lang w:val="en-US"/>
        </w:rPr>
        <w:t xml:space="preserve"> tipifarnib, 100 </w:t>
      </w:r>
      <w:proofErr w:type="spellStart"/>
      <w:r w:rsidRPr="0053650E">
        <w:rPr>
          <w:lang w:val="en-US"/>
        </w:rPr>
        <w:t>nM</w:t>
      </w:r>
      <w:proofErr w:type="spellEnd"/>
      <w:r w:rsidRPr="0053650E">
        <w:rPr>
          <w:lang w:val="en-US"/>
        </w:rPr>
        <w:t xml:space="preserve"> </w:t>
      </w:r>
      <w:proofErr w:type="spellStart"/>
      <w:r w:rsidRPr="0053650E">
        <w:rPr>
          <w:lang w:val="en-US"/>
        </w:rPr>
        <w:t>sotorasib</w:t>
      </w:r>
      <w:proofErr w:type="spellEnd"/>
      <w:r w:rsidRPr="0053650E">
        <w:rPr>
          <w:lang w:val="en-US"/>
        </w:rPr>
        <w:t xml:space="preserve"> or their combination, cells were isolated according to the manufacturer’s instruction. Briefly, cells were lysed with Lysis/Binding/Wash buffer containing proteinase inhibitor and lysates were centrifuged at 16000xg. Supernatant was transferred to a new Eppendorf tube and protein concentration was determined with Qubit fluorometer. 1200 µg from each sample was then incubated with GST-Raf1-RBD and Glutathione Agarose Resin for an hour at room temperature and was centrifuged in a spin cup. Trapped GTP-bound RAS protein was removed from the spin column and dissolved in 50 µl DTT containing 2X SDS sample buffer. Equal volume was then loaded onto 10% </w:t>
      </w:r>
      <w:proofErr w:type="spellStart"/>
      <w:r w:rsidRPr="0053650E">
        <w:rPr>
          <w:lang w:val="en-US"/>
        </w:rPr>
        <w:t>poliacrylamide</w:t>
      </w:r>
      <w:proofErr w:type="spellEnd"/>
      <w:r w:rsidRPr="0053650E">
        <w:rPr>
          <w:lang w:val="en-US"/>
        </w:rPr>
        <w:t xml:space="preserve"> gels and transferred after electrophoretic separation to PVDF membranes. Signal development was performed as stated in the above section. For detection of KRAS4B WH0003845M1 antibody was purchased from Sigma, HRAS was detected by 18295-1-ap from </w:t>
      </w:r>
      <w:proofErr w:type="spellStart"/>
      <w:r w:rsidRPr="0053650E">
        <w:rPr>
          <w:lang w:val="en-US"/>
        </w:rPr>
        <w:t>Proteintech</w:t>
      </w:r>
      <w:proofErr w:type="spellEnd"/>
      <w:r w:rsidRPr="0053650E">
        <w:rPr>
          <w:lang w:val="en-US"/>
        </w:rPr>
        <w:t xml:space="preserve"> and SC-31 antibody (Santa Cruz Biotechnology, Dallas, TX, USA) was used for NRAS.</w:t>
      </w:r>
    </w:p>
    <w:p w14:paraId="766D1309" w14:textId="3322BECE" w:rsidR="0078620B" w:rsidRPr="0053650E" w:rsidRDefault="0078620B" w:rsidP="00736AEA">
      <w:pPr>
        <w:jc w:val="both"/>
        <w:rPr>
          <w:b/>
          <w:bCs/>
          <w:lang w:val="en-US"/>
        </w:rPr>
      </w:pPr>
      <w:r w:rsidRPr="0053650E">
        <w:rPr>
          <w:b/>
          <w:bCs/>
          <w:lang w:val="en-US"/>
        </w:rPr>
        <w:t>Cell migration analyses</w:t>
      </w:r>
    </w:p>
    <w:p w14:paraId="157DF1D6" w14:textId="4CA4291A" w:rsidR="00736AEA" w:rsidRPr="0053650E" w:rsidRDefault="00736AEA" w:rsidP="00736AEA">
      <w:pPr>
        <w:jc w:val="both"/>
        <w:rPr>
          <w:lang w:val="en-US"/>
        </w:rPr>
      </w:pPr>
      <w:r w:rsidRPr="0053650E">
        <w:rPr>
          <w:lang w:val="en-US"/>
        </w:rPr>
        <w:t>For cell migration, videos of PF139 cells were analyzed using CellTracker_v1_1_1 Standalone Version free software.</w:t>
      </w:r>
      <w:r w:rsidR="000A349D" w:rsidRPr="0053650E">
        <w:rPr>
          <w:lang w:val="en-US"/>
        </w:rPr>
        <w:fldChar w:fldCharType="begin"/>
      </w:r>
      <w:r w:rsidR="00AF7A28" w:rsidRPr="0053650E">
        <w:rPr>
          <w:lang w:val="en-US"/>
        </w:rPr>
        <w:instrText xml:space="preserve"> ADDIN EN.CITE &lt;EndNote&gt;&lt;Cite&gt;&lt;Author&gt;Piccinini&lt;/Author&gt;&lt;Year&gt;2016&lt;/Year&gt;&lt;RecNum&gt;345&lt;/RecNum&gt;&lt;DisplayText&gt;(2,3)&lt;/DisplayText&gt;&lt;record&gt;&lt;rec-number&gt;345&lt;/rec-number&gt;&lt;foreign-keys&gt;&lt;key app="EN" db-id="ar5erver1ed9wbe9d2pp9axvf5wr905vptws" timestamp="1665568585"&gt;345&lt;/key&gt;&lt;/foreign-keys&gt;&lt;ref-type name="Journal Article"&gt;17&lt;/ref-type&gt;&lt;contributors&gt;&lt;authors&gt;&lt;author&gt;Piccinini, F.&lt;/author&gt;&lt;author&gt;Kiss, A.&lt;/author&gt;&lt;author&gt;Horvath, P.&lt;/author&gt;&lt;/authors&gt;&lt;/contributors&gt;&lt;auth-address&gt;Advanced Research Center on Electronic Systems for Information and Communication Technologies &amp;quot;E. De Castro&amp;quot; (ARCES), University of Bologna, I-40125 Bologna, Italy.&amp;#xD;Synthetic and System Biology Unit, Hungarian Academia of Sciences, Biological Research Center (BRC), H-6726 Szeged, Hungary and Institute for Molecular Medicine Finland, University of Helsinki, FI-00014 Helsinki, Finland.&lt;/auth-address&gt;&lt;titles&gt;&lt;title&gt;CellTracker (not only) for dummies&lt;/title&gt;&lt;secondary-title&gt;Bioinformatics&lt;/secondary-title&gt;&lt;/titles&gt;&lt;pages&gt;955-7&lt;/pages&gt;&lt;volume&gt;32&lt;/volume&gt;&lt;number&gt;6&lt;/number&gt;&lt;edition&gt;2015/11/22&lt;/edition&gt;&lt;keywords&gt;&lt;keyword&gt;Image Processing, Computer-Assisted&lt;/keyword&gt;&lt;keyword&gt;*Software&lt;/keyword&gt;&lt;/keywords&gt;&lt;dates&gt;&lt;year&gt;2016&lt;/year&gt;&lt;pub-dates&gt;&lt;date&gt;Mar 15&lt;/date&gt;&lt;/pub-dates&gt;&lt;/dates&gt;&lt;isbn&gt;1367-4811 (Electronic)&amp;#xD;1367-4803 (Linking)&lt;/isbn&gt;&lt;accession-num&gt;26589273&lt;/accession-num&gt;&lt;urls&gt;&lt;related-urls&gt;&lt;url&gt;https://www.ncbi.nlm.nih.gov/pubmed/26589273&lt;/url&gt;&lt;/related-urls&gt;&lt;/urls&gt;&lt;electronic-resource-num&gt;10.1093/bioinformatics/btv686&lt;/electronic-resource-num&gt;&lt;/record&gt;&lt;/Cite&gt;&lt;Cite&gt;&lt;Author&gt;http://celltracker.website/index.html&lt;/Author&gt;&lt;RecNum&gt;351&lt;/RecNum&gt;&lt;record&gt;&lt;rec-number&gt;351&lt;/rec-number&gt;&lt;foreign-keys&gt;&lt;key app="EN" db-id="22stvpwf8raeawee5zc5ztr6pespzfpre0ar" timestamp="1683118817"&gt;351&lt;/key&gt;&lt;/foreign-keys&gt;&lt;ref-type name="Journal Article"&gt;17&lt;/ref-type&gt;&lt;contributors&gt;&lt;authors&gt;&lt;author&gt;http://celltracker.website/index.html&lt;/author&gt;&lt;/authors&gt;&lt;/contributors&gt;&lt;titles&gt;&lt;/titles&gt;&lt;dates&gt;&lt;/dates&gt;&lt;urls&gt;&lt;/urls&gt;&lt;/record&gt;&lt;/Cite&gt;&lt;/EndNote&gt;</w:instrText>
      </w:r>
      <w:r w:rsidR="000A349D" w:rsidRPr="0053650E">
        <w:rPr>
          <w:lang w:val="en-US"/>
        </w:rPr>
        <w:fldChar w:fldCharType="separate"/>
      </w:r>
      <w:r w:rsidR="00AF7A28" w:rsidRPr="0053650E">
        <w:rPr>
          <w:noProof/>
          <w:lang w:val="en-US"/>
        </w:rPr>
        <w:t>(2,3)</w:t>
      </w:r>
      <w:r w:rsidR="000A349D" w:rsidRPr="0053650E">
        <w:rPr>
          <w:lang w:val="en-US"/>
        </w:rPr>
        <w:fldChar w:fldCharType="end"/>
      </w:r>
      <w:r w:rsidRPr="0053650E">
        <w:rPr>
          <w:lang w:val="en-US"/>
        </w:rPr>
        <w:t xml:space="preserve"> Cells were seeded into 3 wells for each treatment type. Five cells were randomly chosen from each field of view and their length of displacement was measured using manual tracking from 24 to 48 hours of the treatment. Only cells that stayed in the field of view in all frames (from 144-288) were chosen. Before tracking, videos were processed with the software: frames outside 144-288 were removed, then vignetting correction was applied with bicubic interpolation (block size: 120, maximum allowed displacement: 60). Manual tracking was performed by skipping 5 images with every </w:t>
      </w:r>
      <w:r w:rsidRPr="0053650E">
        <w:rPr>
          <w:lang w:val="en-US"/>
        </w:rPr>
        <w:lastRenderedPageBreak/>
        <w:t>click, on these frames dynamic interpolation was applied (maximum cell displacement: 30; cell diameter: 65 and using template matching). Tracks were manually reviewed and corrected if necessary. Total displacement data of the tracks was used for later analysis. Experiments were repeated thrice independently and were collected and analyzed together.</w:t>
      </w:r>
    </w:p>
    <w:p w14:paraId="2BB88864" w14:textId="6F2C5756" w:rsidR="00F7323B" w:rsidRPr="0053650E" w:rsidRDefault="00F7323B" w:rsidP="00736AEA">
      <w:pPr>
        <w:jc w:val="both"/>
        <w:rPr>
          <w:b/>
          <w:bCs/>
          <w:lang w:val="en-US"/>
        </w:rPr>
      </w:pPr>
      <w:r w:rsidRPr="0053650E">
        <w:rPr>
          <w:b/>
          <w:bCs/>
          <w:lang w:val="en-US"/>
        </w:rPr>
        <w:t>Scratch assay</w:t>
      </w:r>
    </w:p>
    <w:p w14:paraId="5743A428" w14:textId="5FE1D091" w:rsidR="0072355D" w:rsidRPr="0053650E" w:rsidRDefault="0072355D" w:rsidP="0072355D">
      <w:pPr>
        <w:jc w:val="both"/>
        <w:rPr>
          <w:lang w:val="en-US"/>
        </w:rPr>
      </w:pPr>
      <w:r w:rsidRPr="0053650E">
        <w:rPr>
          <w:lang w:val="en-US"/>
        </w:rPr>
        <w:t xml:space="preserve">Scratch assays were performed in two independent settings. One biological replicate for each LUAD cell line (H358, PF139 and SW1573) was prepared using the </w:t>
      </w:r>
      <w:proofErr w:type="spellStart"/>
      <w:r w:rsidRPr="0053650E">
        <w:rPr>
          <w:lang w:val="en-US"/>
        </w:rPr>
        <w:t>MuviCyte</w:t>
      </w:r>
      <w:proofErr w:type="spellEnd"/>
      <w:r w:rsidRPr="0053650E">
        <w:rPr>
          <w:lang w:val="en-US"/>
        </w:rPr>
        <w:t xml:space="preserve">™ live-cell Imaging System (PerkinElmer, Waltham, MA) supplied with a </w:t>
      </w:r>
      <w:proofErr w:type="spellStart"/>
      <w:r w:rsidRPr="0053650E">
        <w:rPr>
          <w:lang w:val="en-US"/>
        </w:rPr>
        <w:t>MuviCyte</w:t>
      </w:r>
      <w:proofErr w:type="spellEnd"/>
      <w:r w:rsidRPr="0053650E">
        <w:rPr>
          <w:lang w:val="en-US"/>
        </w:rPr>
        <w:t xml:space="preserve">™ scratcher (PerkinElmer) to perform standardized scratches on 96 well plates following the manufacturer’s instructions; while two further biological replicates were prepared using the </w:t>
      </w:r>
      <w:proofErr w:type="spellStart"/>
      <w:r w:rsidRPr="0053650E">
        <w:rPr>
          <w:lang w:val="en-US"/>
        </w:rPr>
        <w:t>zenCellowl</w:t>
      </w:r>
      <w:proofErr w:type="spellEnd"/>
      <w:r w:rsidRPr="0053650E">
        <w:rPr>
          <w:lang w:val="en-US"/>
        </w:rPr>
        <w:t xml:space="preserve"> incubator microscope (</w:t>
      </w:r>
      <w:proofErr w:type="spellStart"/>
      <w:r w:rsidRPr="0053650E">
        <w:rPr>
          <w:lang w:val="en-US"/>
        </w:rPr>
        <w:t>innoME</w:t>
      </w:r>
      <w:proofErr w:type="spellEnd"/>
      <w:r w:rsidRPr="0053650E">
        <w:rPr>
          <w:lang w:val="en-US"/>
        </w:rPr>
        <w:t xml:space="preserve">, </w:t>
      </w:r>
      <w:proofErr w:type="spellStart"/>
      <w:r w:rsidRPr="0053650E">
        <w:rPr>
          <w:lang w:val="en-US"/>
        </w:rPr>
        <w:t>Espelkamp</w:t>
      </w:r>
      <w:proofErr w:type="spellEnd"/>
      <w:r w:rsidRPr="0053650E">
        <w:rPr>
          <w:lang w:val="en-US"/>
        </w:rPr>
        <w:t xml:space="preserve">, Germany) with 24 well plates preparing scratch manually with a 10 </w:t>
      </w:r>
      <w:r w:rsidRPr="0053650E">
        <w:rPr>
          <w:rFonts w:cstheme="minorHAnsi"/>
          <w:lang w:val="en-US"/>
        </w:rPr>
        <w:t>µ</w:t>
      </w:r>
      <w:r w:rsidRPr="0053650E">
        <w:rPr>
          <w:lang w:val="en-US"/>
        </w:rPr>
        <w:t xml:space="preserve">l pipette tip using a mold provided by the manufacturer. Briefly, cells were seeded at high number to cover confluently the whole well and left for overnight to attach. Next day, scratches were made, wells were washed with DPBS to remove debris and fresh medium were added supplemented with the inhibitors (100 </w:t>
      </w:r>
      <w:proofErr w:type="spellStart"/>
      <w:r w:rsidRPr="0053650E">
        <w:rPr>
          <w:lang w:val="en-US"/>
        </w:rPr>
        <w:t>nM</w:t>
      </w:r>
      <w:proofErr w:type="spellEnd"/>
      <w:r w:rsidRPr="0053650E">
        <w:rPr>
          <w:lang w:val="en-US"/>
        </w:rPr>
        <w:t xml:space="preserve"> </w:t>
      </w:r>
      <w:proofErr w:type="spellStart"/>
      <w:r w:rsidRPr="0053650E">
        <w:rPr>
          <w:lang w:val="en-US"/>
        </w:rPr>
        <w:t>sotorasib</w:t>
      </w:r>
      <w:proofErr w:type="spellEnd"/>
      <w:r w:rsidRPr="0053650E">
        <w:rPr>
          <w:lang w:val="en-US"/>
        </w:rPr>
        <w:t xml:space="preserve">, 500 </w:t>
      </w:r>
      <w:proofErr w:type="spellStart"/>
      <w:r w:rsidRPr="0053650E">
        <w:rPr>
          <w:lang w:val="en-US"/>
        </w:rPr>
        <w:t>nM</w:t>
      </w:r>
      <w:proofErr w:type="spellEnd"/>
      <w:r w:rsidRPr="0053650E">
        <w:rPr>
          <w:lang w:val="en-US"/>
        </w:rPr>
        <w:t xml:space="preserve"> tipifarnib or their combination). For </w:t>
      </w:r>
      <w:proofErr w:type="spellStart"/>
      <w:r w:rsidRPr="0053650E">
        <w:rPr>
          <w:lang w:val="en-US"/>
        </w:rPr>
        <w:t>MuviCyte</w:t>
      </w:r>
      <w:proofErr w:type="spellEnd"/>
      <w:r w:rsidRPr="0053650E">
        <w:rPr>
          <w:lang w:val="en-US"/>
        </w:rPr>
        <w:t xml:space="preserve">™ experiments, four parallel wells were assigned to each treatment group, while one well was used per treatment for </w:t>
      </w:r>
      <w:proofErr w:type="spellStart"/>
      <w:r w:rsidRPr="0053650E">
        <w:rPr>
          <w:lang w:val="en-US"/>
        </w:rPr>
        <w:t>zenCellowl</w:t>
      </w:r>
      <w:proofErr w:type="spellEnd"/>
      <w:r w:rsidRPr="0053650E">
        <w:rPr>
          <w:lang w:val="en-US"/>
        </w:rPr>
        <w:t xml:space="preserve"> experiments. Wound closure was monitored for 72 hours pictures taken from every well in every 6</w:t>
      </w:r>
      <w:r w:rsidRPr="0053650E">
        <w:rPr>
          <w:vertAlign w:val="superscript"/>
          <w:lang w:val="en-US"/>
        </w:rPr>
        <w:t>th</w:t>
      </w:r>
      <w:r w:rsidRPr="0053650E">
        <w:rPr>
          <w:lang w:val="en-US"/>
        </w:rPr>
        <w:t xml:space="preserve"> hour. Analyses of video was performed using a modified script of </w:t>
      </w:r>
      <w:r w:rsidRPr="0053650E">
        <w:rPr>
          <w:lang w:val="en-US"/>
        </w:rPr>
        <w:fldChar w:fldCharType="begin"/>
      </w:r>
      <w:r w:rsidR="00AF7A28" w:rsidRPr="0053650E">
        <w:rPr>
          <w:lang w:val="en-US"/>
        </w:rPr>
        <w:instrText xml:space="preserve"> ADDIN EN.CITE &lt;EndNote&gt;&lt;Cite&gt;&lt;Author&gt;Suarez-Arnedo&lt;/Author&gt;&lt;Year&gt;2020&lt;/Year&gt;&lt;RecNum&gt;366&lt;/RecNum&gt;&lt;DisplayText&gt;(4)&lt;/DisplayText&gt;&lt;record&gt;&lt;rec-number&gt;366&lt;/rec-number&gt;&lt;foreign-keys&gt;&lt;key app="EN" db-id="ar5erver1ed9wbe9d2pp9axvf5wr905vptws" timestamp="1695717952"&gt;366&lt;/key&gt;&lt;/foreign-keys&gt;&lt;ref-type name="Journal Article"&gt;17&lt;/ref-type&gt;&lt;contributors&gt;&lt;authors&gt;&lt;author&gt;Suarez-Arnedo, A.&lt;/author&gt;&lt;author&gt;Torres Figueroa, F.&lt;/author&gt;&lt;author&gt;Clavijo, C.&lt;/author&gt;&lt;author&gt;Arbelaez, P.&lt;/author&gt;&lt;author&gt;Cruz, J. C.&lt;/author&gt;&lt;author&gt;Munoz-Camargo, C.&lt;/author&gt;&lt;/authors&gt;&lt;/contributors&gt;&lt;auth-address&gt;Department of Biomedical Engineering, Universidad de los Andes, Bogota, Colombia.&lt;/auth-address&gt;&lt;titles&gt;&lt;title&gt;An image J plugin for the high throughput image analysis of in vitro scratch wound healing assays&lt;/title&gt;&lt;secondary-title&gt;PLoS One&lt;/secondary-title&gt;&lt;/titles&gt;&lt;periodical&gt;&lt;full-title&gt;PLoS One&lt;/full-title&gt;&lt;/periodical&gt;&lt;pages&gt;e0232565&lt;/pages&gt;&lt;volume&gt;15&lt;/volume&gt;&lt;number&gt;7&lt;/number&gt;&lt;edition&gt;2020/07/30&lt;/edition&gt;&lt;keywords&gt;&lt;keyword&gt;Cell Line&lt;/keyword&gt;&lt;keyword&gt;Cell Movement&lt;/keyword&gt;&lt;keyword&gt;Culture Media, Conditioned/pharmacology&lt;/keyword&gt;&lt;keyword&gt;Humans&lt;/keyword&gt;&lt;keyword&gt;Image Processing, Computer-Assisted/*methods&lt;/keyword&gt;&lt;keyword&gt;Keratinocytes/drug effects&lt;/keyword&gt;&lt;keyword&gt;Mesenchymal Stem Cells/chemistry&lt;/keyword&gt;&lt;keyword&gt;Reproducibility of Results&lt;/keyword&gt;&lt;keyword&gt;*Software&lt;/keyword&gt;&lt;keyword&gt;*Wound Healing/drug effects&lt;/keyword&gt;&lt;/keywords&gt;&lt;dates&gt;&lt;year&gt;2020&lt;/year&gt;&lt;/dates&gt;&lt;isbn&gt;1932-6203 (Electronic)&amp;#xD;1932-6203 (Linking)&lt;/isbn&gt;&lt;accession-num&gt;32722676&lt;/accession-num&gt;&lt;urls&gt;&lt;related-urls&gt;&lt;url&gt;https://www.ncbi.nlm.nih.gov/pubmed/32722676&lt;/url&gt;&lt;/related-urls&gt;&lt;/urls&gt;&lt;custom2&gt;PMC7386569&lt;/custom2&gt;&lt;electronic-resource-num&gt;10.1371/journal.pone.0232565&lt;/electronic-resource-num&gt;&lt;/record&gt;&lt;/Cite&gt;&lt;/EndNote&gt;</w:instrText>
      </w:r>
      <w:r w:rsidRPr="0053650E">
        <w:rPr>
          <w:lang w:val="en-US"/>
        </w:rPr>
        <w:fldChar w:fldCharType="separate"/>
      </w:r>
      <w:r w:rsidR="00AF7A28" w:rsidRPr="0053650E">
        <w:rPr>
          <w:noProof/>
          <w:lang w:val="en-US"/>
        </w:rPr>
        <w:t>(4)</w:t>
      </w:r>
      <w:r w:rsidRPr="0053650E">
        <w:rPr>
          <w:lang w:val="en-US"/>
        </w:rPr>
        <w:fldChar w:fldCharType="end"/>
      </w:r>
      <w:r w:rsidRPr="0053650E">
        <w:rPr>
          <w:lang w:val="en-US"/>
        </w:rPr>
        <w:t xml:space="preserve"> for ImageJ Fiji software. The script measures automatically area of the scratch for different timepoints. Data were normalized to and expressed as percentage of the starting scratch area. For </w:t>
      </w:r>
      <w:proofErr w:type="spellStart"/>
      <w:r w:rsidRPr="0053650E">
        <w:rPr>
          <w:lang w:val="en-US"/>
        </w:rPr>
        <w:t>Muvicyte</w:t>
      </w:r>
      <w:proofErr w:type="spellEnd"/>
      <w:r w:rsidRPr="0053650E">
        <w:rPr>
          <w:lang w:val="en-US"/>
        </w:rPr>
        <w:t xml:space="preserve"> experiments, data from four wells per treatment group were averaged and used as a single replicate graphed with data from </w:t>
      </w:r>
      <w:proofErr w:type="spellStart"/>
      <w:r w:rsidRPr="0053650E">
        <w:rPr>
          <w:lang w:val="en-US"/>
        </w:rPr>
        <w:t>zenCellowl</w:t>
      </w:r>
      <w:proofErr w:type="spellEnd"/>
      <w:r w:rsidRPr="0053650E">
        <w:rPr>
          <w:lang w:val="en-US"/>
        </w:rPr>
        <w:t xml:space="preserve"> experiments in GraphPad Prism 5 software. In summary, three independent biological replicates were included in the analysis. T</w:t>
      </w:r>
      <w:r w:rsidRPr="0053650E">
        <w:rPr>
          <w:vertAlign w:val="subscript"/>
          <w:lang w:val="en-US"/>
        </w:rPr>
        <w:t>1/2</w:t>
      </w:r>
      <w:r w:rsidRPr="0053650E">
        <w:rPr>
          <w:lang w:val="en-US"/>
        </w:rPr>
        <w:t xml:space="preserve"> wound closure data was calculated with GraphPad Prism 5 software using non-linear regression (log[inhibitor] vs normalized response, variable slope). </w:t>
      </w:r>
    </w:p>
    <w:p w14:paraId="033E8513" w14:textId="53B040F3" w:rsidR="008437E8" w:rsidRPr="0053650E" w:rsidRDefault="008437E8" w:rsidP="00736AEA">
      <w:pPr>
        <w:jc w:val="both"/>
        <w:rPr>
          <w:b/>
          <w:bCs/>
          <w:lang w:val="en-US"/>
        </w:rPr>
      </w:pPr>
      <w:r w:rsidRPr="0053650E">
        <w:rPr>
          <w:b/>
          <w:bCs/>
          <w:lang w:val="en-US"/>
        </w:rPr>
        <w:t>Cell division</w:t>
      </w:r>
      <w:r w:rsidR="00224822" w:rsidRPr="0053650E">
        <w:rPr>
          <w:b/>
          <w:bCs/>
          <w:lang w:val="en-US"/>
        </w:rPr>
        <w:t xml:space="preserve"> and cytokinesis length</w:t>
      </w:r>
      <w:r w:rsidRPr="0053650E">
        <w:rPr>
          <w:b/>
          <w:bCs/>
          <w:lang w:val="en-US"/>
        </w:rPr>
        <w:t xml:space="preserve"> analyses</w:t>
      </w:r>
    </w:p>
    <w:p w14:paraId="0D26B86D" w14:textId="51B236B4" w:rsidR="00FC5E96" w:rsidRPr="0053650E" w:rsidRDefault="00FC5E96" w:rsidP="00736AEA">
      <w:pPr>
        <w:jc w:val="both"/>
        <w:rPr>
          <w:lang w:val="en-US"/>
        </w:rPr>
      </w:pPr>
      <w:r w:rsidRPr="0053650E">
        <w:rPr>
          <w:lang w:val="en-US"/>
        </w:rPr>
        <w:t>Cell divisions were counted manually using the Cell Counter plugin of the ImageJ Fiji software. Technically, a grid of 350000 pixels per area were applied to each video and number of divisions were determined in three pre-determined squares. Counted cell divisions in each field of view were summed from 0 to 24th, from 24th to 48th and finally from 48th to 72nd hours of the experiments and evaluated using GraphPad Prism 5 software (GraphPad, La Jolla, San Diego, CA, USA). Each graph shows data from three independent experiments.</w:t>
      </w:r>
      <w:r w:rsidR="00224822" w:rsidRPr="0053650E">
        <w:rPr>
          <w:lang w:val="en-US"/>
        </w:rPr>
        <w:t xml:space="preserve"> </w:t>
      </w:r>
      <w:r w:rsidRPr="0053650E">
        <w:rPr>
          <w:lang w:val="en-US"/>
        </w:rPr>
        <w:t>Determination of length of cytokinesis was performed similarly to cell division counting. Videos were analyzed from the 48th hour after treatment. 350000 pixel2 grid was also applied of which six squares were involved in the analyzes. Length of cytokinesis of the first dividing cell in each square was determined, resulting in six data point/video. Length values were combined and statistically analyzed using GraphPad Prism 5 software.</w:t>
      </w:r>
    </w:p>
    <w:p w14:paraId="453314C2" w14:textId="77777777" w:rsidR="00F7323B" w:rsidRPr="0053650E" w:rsidRDefault="00F7323B" w:rsidP="00736AEA">
      <w:pPr>
        <w:jc w:val="both"/>
        <w:rPr>
          <w:lang w:val="en-US"/>
        </w:rPr>
      </w:pPr>
    </w:p>
    <w:p w14:paraId="188F15CB" w14:textId="44952E57" w:rsidR="00224822" w:rsidRPr="0053650E" w:rsidRDefault="00224822" w:rsidP="00736AEA">
      <w:pPr>
        <w:jc w:val="both"/>
        <w:rPr>
          <w:b/>
          <w:bCs/>
          <w:lang w:val="en-US"/>
        </w:rPr>
      </w:pPr>
      <w:r w:rsidRPr="0053650E">
        <w:rPr>
          <w:b/>
          <w:bCs/>
          <w:lang w:val="en-US"/>
        </w:rPr>
        <w:t>References</w:t>
      </w:r>
    </w:p>
    <w:p w14:paraId="20A59B23" w14:textId="77777777" w:rsidR="00AF7A28" w:rsidRPr="0053650E" w:rsidRDefault="000A349D" w:rsidP="00AF7A28">
      <w:pPr>
        <w:pStyle w:val="EndNoteBibliography"/>
        <w:spacing w:after="0"/>
        <w:ind w:left="720" w:hanging="720"/>
      </w:pPr>
      <w:r w:rsidRPr="0053650E">
        <w:rPr>
          <w:b/>
          <w:bCs/>
        </w:rPr>
        <w:fldChar w:fldCharType="begin"/>
      </w:r>
      <w:r w:rsidRPr="0053650E">
        <w:rPr>
          <w:b/>
          <w:bCs/>
        </w:rPr>
        <w:instrText xml:space="preserve"> ADDIN EN.REFLIST </w:instrText>
      </w:r>
      <w:r w:rsidRPr="0053650E">
        <w:rPr>
          <w:b/>
          <w:bCs/>
        </w:rPr>
        <w:fldChar w:fldCharType="separate"/>
      </w:r>
      <w:r w:rsidR="00AF7A28" w:rsidRPr="0053650E">
        <w:t>1.</w:t>
      </w:r>
      <w:r w:rsidR="00AF7A28" w:rsidRPr="0053650E">
        <w:tab/>
        <w:t xml:space="preserve">Degasperi A, Birtwistle MR, Volinsky N, Rauch J, Kolch W, Kholodenko BN. Evaluating strategies to normalise biological replicates of Western blot data. PloS one </w:t>
      </w:r>
      <w:r w:rsidR="00AF7A28" w:rsidRPr="0053650E">
        <w:rPr>
          <w:b/>
        </w:rPr>
        <w:t>2014</w:t>
      </w:r>
      <w:r w:rsidR="00AF7A28" w:rsidRPr="0053650E">
        <w:t>;9:e87293</w:t>
      </w:r>
    </w:p>
    <w:p w14:paraId="5682B4E1" w14:textId="77777777" w:rsidR="00AF7A28" w:rsidRPr="0053650E" w:rsidRDefault="00AF7A28" w:rsidP="00AF7A28">
      <w:pPr>
        <w:pStyle w:val="EndNoteBibliography"/>
        <w:spacing w:after="0"/>
        <w:ind w:left="720" w:hanging="720"/>
      </w:pPr>
      <w:r w:rsidRPr="0053650E">
        <w:t>2.</w:t>
      </w:r>
      <w:r w:rsidRPr="0053650E">
        <w:tab/>
        <w:t xml:space="preserve">Piccinini F, Kiss A, Horvath P. CellTracker (not only) for dummies. Bioinformatics </w:t>
      </w:r>
      <w:r w:rsidRPr="0053650E">
        <w:rPr>
          <w:b/>
        </w:rPr>
        <w:t>2016</w:t>
      </w:r>
      <w:r w:rsidRPr="0053650E">
        <w:t>;32:955-7</w:t>
      </w:r>
    </w:p>
    <w:p w14:paraId="1B36CA87" w14:textId="45F665D7" w:rsidR="00AF7A28" w:rsidRPr="0053650E" w:rsidRDefault="00AF7A28" w:rsidP="00AF7A28">
      <w:pPr>
        <w:pStyle w:val="EndNoteBibliography"/>
        <w:spacing w:after="0"/>
        <w:ind w:left="720" w:hanging="720"/>
      </w:pPr>
      <w:r w:rsidRPr="0053650E">
        <w:t>3.</w:t>
      </w:r>
      <w:r w:rsidRPr="0053650E">
        <w:tab/>
      </w:r>
      <w:hyperlink r:id="rId7" w:history="1">
        <w:r w:rsidRPr="0053650E">
          <w:rPr>
            <w:rStyle w:val="Hiperhivatkozs"/>
          </w:rPr>
          <w:t>http://celltracker.website/index.html</w:t>
        </w:r>
      </w:hyperlink>
      <w:r w:rsidRPr="0053650E">
        <w:t xml:space="preserve">. </w:t>
      </w:r>
    </w:p>
    <w:p w14:paraId="509AB9BE" w14:textId="77777777" w:rsidR="00AF7A28" w:rsidRPr="0053650E" w:rsidRDefault="00AF7A28" w:rsidP="00AF7A28">
      <w:pPr>
        <w:pStyle w:val="EndNoteBibliography"/>
        <w:ind w:left="720" w:hanging="720"/>
      </w:pPr>
      <w:r w:rsidRPr="0053650E">
        <w:t>4.</w:t>
      </w:r>
      <w:r w:rsidRPr="0053650E">
        <w:tab/>
        <w:t xml:space="preserve">Suarez-Arnedo A, Torres Figueroa F, Clavijo C, Arbelaez P, Cruz JC, Munoz-Camargo C. An image J plugin for the high throughput image analysis of in vitro scratch wound healing assays. PLoS One </w:t>
      </w:r>
      <w:r w:rsidRPr="0053650E">
        <w:rPr>
          <w:b/>
        </w:rPr>
        <w:t>2020</w:t>
      </w:r>
      <w:r w:rsidRPr="0053650E">
        <w:t>;15:e0232565</w:t>
      </w:r>
    </w:p>
    <w:p w14:paraId="1B9BC194" w14:textId="78C553C5" w:rsidR="00224822" w:rsidRPr="00224822" w:rsidRDefault="000A349D" w:rsidP="00736AEA">
      <w:pPr>
        <w:jc w:val="both"/>
        <w:rPr>
          <w:b/>
          <w:bCs/>
          <w:lang w:val="en-US"/>
        </w:rPr>
      </w:pPr>
      <w:r w:rsidRPr="0053650E">
        <w:rPr>
          <w:b/>
          <w:bCs/>
          <w:lang w:val="en-US"/>
        </w:rPr>
        <w:lastRenderedPageBreak/>
        <w:fldChar w:fldCharType="end"/>
      </w:r>
    </w:p>
    <w:sectPr w:rsidR="00224822" w:rsidRPr="002248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7D347" w14:textId="77777777" w:rsidR="00B97683" w:rsidRDefault="00B97683" w:rsidP="0078620B">
      <w:pPr>
        <w:spacing w:after="0" w:line="240" w:lineRule="auto"/>
      </w:pPr>
      <w:r>
        <w:separator/>
      </w:r>
    </w:p>
  </w:endnote>
  <w:endnote w:type="continuationSeparator" w:id="0">
    <w:p w14:paraId="2E9F9C60" w14:textId="77777777" w:rsidR="00B97683" w:rsidRDefault="00B97683" w:rsidP="00786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D817D" w14:textId="77777777" w:rsidR="00B97683" w:rsidRDefault="00B97683" w:rsidP="0078620B">
      <w:pPr>
        <w:spacing w:after="0" w:line="240" w:lineRule="auto"/>
      </w:pPr>
      <w:r>
        <w:separator/>
      </w:r>
    </w:p>
  </w:footnote>
  <w:footnote w:type="continuationSeparator" w:id="0">
    <w:p w14:paraId="6A9D6C61" w14:textId="77777777" w:rsidR="00B97683" w:rsidRDefault="00B97683" w:rsidP="007862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ancer Researc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stvpwf8raeawee5zc5ztr6pespzfpre0ar&quot;&gt;g12c_manuscript&lt;record-ids&gt;&lt;item&gt;351&lt;/item&gt;&lt;item&gt;366&lt;/item&gt;&lt;/record-ids&gt;&lt;/item&gt;&lt;/Libraries&gt;"/>
  </w:docVars>
  <w:rsids>
    <w:rsidRoot w:val="00265375"/>
    <w:rsid w:val="000725EA"/>
    <w:rsid w:val="000A349D"/>
    <w:rsid w:val="0015618E"/>
    <w:rsid w:val="00217152"/>
    <w:rsid w:val="00224822"/>
    <w:rsid w:val="00265375"/>
    <w:rsid w:val="00274AD7"/>
    <w:rsid w:val="002D47B7"/>
    <w:rsid w:val="00301626"/>
    <w:rsid w:val="00352342"/>
    <w:rsid w:val="00395FF0"/>
    <w:rsid w:val="003B0829"/>
    <w:rsid w:val="004706F4"/>
    <w:rsid w:val="00474C38"/>
    <w:rsid w:val="0048793A"/>
    <w:rsid w:val="004B6B76"/>
    <w:rsid w:val="0053650E"/>
    <w:rsid w:val="00563ED8"/>
    <w:rsid w:val="005771CD"/>
    <w:rsid w:val="00600DB7"/>
    <w:rsid w:val="006763CD"/>
    <w:rsid w:val="006D06FE"/>
    <w:rsid w:val="0072355D"/>
    <w:rsid w:val="00736AEA"/>
    <w:rsid w:val="00776DC7"/>
    <w:rsid w:val="0078620B"/>
    <w:rsid w:val="008437E8"/>
    <w:rsid w:val="00982D78"/>
    <w:rsid w:val="00AF7A28"/>
    <w:rsid w:val="00B56164"/>
    <w:rsid w:val="00B6373E"/>
    <w:rsid w:val="00B97683"/>
    <w:rsid w:val="00BD77BF"/>
    <w:rsid w:val="00E165BA"/>
    <w:rsid w:val="00E87B74"/>
    <w:rsid w:val="00F169CC"/>
    <w:rsid w:val="00F7323B"/>
    <w:rsid w:val="00F86B12"/>
    <w:rsid w:val="00FC5E9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C415D"/>
  <w15:chartTrackingRefBased/>
  <w15:docId w15:val="{B9E8D2D6-8F7E-4446-B3A2-52BF860BE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65375"/>
    <w:pPr>
      <w:spacing w:line="256" w:lineRule="auto"/>
    </w:pPr>
    <w:rPr>
      <w:kern w:val="0"/>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78620B"/>
    <w:pPr>
      <w:tabs>
        <w:tab w:val="center" w:pos="4536"/>
        <w:tab w:val="right" w:pos="9072"/>
      </w:tabs>
      <w:spacing w:after="0" w:line="240" w:lineRule="auto"/>
    </w:pPr>
  </w:style>
  <w:style w:type="character" w:customStyle="1" w:styleId="lfejChar">
    <w:name w:val="Élőfej Char"/>
    <w:basedOn w:val="Bekezdsalapbettpusa"/>
    <w:link w:val="lfej"/>
    <w:uiPriority w:val="99"/>
    <w:rsid w:val="0078620B"/>
    <w:rPr>
      <w:kern w:val="0"/>
      <w14:ligatures w14:val="none"/>
    </w:rPr>
  </w:style>
  <w:style w:type="paragraph" w:styleId="llb">
    <w:name w:val="footer"/>
    <w:basedOn w:val="Norml"/>
    <w:link w:val="llbChar"/>
    <w:uiPriority w:val="99"/>
    <w:unhideWhenUsed/>
    <w:rsid w:val="0078620B"/>
    <w:pPr>
      <w:tabs>
        <w:tab w:val="center" w:pos="4536"/>
        <w:tab w:val="right" w:pos="9072"/>
      </w:tabs>
      <w:spacing w:after="0" w:line="240" w:lineRule="auto"/>
    </w:pPr>
  </w:style>
  <w:style w:type="character" w:customStyle="1" w:styleId="llbChar">
    <w:name w:val="Élőláb Char"/>
    <w:basedOn w:val="Bekezdsalapbettpusa"/>
    <w:link w:val="llb"/>
    <w:uiPriority w:val="99"/>
    <w:rsid w:val="0078620B"/>
    <w:rPr>
      <w:kern w:val="0"/>
      <w14:ligatures w14:val="none"/>
    </w:rPr>
  </w:style>
  <w:style w:type="character" w:styleId="Jegyzethivatkozs">
    <w:name w:val="annotation reference"/>
    <w:basedOn w:val="Bekezdsalapbettpusa"/>
    <w:uiPriority w:val="99"/>
    <w:semiHidden/>
    <w:unhideWhenUsed/>
    <w:rsid w:val="00982D78"/>
    <w:rPr>
      <w:sz w:val="16"/>
      <w:szCs w:val="16"/>
    </w:rPr>
  </w:style>
  <w:style w:type="paragraph" w:styleId="Jegyzetszveg">
    <w:name w:val="annotation text"/>
    <w:basedOn w:val="Norml"/>
    <w:link w:val="JegyzetszvegChar"/>
    <w:uiPriority w:val="99"/>
    <w:semiHidden/>
    <w:unhideWhenUsed/>
    <w:rsid w:val="00982D78"/>
    <w:pPr>
      <w:spacing w:line="240" w:lineRule="auto"/>
    </w:pPr>
    <w:rPr>
      <w:sz w:val="20"/>
      <w:szCs w:val="20"/>
    </w:rPr>
  </w:style>
  <w:style w:type="character" w:customStyle="1" w:styleId="JegyzetszvegChar">
    <w:name w:val="Jegyzetszöveg Char"/>
    <w:basedOn w:val="Bekezdsalapbettpusa"/>
    <w:link w:val="Jegyzetszveg"/>
    <w:uiPriority w:val="99"/>
    <w:semiHidden/>
    <w:rsid w:val="00982D78"/>
    <w:rPr>
      <w:kern w:val="0"/>
      <w:sz w:val="20"/>
      <w:szCs w:val="20"/>
      <w14:ligatures w14:val="none"/>
    </w:rPr>
  </w:style>
  <w:style w:type="paragraph" w:styleId="Megjegyzstrgya">
    <w:name w:val="annotation subject"/>
    <w:basedOn w:val="Jegyzetszveg"/>
    <w:next w:val="Jegyzetszveg"/>
    <w:link w:val="MegjegyzstrgyaChar"/>
    <w:uiPriority w:val="99"/>
    <w:semiHidden/>
    <w:unhideWhenUsed/>
    <w:rsid w:val="00982D78"/>
    <w:rPr>
      <w:b/>
      <w:bCs/>
    </w:rPr>
  </w:style>
  <w:style w:type="character" w:customStyle="1" w:styleId="MegjegyzstrgyaChar">
    <w:name w:val="Megjegyzés tárgya Char"/>
    <w:basedOn w:val="JegyzetszvegChar"/>
    <w:link w:val="Megjegyzstrgya"/>
    <w:uiPriority w:val="99"/>
    <w:semiHidden/>
    <w:rsid w:val="00982D78"/>
    <w:rPr>
      <w:b/>
      <w:bCs/>
      <w:kern w:val="0"/>
      <w:sz w:val="20"/>
      <w:szCs w:val="20"/>
      <w14:ligatures w14:val="none"/>
    </w:rPr>
  </w:style>
  <w:style w:type="paragraph" w:styleId="Buborkszveg">
    <w:name w:val="Balloon Text"/>
    <w:basedOn w:val="Norml"/>
    <w:link w:val="BuborkszvegChar"/>
    <w:uiPriority w:val="99"/>
    <w:semiHidden/>
    <w:unhideWhenUsed/>
    <w:rsid w:val="00982D78"/>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982D78"/>
    <w:rPr>
      <w:rFonts w:ascii="Segoe UI" w:hAnsi="Segoe UI" w:cs="Segoe UI"/>
      <w:kern w:val="0"/>
      <w:sz w:val="18"/>
      <w:szCs w:val="18"/>
      <w14:ligatures w14:val="none"/>
    </w:rPr>
  </w:style>
  <w:style w:type="paragraph" w:customStyle="1" w:styleId="EndNoteBibliographyTitle">
    <w:name w:val="EndNote Bibliography Title"/>
    <w:basedOn w:val="Norml"/>
    <w:link w:val="EndNoteBibliographyTitleChar"/>
    <w:rsid w:val="000A349D"/>
    <w:pPr>
      <w:spacing w:after="0"/>
      <w:jc w:val="center"/>
    </w:pPr>
    <w:rPr>
      <w:rFonts w:ascii="Calibri" w:hAnsi="Calibri" w:cs="Calibri"/>
      <w:noProof/>
      <w:lang w:val="en-US"/>
    </w:rPr>
  </w:style>
  <w:style w:type="character" w:customStyle="1" w:styleId="EndNoteBibliographyTitleChar">
    <w:name w:val="EndNote Bibliography Title Char"/>
    <w:basedOn w:val="Bekezdsalapbettpusa"/>
    <w:link w:val="EndNoteBibliographyTitle"/>
    <w:rsid w:val="000A349D"/>
    <w:rPr>
      <w:rFonts w:ascii="Calibri" w:hAnsi="Calibri" w:cs="Calibri"/>
      <w:noProof/>
      <w:kern w:val="0"/>
      <w:lang w:val="en-US"/>
      <w14:ligatures w14:val="none"/>
    </w:rPr>
  </w:style>
  <w:style w:type="paragraph" w:customStyle="1" w:styleId="EndNoteBibliography">
    <w:name w:val="EndNote Bibliography"/>
    <w:basedOn w:val="Norml"/>
    <w:link w:val="EndNoteBibliographyChar"/>
    <w:rsid w:val="000A349D"/>
    <w:pPr>
      <w:spacing w:line="240" w:lineRule="auto"/>
      <w:jc w:val="both"/>
    </w:pPr>
    <w:rPr>
      <w:rFonts w:ascii="Calibri" w:hAnsi="Calibri" w:cs="Calibri"/>
      <w:noProof/>
      <w:lang w:val="en-US"/>
    </w:rPr>
  </w:style>
  <w:style w:type="character" w:customStyle="1" w:styleId="EndNoteBibliographyChar">
    <w:name w:val="EndNote Bibliography Char"/>
    <w:basedOn w:val="Bekezdsalapbettpusa"/>
    <w:link w:val="EndNoteBibliography"/>
    <w:rsid w:val="000A349D"/>
    <w:rPr>
      <w:rFonts w:ascii="Calibri" w:hAnsi="Calibri" w:cs="Calibri"/>
      <w:noProof/>
      <w:kern w:val="0"/>
      <w:lang w:val="en-US"/>
      <w14:ligatures w14:val="none"/>
    </w:rPr>
  </w:style>
  <w:style w:type="character" w:styleId="Hiperhivatkozs">
    <w:name w:val="Hyperlink"/>
    <w:basedOn w:val="Bekezdsalapbettpusa"/>
    <w:uiPriority w:val="99"/>
    <w:unhideWhenUsed/>
    <w:rsid w:val="000A349D"/>
    <w:rPr>
      <w:color w:val="0563C1" w:themeColor="hyperlink"/>
      <w:u w:val="single"/>
    </w:rPr>
  </w:style>
  <w:style w:type="character" w:styleId="Feloldatlanmegemlts">
    <w:name w:val="Unresolved Mention"/>
    <w:basedOn w:val="Bekezdsalapbettpusa"/>
    <w:uiPriority w:val="99"/>
    <w:semiHidden/>
    <w:unhideWhenUsed/>
    <w:rsid w:val="000A3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050388">
      <w:bodyDiv w:val="1"/>
      <w:marLeft w:val="0"/>
      <w:marRight w:val="0"/>
      <w:marTop w:val="0"/>
      <w:marBottom w:val="0"/>
      <w:divBdr>
        <w:top w:val="none" w:sz="0" w:space="0" w:color="auto"/>
        <w:left w:val="none" w:sz="0" w:space="0" w:color="auto"/>
        <w:bottom w:val="none" w:sz="0" w:space="0" w:color="auto"/>
        <w:right w:val="none" w:sz="0" w:space="0" w:color="auto"/>
      </w:divBdr>
    </w:div>
    <w:div w:id="183201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elltracker.website/index.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837DA-9B42-4B43-BCF9-27AD9DBA9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1965</Words>
  <Characters>13561</Characters>
  <Application>Microsoft Office Word</Application>
  <DocSecurity>0</DocSecurity>
  <Lines>113</Lines>
  <Paragraphs>30</Paragraphs>
  <ScaleCrop>false</ScaleCrop>
  <HeadingPairs>
    <vt:vector size="6" baseType="variant">
      <vt:variant>
        <vt:lpstr>Cím</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Molnár Eszter (projekt szakmai referens)</dc:creator>
  <cp:keywords/>
  <dc:description/>
  <cp:lastModifiedBy>Marci</cp:lastModifiedBy>
  <cp:revision>2</cp:revision>
  <dcterms:created xsi:type="dcterms:W3CDTF">2023-11-11T12:33:00Z</dcterms:created>
  <dcterms:modified xsi:type="dcterms:W3CDTF">2023-11-11T12:33:00Z</dcterms:modified>
</cp:coreProperties>
</file>