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E3556" w:rsidR="00A80756" w:rsidRDefault="00BB6C84" w14:paraId="091EBB44" w14:textId="2CBF17B7">
      <w:pPr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:lang w:val="en-AU"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:sz w:val="20"/>
          <w:szCs w:val="20"/>
          <w:lang w:val="en-AU" w:eastAsia="en-GB"/>
          <w14:ligatures w14:val="none"/>
        </w:rPr>
        <w:t xml:space="preserve">Supplementary </w:t>
      </w:r>
      <w:r w:rsidRPr="00A80756" w:rsidR="00A80756">
        <w:rPr>
          <w:rFonts w:ascii="Times New Roman" w:hAnsi="Times New Roman" w:eastAsia="Times New Roman" w:cs="Times New Roman"/>
          <w:b/>
          <w:bCs/>
          <w:color w:val="000000"/>
          <w:kern w:val="0"/>
          <w:sz w:val="20"/>
          <w:szCs w:val="20"/>
          <w:lang w:val="en-AU" w:eastAsia="en-GB"/>
          <w14:ligatures w14:val="none"/>
        </w:rPr>
        <w:t xml:space="preserve">Table </w:t>
      </w:r>
      <w:r w:rsidR="005A2837">
        <w:rPr>
          <w:rFonts w:ascii="Times New Roman" w:hAnsi="Times New Roman" w:eastAsia="Times New Roman" w:cs="Times New Roman"/>
          <w:b/>
          <w:bCs/>
          <w:color w:val="000000"/>
          <w:kern w:val="0"/>
          <w:sz w:val="20"/>
          <w:szCs w:val="20"/>
          <w:lang w:val="en-AU" w:eastAsia="en-GB"/>
          <w14:ligatures w14:val="none"/>
        </w:rPr>
        <w:t>S</w:t>
      </w:r>
      <w:r w:rsidRPr="00A80756" w:rsidR="00A80756">
        <w:rPr>
          <w:rFonts w:ascii="Times New Roman" w:hAnsi="Times New Roman" w:eastAsia="Times New Roman" w:cs="Times New Roman"/>
          <w:b/>
          <w:bCs/>
          <w:color w:val="000000"/>
          <w:kern w:val="0"/>
          <w:sz w:val="20"/>
          <w:szCs w:val="20"/>
          <w:lang w:val="en-AU" w:eastAsia="en-GB"/>
          <w14:ligatures w14:val="none"/>
        </w:rPr>
        <w:t>1</w:t>
      </w:r>
      <w:r w:rsidR="008E3556">
        <w:rPr>
          <w:rFonts w:ascii="Times New Roman" w:hAnsi="Times New Roman" w:eastAsia="Times New Roman" w:cs="Times New Roman"/>
          <w:b/>
          <w:bCs/>
          <w:color w:val="000000"/>
          <w:kern w:val="0"/>
          <w:sz w:val="20"/>
          <w:szCs w:val="20"/>
          <w:lang w:val="en-AU" w:eastAsia="en-GB"/>
          <w14:ligatures w14:val="none"/>
        </w:rPr>
        <w:t>:</w:t>
      </w:r>
      <w:r w:rsidRPr="008E3556" w:rsidR="00A80756"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:lang w:val="en-AU" w:eastAsia="en-GB"/>
          <w14:ligatures w14:val="none"/>
        </w:rPr>
        <w:t xml:space="preserve"> Databases, search strategy and PICOS process.</w:t>
      </w:r>
    </w:p>
    <w:p w:rsidR="00A80756" w:rsidRDefault="00A80756" w14:paraId="54433303" w14:textId="3108CAA4">
      <w:r w:rsidRPr="00A80756"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:lang w:val="en-AU" w:eastAsia="en-GB"/>
          <w14:ligatures w14:val="none"/>
        </w:rPr>
        <w:t>Search date: 23</w:t>
      </w:r>
      <w:r w:rsidRPr="00A80756"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:vertAlign w:val="superscript"/>
          <w:lang w:val="en-AU" w:eastAsia="en-GB"/>
          <w14:ligatures w14:val="none"/>
        </w:rPr>
        <w:t>rd</w:t>
      </w:r>
      <w:r w:rsidRPr="00A80756"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:lang w:val="en-AU" w:eastAsia="en-GB"/>
          <w14:ligatures w14:val="none"/>
        </w:rPr>
        <w:t xml:space="preserve"> September 2021 (additional papers 18</w:t>
      </w:r>
      <w:r w:rsidRPr="00A80756"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:vertAlign w:val="superscript"/>
          <w:lang w:val="en-AU" w:eastAsia="en-GB"/>
          <w14:ligatures w14:val="none"/>
        </w:rPr>
        <w:t>th</w:t>
      </w:r>
      <w:r w:rsidRPr="00A80756"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:lang w:val="en-AU" w:eastAsia="en-GB"/>
          <w14:ligatures w14:val="none"/>
        </w:rPr>
        <w:t xml:space="preserve"> January 2022).</w:t>
      </w:r>
    </w:p>
    <w:tbl>
      <w:tblPr>
        <w:tblW w:w="13892" w:type="dxa"/>
        <w:tblInd w:w="-5" w:type="dxa"/>
        <w:tblLook w:val="04A0" w:firstRow="1" w:lastRow="0" w:firstColumn="1" w:lastColumn="0" w:noHBand="0" w:noVBand="1"/>
      </w:tblPr>
      <w:tblGrid>
        <w:gridCol w:w="480"/>
        <w:gridCol w:w="13412"/>
      </w:tblGrid>
      <w:tr w:rsidRPr="00A80756" w:rsidR="00A80756" w:rsidTr="624F2851" w14:paraId="6C7BDA51" w14:textId="77777777">
        <w:trPr>
          <w:trHeight w:val="97"/>
        </w:trPr>
        <w:tc>
          <w:tcPr>
            <w:tcW w:w="13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A80756" w:rsidR="00A80756" w:rsidP="00A80756" w:rsidRDefault="00A80756" w14:paraId="5B97E011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A0905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b/>
                <w:bCs/>
                <w:color w:val="0A0905"/>
                <w:kern w:val="0"/>
                <w:sz w:val="20"/>
                <w:szCs w:val="20"/>
                <w:lang w:val="en-AU" w:eastAsia="en-GB"/>
                <w14:ligatures w14:val="none"/>
              </w:rPr>
              <w:t>Ovid MEDLINE(R) ALL 1946 to Present; Embase Classic+Embase 1947 to Present</w:t>
            </w:r>
          </w:p>
        </w:tc>
      </w:tr>
      <w:tr w:rsidRPr="00A80756" w:rsidR="00A80756" w:rsidTr="624F2851" w14:paraId="0A630081" w14:textId="77777777">
        <w:trPr>
          <w:trHeight w:val="611"/>
        </w:trPr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A80756" w:rsidR="00A80756" w:rsidP="00A80756" w:rsidRDefault="00A80756" w14:paraId="66735613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1</w:t>
            </w:r>
          </w:p>
        </w:tc>
        <w:tc>
          <w:tcPr>
            <w:tcW w:w="1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A80756" w:rsidR="00A80756" w:rsidP="00A80756" w:rsidRDefault="00A80756" w14:paraId="71BA1275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(exp Immune Checkpoint Inhibitors/) OR checkpoint inhibit* OR </w:t>
            </w:r>
            <w:r w:rsidRPr="00A80756">
              <w:rPr>
                <w:rFonts w:ascii="Times New Roman" w:hAnsi="Times New Roman" w:eastAsia="Times New Roman" w:cs="Times New Roman"/>
                <w:color w:val="2D2D2D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ipilimumab </w:t>
            </w: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OR </w:t>
            </w:r>
            <w:r w:rsidRPr="00A80756">
              <w:rPr>
                <w:rFonts w:ascii="Times New Roman" w:hAnsi="Times New Roman" w:eastAsia="Times New Roman" w:cs="Times New Roman"/>
                <w:color w:val="2D2D2D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tremelimumab </w:t>
            </w: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OR </w:t>
            </w:r>
            <w:r w:rsidRPr="00A80756">
              <w:rPr>
                <w:rFonts w:ascii="Times New Roman" w:hAnsi="Times New Roman" w:eastAsia="Times New Roman" w:cs="Times New Roman"/>
                <w:color w:val="2D2D2D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pembrolizumab </w:t>
            </w: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OR </w:t>
            </w:r>
            <w:r w:rsidRPr="00A80756">
              <w:rPr>
                <w:rFonts w:ascii="Times New Roman" w:hAnsi="Times New Roman" w:eastAsia="Times New Roman" w:cs="Times New Roman"/>
                <w:color w:val="2D2D2D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nivolumab </w:t>
            </w: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OR </w:t>
            </w:r>
            <w:r w:rsidRPr="00A80756">
              <w:rPr>
                <w:rFonts w:ascii="Times New Roman" w:hAnsi="Times New Roman" w:eastAsia="Times New Roman" w:cs="Times New Roman"/>
                <w:color w:val="2D2D2D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cemiplimab </w:t>
            </w: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OR </w:t>
            </w:r>
            <w:r w:rsidRPr="00A80756">
              <w:rPr>
                <w:rFonts w:ascii="Times New Roman" w:hAnsi="Times New Roman" w:eastAsia="Times New Roman" w:cs="Times New Roman"/>
                <w:color w:val="2D2D2D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tislelizumab </w:t>
            </w: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OR </w:t>
            </w:r>
            <w:r w:rsidRPr="00A80756">
              <w:rPr>
                <w:rFonts w:ascii="Times New Roman" w:hAnsi="Times New Roman" w:eastAsia="Times New Roman" w:cs="Times New Roman"/>
                <w:color w:val="2D2D2D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dostarlimab </w:t>
            </w: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OR</w:t>
            </w:r>
            <w:r w:rsidRPr="00A80756">
              <w:rPr>
                <w:rFonts w:ascii="Times New Roman" w:hAnsi="Times New Roman" w:eastAsia="Times New Roman" w:cs="Times New Roman"/>
                <w:color w:val="2D2D2D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 spartalizumab </w:t>
            </w: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OR </w:t>
            </w:r>
            <w:r w:rsidRPr="00A80756">
              <w:rPr>
                <w:rFonts w:ascii="Times New Roman" w:hAnsi="Times New Roman" w:eastAsia="Times New Roman" w:cs="Times New Roman"/>
                <w:color w:val="2D2D2D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sintilimab </w:t>
            </w: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OR </w:t>
            </w:r>
            <w:r w:rsidRPr="00A80756">
              <w:rPr>
                <w:rFonts w:ascii="Times New Roman" w:hAnsi="Times New Roman" w:eastAsia="Times New Roman" w:cs="Times New Roman"/>
                <w:color w:val="2D2D2D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atezolizumab </w:t>
            </w: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OR </w:t>
            </w:r>
            <w:r w:rsidRPr="00A80756">
              <w:rPr>
                <w:rFonts w:ascii="Times New Roman" w:hAnsi="Times New Roman" w:eastAsia="Times New Roman" w:cs="Times New Roman"/>
                <w:color w:val="2D2D2D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avelumab </w:t>
            </w: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OR PD1 OR PD-1 OR PDL1 OR PD-L1 OR CTLA4 OR CTLA-4.mp</w:t>
            </w:r>
          </w:p>
        </w:tc>
      </w:tr>
      <w:tr w:rsidRPr="00A80756" w:rsidR="00A80756" w:rsidTr="624F2851" w14:paraId="3678DFDD" w14:textId="77777777">
        <w:trPr>
          <w:trHeight w:val="196"/>
        </w:trPr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A80756" w:rsidR="00A80756" w:rsidP="00A80756" w:rsidRDefault="00A80756" w14:paraId="1316FADB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2</w:t>
            </w:r>
          </w:p>
        </w:tc>
        <w:tc>
          <w:tcPr>
            <w:tcW w:w="1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A80756" w:rsidR="00A80756" w:rsidP="00A80756" w:rsidRDefault="00A80756" w14:paraId="73A25A8E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(immune-related adverse event* OR irAE*) OR toxic* OR adverse event*.mp</w:t>
            </w:r>
          </w:p>
        </w:tc>
      </w:tr>
      <w:tr w:rsidRPr="00A80756" w:rsidR="00A80756" w:rsidTr="624F2851" w14:paraId="3C4FF048" w14:textId="77777777">
        <w:trPr>
          <w:trHeight w:val="99"/>
        </w:trPr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A80756" w:rsidR="00A80756" w:rsidP="00A80756" w:rsidRDefault="00A80756" w14:paraId="5630F8E0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3</w:t>
            </w:r>
          </w:p>
        </w:tc>
        <w:tc>
          <w:tcPr>
            <w:tcW w:w="1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A80756" w:rsidR="00A80756" w:rsidP="00A80756" w:rsidRDefault="00A80756" w14:paraId="2FC8902E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risk factor* OR predict*.mp</w:t>
            </w:r>
          </w:p>
        </w:tc>
      </w:tr>
      <w:tr w:rsidRPr="00A80756" w:rsidR="00A80756" w:rsidTr="624F2851" w14:paraId="74E41A6F" w14:textId="77777777">
        <w:trPr>
          <w:trHeight w:val="54"/>
        </w:trPr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A80756" w:rsidR="00A80756" w:rsidP="00A80756" w:rsidRDefault="00A80756" w14:paraId="61C1BD24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4</w:t>
            </w:r>
          </w:p>
        </w:tc>
        <w:tc>
          <w:tcPr>
            <w:tcW w:w="1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A80756" w:rsidR="00A80756" w:rsidP="00A80756" w:rsidRDefault="00A80756" w14:paraId="6081F6C0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1 AND 2 AND 3</w:t>
            </w:r>
          </w:p>
        </w:tc>
      </w:tr>
      <w:tr w:rsidRPr="00A80756" w:rsidR="00A80756" w:rsidTr="624F2851" w14:paraId="49FBA58F" w14:textId="77777777">
        <w:trPr>
          <w:trHeight w:val="54"/>
        </w:trPr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A80756" w:rsidR="00A80756" w:rsidP="00A80756" w:rsidRDefault="00A80756" w14:paraId="6DD709BC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5</w:t>
            </w:r>
          </w:p>
        </w:tc>
        <w:tc>
          <w:tcPr>
            <w:tcW w:w="1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A80756" w:rsidR="00A80756" w:rsidP="00A80756" w:rsidRDefault="00A80756" w14:paraId="6D9D6369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exp COVID-19/ OR exp Vaccines/</w:t>
            </w:r>
          </w:p>
        </w:tc>
      </w:tr>
      <w:tr w:rsidRPr="00A80756" w:rsidR="00A80756" w:rsidTr="624F2851" w14:paraId="79FD08EB" w14:textId="77777777">
        <w:trPr>
          <w:trHeight w:val="54"/>
        </w:trPr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A80756" w:rsidR="00A80756" w:rsidP="00A80756" w:rsidRDefault="00A80756" w14:paraId="560B46E0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6</w:t>
            </w:r>
          </w:p>
        </w:tc>
        <w:tc>
          <w:tcPr>
            <w:tcW w:w="1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A80756" w:rsidR="00A80756" w:rsidP="00A80756" w:rsidRDefault="00A80756" w14:paraId="09AAD6BF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4 NOT 5</w:t>
            </w:r>
          </w:p>
        </w:tc>
      </w:tr>
      <w:tr w:rsidRPr="00A80756" w:rsidR="00A80756" w:rsidTr="624F2851" w14:paraId="51D9027F" w14:textId="77777777">
        <w:trPr>
          <w:trHeight w:val="54"/>
        </w:trPr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A80756" w:rsidR="00A80756" w:rsidP="00A80756" w:rsidRDefault="00A80756" w14:paraId="7B4C0DAA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7</w:t>
            </w:r>
          </w:p>
        </w:tc>
        <w:tc>
          <w:tcPr>
            <w:tcW w:w="1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A80756" w:rsidR="00A80756" w:rsidP="00A80756" w:rsidRDefault="00A80756" w14:paraId="2FB51AFC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limit (English language and yr=”2017-2021”)</w:t>
            </w:r>
          </w:p>
        </w:tc>
      </w:tr>
      <w:tr w:rsidRPr="00A80756" w:rsidR="00A80756" w:rsidTr="624F2851" w14:paraId="2C2B9369" w14:textId="77777777">
        <w:trPr>
          <w:trHeight w:val="54"/>
        </w:trPr>
        <w:tc>
          <w:tcPr>
            <w:tcW w:w="13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A80756" w:rsidR="00A80756" w:rsidP="00A80756" w:rsidRDefault="00A80756" w14:paraId="0D41B0E2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Web of Science Core Collection &lt;All Editions&gt;</w:t>
            </w:r>
          </w:p>
        </w:tc>
      </w:tr>
      <w:tr w:rsidRPr="00A80756" w:rsidR="00A80756" w:rsidTr="624F2851" w14:paraId="398A000E" w14:textId="77777777">
        <w:trPr>
          <w:trHeight w:val="219"/>
        </w:trPr>
        <w:tc>
          <w:tcPr>
            <w:tcW w:w="13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A80756" w:rsidR="00A80756" w:rsidP="00A80756" w:rsidRDefault="00A80756" w14:paraId="1EC2FDA9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(((TS=("Checkpoint Inhibit*" OR Ipilimumab OR Tremelimumab OR Pembrolizumab OR Nivolumab OR Cemiplimab OR Tislelizumab OR Dostarlimab OR Spartalizumab OR Sintilimab OR Atezolizumab OR Avelumab OR Durvalumab)) AND TS=(toxic* OR "adverse event*" OR "immune related adverse event* OR irAE*")) AND TS=("risk factor*" OR predict*)) NOT TS=(vaccin* OR "covid-19")</w:t>
            </w:r>
            <w:r w:rsidRPr="00A80756">
              <w:rPr>
                <w:rFonts w:ascii="Times New Roman" w:hAnsi="Times New Roman" w:eastAsia="Times New Roman" w:cs="Times New Roman"/>
                <w:color w:val="6D6F78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 and </w:t>
            </w: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2021</w:t>
            </w:r>
            <w:r w:rsidRPr="00A80756">
              <w:rPr>
                <w:rFonts w:ascii="Times New Roman" w:hAnsi="Times New Roman" w:eastAsia="Times New Roman" w:cs="Times New Roman"/>
                <w:color w:val="6D6F78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 or </w:t>
            </w: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2020</w:t>
            </w:r>
            <w:r w:rsidRPr="00A80756">
              <w:rPr>
                <w:rFonts w:ascii="Times New Roman" w:hAnsi="Times New Roman" w:eastAsia="Times New Roman" w:cs="Times New Roman"/>
                <w:color w:val="6D6F78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 or </w:t>
            </w: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2019</w:t>
            </w:r>
            <w:r w:rsidRPr="00A80756">
              <w:rPr>
                <w:rFonts w:ascii="Times New Roman" w:hAnsi="Times New Roman" w:eastAsia="Times New Roman" w:cs="Times New Roman"/>
                <w:color w:val="6D6F78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 or </w:t>
            </w: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2018</w:t>
            </w:r>
            <w:r w:rsidRPr="00A80756">
              <w:rPr>
                <w:rFonts w:ascii="Times New Roman" w:hAnsi="Times New Roman" w:eastAsia="Times New Roman" w:cs="Times New Roman"/>
                <w:color w:val="6D6F78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 or </w:t>
            </w: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2017 (Publication Years)</w:t>
            </w:r>
          </w:p>
        </w:tc>
      </w:tr>
      <w:tr w:rsidRPr="00A80756" w:rsidR="00A80756" w:rsidTr="624F2851" w14:paraId="3703DE59" w14:textId="77777777">
        <w:trPr>
          <w:trHeight w:val="229"/>
        </w:trPr>
        <w:tc>
          <w:tcPr>
            <w:tcW w:w="13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A80756" w:rsidR="00A80756" w:rsidP="00A80756" w:rsidRDefault="00A80756" w14:paraId="7E30F3BF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PICOS process</w:t>
            </w:r>
          </w:p>
        </w:tc>
      </w:tr>
      <w:tr w:rsidRPr="00A80756" w:rsidR="00A80756" w:rsidTr="624F2851" w14:paraId="1B57A823" w14:textId="77777777">
        <w:trPr>
          <w:trHeight w:val="54"/>
        </w:trPr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A80756" w:rsidR="00A80756" w:rsidP="00A80756" w:rsidRDefault="00A80756" w14:paraId="2A75CED4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P</w:t>
            </w:r>
          </w:p>
        </w:tc>
        <w:tc>
          <w:tcPr>
            <w:tcW w:w="1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A80756" w:rsidR="00A80756" w:rsidP="00A80756" w:rsidRDefault="00A80756" w14:paraId="048C7456" w14:textId="0E4C16CD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 w:rsid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Adult</w:t>
            </w:r>
            <w:r w:rsidRPr="00A80756" w:rsid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 patients with cancer with immune-related adverse event/s</w:t>
            </w:r>
          </w:p>
        </w:tc>
      </w:tr>
      <w:tr w:rsidRPr="00A80756" w:rsidR="00A80756" w:rsidTr="624F2851" w14:paraId="3C7DEEE9" w14:textId="77777777">
        <w:trPr>
          <w:trHeight w:val="54"/>
        </w:trPr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A80756" w:rsidR="00A80756" w:rsidP="00A80756" w:rsidRDefault="00A80756" w14:paraId="0CDA1698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I</w:t>
            </w:r>
          </w:p>
        </w:tc>
        <w:tc>
          <w:tcPr>
            <w:tcW w:w="1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A80756" w:rsidR="00A80756" w:rsidP="00A80756" w:rsidRDefault="00A80756" w14:paraId="25A16A76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Receiving immune checkpoint inhibitor treatment </w:t>
            </w:r>
          </w:p>
        </w:tc>
      </w:tr>
      <w:tr w:rsidRPr="00A80756" w:rsidR="00A80756" w:rsidTr="624F2851" w14:paraId="04979DEA" w14:textId="77777777">
        <w:trPr>
          <w:trHeight w:val="69"/>
        </w:trPr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A80756" w:rsidR="00A80756" w:rsidP="00A80756" w:rsidRDefault="00A80756" w14:paraId="46432368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C</w:t>
            </w:r>
          </w:p>
        </w:tc>
        <w:tc>
          <w:tcPr>
            <w:tcW w:w="1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A80756" w:rsidR="00A80756" w:rsidP="00A80756" w:rsidRDefault="00A80756" w14:paraId="18B2208E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No immune-related adverse event/s</w:t>
            </w:r>
          </w:p>
        </w:tc>
      </w:tr>
      <w:tr w:rsidRPr="00A80756" w:rsidR="00A80756" w:rsidTr="624F2851" w14:paraId="69CBAA9E" w14:textId="77777777">
        <w:trPr>
          <w:trHeight w:val="115"/>
        </w:trPr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A80756" w:rsidR="00A80756" w:rsidP="00A80756" w:rsidRDefault="00A80756" w14:paraId="4791C192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O</w:t>
            </w:r>
          </w:p>
        </w:tc>
        <w:tc>
          <w:tcPr>
            <w:tcW w:w="1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A80756" w:rsidR="00A80756" w:rsidP="00A80756" w:rsidRDefault="00A80756" w14:paraId="3DBBD448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Differences in population characteristics across treatments and cancers</w:t>
            </w:r>
          </w:p>
        </w:tc>
      </w:tr>
      <w:tr w:rsidRPr="00A80756" w:rsidR="00A80756" w:rsidTr="624F2851" w14:paraId="6102B2AD" w14:textId="77777777">
        <w:trPr>
          <w:trHeight w:val="161"/>
        </w:trPr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A80756" w:rsidR="00A80756" w:rsidP="00A80756" w:rsidRDefault="00A80756" w14:paraId="455D4EC8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S</w:t>
            </w:r>
          </w:p>
        </w:tc>
        <w:tc>
          <w:tcPr>
            <w:tcW w:w="1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A80756" w:rsidR="00A80756" w:rsidP="00A80756" w:rsidRDefault="00A80756" w14:paraId="27A43144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A8075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Original research (including case series, case-control studies, observational studies, cohort studies, pharmacovigilance studies, randomised controlled trials, systematic reviews, and meta-analyses)</w:t>
            </w:r>
          </w:p>
        </w:tc>
      </w:tr>
    </w:tbl>
    <w:p w:rsidRPr="00A80756" w:rsidR="000F2C30" w:rsidRDefault="000F2C30" w14:paraId="63C4656D" w14:textId="77777777">
      <w:pPr>
        <w:rPr>
          <w:rFonts w:ascii="Times New Roman" w:hAnsi="Times New Roman" w:cs="Times New Roman"/>
          <w:sz w:val="20"/>
          <w:szCs w:val="20"/>
        </w:rPr>
      </w:pPr>
    </w:p>
    <w:sectPr w:rsidRPr="00A80756" w:rsidR="000F2C30" w:rsidSect="00A80756">
      <w:headerReference w:type="default" r:id="rId6"/>
      <w:footerReference w:type="even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A30A1" w:rsidP="00A80756" w:rsidRDefault="000A30A1" w14:paraId="3A44A2A8" w14:textId="77777777">
      <w:r>
        <w:separator/>
      </w:r>
    </w:p>
  </w:endnote>
  <w:endnote w:type="continuationSeparator" w:id="0">
    <w:p w:rsidR="000A30A1" w:rsidP="00A80756" w:rsidRDefault="000A30A1" w14:paraId="636E7E9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394852918"/>
      <w:docPartObj>
        <w:docPartGallery w:val="Page Numbers (Bottom of Page)"/>
        <w:docPartUnique/>
      </w:docPartObj>
    </w:sdtPr>
    <w:sdtContent>
      <w:p w:rsidR="00A80756" w:rsidP="009F4267" w:rsidRDefault="00A80756" w14:paraId="3FCD38DB" w14:textId="25320A5B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A80756" w:rsidP="00A80756" w:rsidRDefault="00A80756" w14:paraId="59D79DCA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rFonts w:ascii="Times New Roman" w:hAnsi="Times New Roman" w:cs="Times New Roman"/>
        <w:sz w:val="20"/>
        <w:szCs w:val="20"/>
      </w:rPr>
      <w:id w:val="-928273729"/>
      <w:docPartObj>
        <w:docPartGallery w:val="Page Numbers (Bottom of Page)"/>
        <w:docPartUnique/>
      </w:docPartObj>
    </w:sdtPr>
    <w:sdtContent>
      <w:p w:rsidRPr="00A80756" w:rsidR="00A80756" w:rsidP="009F4267" w:rsidRDefault="00A80756" w14:paraId="3A460603" w14:textId="0B214BC1">
        <w:pPr>
          <w:pStyle w:val="Footer"/>
          <w:framePr w:wrap="none" w:hAnchor="margin" w:vAnchor="text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A80756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A80756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A80756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A80756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1</w:t>
        </w:r>
        <w:r w:rsidRPr="00A80756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  <w:sdtEndPr>
      <w:rPr>
        <w:rStyle w:val="PageNumber"/>
        <w:rFonts w:ascii="Times New Roman" w:hAnsi="Times New Roman" w:cs="Times New Roman"/>
        <w:sz w:val="20"/>
        <w:szCs w:val="20"/>
      </w:rPr>
    </w:sdtEndPr>
  </w:sdt>
  <w:p w:rsidR="00A80756" w:rsidP="00A80756" w:rsidRDefault="00A80756" w14:paraId="2525E81A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A30A1" w:rsidP="00A80756" w:rsidRDefault="000A30A1" w14:paraId="4FC8972F" w14:textId="77777777">
      <w:r>
        <w:separator/>
      </w:r>
    </w:p>
  </w:footnote>
  <w:footnote w:type="continuationSeparator" w:id="0">
    <w:p w:rsidR="000A30A1" w:rsidP="00A80756" w:rsidRDefault="000A30A1" w14:paraId="49C28B1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5646E1" w:rsidR="00C466DA" w:rsidP="00C466DA" w:rsidRDefault="00C466DA" w14:paraId="7CEC9E6D" w14:textId="77777777">
    <w:pPr>
      <w:pStyle w:val="Header"/>
      <w:spacing w:line="360" w:lineRule="auto"/>
      <w:jc w:val="right"/>
      <w:rPr>
        <w:rFonts w:ascii="Times New Roman" w:hAnsi="Times New Roman" w:cs="Times New Roman"/>
        <w:sz w:val="20"/>
        <w:szCs w:val="20"/>
      </w:rPr>
    </w:pPr>
    <w:r w:rsidRPr="005646E1">
      <w:rPr>
        <w:rFonts w:ascii="Times New Roman" w:hAnsi="Times New Roman" w:cs="Times New Roman"/>
        <w:sz w:val="20"/>
        <w:szCs w:val="20"/>
      </w:rPr>
      <w:t>Jayathilaka et al</w:t>
    </w:r>
  </w:p>
  <w:p w:rsidRPr="00C466DA" w:rsidR="00C466DA" w:rsidP="00C466DA" w:rsidRDefault="00C466DA" w14:paraId="2D0D6E7F" w14:textId="57E548C9">
    <w:pPr>
      <w:pStyle w:val="Header"/>
      <w:spacing w:line="360" w:lineRule="auto"/>
      <w:jc w:val="right"/>
      <w:rPr>
        <w:rFonts w:ascii="Times New Roman" w:hAnsi="Times New Roman" w:cs="Times New Roman"/>
        <w:sz w:val="20"/>
        <w:szCs w:val="20"/>
      </w:rPr>
    </w:pPr>
    <w:r w:rsidRPr="005646E1">
      <w:rPr>
        <w:rFonts w:ascii="Times New Roman" w:hAnsi="Times New Roman" w:cs="Times New Roman"/>
        <w:sz w:val="20"/>
        <w:szCs w:val="20"/>
      </w:rPr>
      <w:t>Systematic review irAE event rate</w:t>
    </w:r>
    <w:r>
      <w:rPr>
        <w:rFonts w:ascii="Times New Roman" w:hAnsi="Times New Roman" w:cs="Times New Roman"/>
        <w:sz w:val="20"/>
        <w:szCs w:val="20"/>
      </w:rPr>
      <w:t>: Supplementary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756"/>
    <w:rsid w:val="000060E2"/>
    <w:rsid w:val="00007411"/>
    <w:rsid w:val="000126DB"/>
    <w:rsid w:val="00025447"/>
    <w:rsid w:val="00034D8D"/>
    <w:rsid w:val="00040565"/>
    <w:rsid w:val="00041BA4"/>
    <w:rsid w:val="00041DC1"/>
    <w:rsid w:val="000445A0"/>
    <w:rsid w:val="0005531F"/>
    <w:rsid w:val="00060BC9"/>
    <w:rsid w:val="000630D9"/>
    <w:rsid w:val="00065AA6"/>
    <w:rsid w:val="000660D6"/>
    <w:rsid w:val="000745B1"/>
    <w:rsid w:val="00074F1D"/>
    <w:rsid w:val="000A12EE"/>
    <w:rsid w:val="000A30A1"/>
    <w:rsid w:val="000A5ABA"/>
    <w:rsid w:val="000C1EB7"/>
    <w:rsid w:val="000C4C54"/>
    <w:rsid w:val="000D46D6"/>
    <w:rsid w:val="000E0E99"/>
    <w:rsid w:val="000E6189"/>
    <w:rsid w:val="000F2C30"/>
    <w:rsid w:val="000F48B4"/>
    <w:rsid w:val="000F4CA8"/>
    <w:rsid w:val="000F58EE"/>
    <w:rsid w:val="00100151"/>
    <w:rsid w:val="00100D80"/>
    <w:rsid w:val="00101088"/>
    <w:rsid w:val="0010338F"/>
    <w:rsid w:val="001114FE"/>
    <w:rsid w:val="00115A00"/>
    <w:rsid w:val="00122987"/>
    <w:rsid w:val="0012326B"/>
    <w:rsid w:val="00135418"/>
    <w:rsid w:val="001413B5"/>
    <w:rsid w:val="00141A1B"/>
    <w:rsid w:val="00144AE2"/>
    <w:rsid w:val="00145664"/>
    <w:rsid w:val="00157587"/>
    <w:rsid w:val="00167540"/>
    <w:rsid w:val="00175E23"/>
    <w:rsid w:val="001A5474"/>
    <w:rsid w:val="001A60EB"/>
    <w:rsid w:val="001B0687"/>
    <w:rsid w:val="001B585B"/>
    <w:rsid w:val="001D3150"/>
    <w:rsid w:val="001D396C"/>
    <w:rsid w:val="001D4267"/>
    <w:rsid w:val="001E59FD"/>
    <w:rsid w:val="001E69D3"/>
    <w:rsid w:val="001F3DCF"/>
    <w:rsid w:val="001F47C9"/>
    <w:rsid w:val="002014E4"/>
    <w:rsid w:val="00203AEE"/>
    <w:rsid w:val="00210587"/>
    <w:rsid w:val="00231B4E"/>
    <w:rsid w:val="002339C5"/>
    <w:rsid w:val="002448F7"/>
    <w:rsid w:val="002452D6"/>
    <w:rsid w:val="00277323"/>
    <w:rsid w:val="002950E5"/>
    <w:rsid w:val="00295A84"/>
    <w:rsid w:val="002B3552"/>
    <w:rsid w:val="002C5D60"/>
    <w:rsid w:val="002E01CF"/>
    <w:rsid w:val="002E4441"/>
    <w:rsid w:val="002E4715"/>
    <w:rsid w:val="002E7C8D"/>
    <w:rsid w:val="002F650A"/>
    <w:rsid w:val="002F674F"/>
    <w:rsid w:val="00303B0B"/>
    <w:rsid w:val="00304EF2"/>
    <w:rsid w:val="00323690"/>
    <w:rsid w:val="00370822"/>
    <w:rsid w:val="003716DF"/>
    <w:rsid w:val="00371B89"/>
    <w:rsid w:val="00386CFE"/>
    <w:rsid w:val="0039078A"/>
    <w:rsid w:val="003A0EFF"/>
    <w:rsid w:val="003A2870"/>
    <w:rsid w:val="003C0A92"/>
    <w:rsid w:val="003D6483"/>
    <w:rsid w:val="003D7848"/>
    <w:rsid w:val="003F3141"/>
    <w:rsid w:val="003F6763"/>
    <w:rsid w:val="00401DC8"/>
    <w:rsid w:val="00407AE6"/>
    <w:rsid w:val="00414A06"/>
    <w:rsid w:val="00423251"/>
    <w:rsid w:val="00424F73"/>
    <w:rsid w:val="00432DDC"/>
    <w:rsid w:val="00435D36"/>
    <w:rsid w:val="004452B3"/>
    <w:rsid w:val="00450272"/>
    <w:rsid w:val="00453870"/>
    <w:rsid w:val="0046496A"/>
    <w:rsid w:val="00467690"/>
    <w:rsid w:val="004737E1"/>
    <w:rsid w:val="004843D4"/>
    <w:rsid w:val="004906F2"/>
    <w:rsid w:val="004A24D9"/>
    <w:rsid w:val="004B33C7"/>
    <w:rsid w:val="004B3F7E"/>
    <w:rsid w:val="004B4ADE"/>
    <w:rsid w:val="004B5C4B"/>
    <w:rsid w:val="004C6E71"/>
    <w:rsid w:val="004D7BF3"/>
    <w:rsid w:val="004E4E8B"/>
    <w:rsid w:val="00511467"/>
    <w:rsid w:val="0051629F"/>
    <w:rsid w:val="00526F90"/>
    <w:rsid w:val="0053246F"/>
    <w:rsid w:val="005378CB"/>
    <w:rsid w:val="00537EFB"/>
    <w:rsid w:val="00540099"/>
    <w:rsid w:val="00544FC2"/>
    <w:rsid w:val="005641DB"/>
    <w:rsid w:val="00570057"/>
    <w:rsid w:val="00574D2C"/>
    <w:rsid w:val="00583397"/>
    <w:rsid w:val="00592242"/>
    <w:rsid w:val="00592F28"/>
    <w:rsid w:val="005A2837"/>
    <w:rsid w:val="005A4BD4"/>
    <w:rsid w:val="005C1139"/>
    <w:rsid w:val="005C215D"/>
    <w:rsid w:val="005D08E9"/>
    <w:rsid w:val="005E188A"/>
    <w:rsid w:val="005E3B6B"/>
    <w:rsid w:val="005E5510"/>
    <w:rsid w:val="005E6A0C"/>
    <w:rsid w:val="005E7052"/>
    <w:rsid w:val="00600414"/>
    <w:rsid w:val="00601DE1"/>
    <w:rsid w:val="0060678D"/>
    <w:rsid w:val="006072E5"/>
    <w:rsid w:val="0061755D"/>
    <w:rsid w:val="00624719"/>
    <w:rsid w:val="0063397B"/>
    <w:rsid w:val="00641189"/>
    <w:rsid w:val="00653740"/>
    <w:rsid w:val="0065536D"/>
    <w:rsid w:val="00687542"/>
    <w:rsid w:val="00690F42"/>
    <w:rsid w:val="006A2E20"/>
    <w:rsid w:val="006B1247"/>
    <w:rsid w:val="006B6051"/>
    <w:rsid w:val="006C3F50"/>
    <w:rsid w:val="006C6F0E"/>
    <w:rsid w:val="006E6BDE"/>
    <w:rsid w:val="006E726F"/>
    <w:rsid w:val="007039E3"/>
    <w:rsid w:val="007149D5"/>
    <w:rsid w:val="00715C5D"/>
    <w:rsid w:val="00722389"/>
    <w:rsid w:val="0074600E"/>
    <w:rsid w:val="00777116"/>
    <w:rsid w:val="00777A50"/>
    <w:rsid w:val="00780106"/>
    <w:rsid w:val="00785A36"/>
    <w:rsid w:val="00790C13"/>
    <w:rsid w:val="0079536F"/>
    <w:rsid w:val="007A6A21"/>
    <w:rsid w:val="007B4D28"/>
    <w:rsid w:val="007C03F7"/>
    <w:rsid w:val="007D38B2"/>
    <w:rsid w:val="007D6DFE"/>
    <w:rsid w:val="007F1E39"/>
    <w:rsid w:val="007F33CE"/>
    <w:rsid w:val="00803ACC"/>
    <w:rsid w:val="008043B4"/>
    <w:rsid w:val="00811FC1"/>
    <w:rsid w:val="0082183D"/>
    <w:rsid w:val="00823CEF"/>
    <w:rsid w:val="00834DB7"/>
    <w:rsid w:val="00853ABC"/>
    <w:rsid w:val="0086574D"/>
    <w:rsid w:val="00867E23"/>
    <w:rsid w:val="008707AE"/>
    <w:rsid w:val="00871DC9"/>
    <w:rsid w:val="00875B0C"/>
    <w:rsid w:val="008812E0"/>
    <w:rsid w:val="008925FD"/>
    <w:rsid w:val="00894B53"/>
    <w:rsid w:val="008E1683"/>
    <w:rsid w:val="008E3556"/>
    <w:rsid w:val="008F05AA"/>
    <w:rsid w:val="008F296A"/>
    <w:rsid w:val="008F4C5E"/>
    <w:rsid w:val="009056CE"/>
    <w:rsid w:val="00907DC9"/>
    <w:rsid w:val="00911F5B"/>
    <w:rsid w:val="009124B1"/>
    <w:rsid w:val="0092298E"/>
    <w:rsid w:val="00927E50"/>
    <w:rsid w:val="00930475"/>
    <w:rsid w:val="00963742"/>
    <w:rsid w:val="00966FA3"/>
    <w:rsid w:val="00986E7B"/>
    <w:rsid w:val="00993AD2"/>
    <w:rsid w:val="009A7516"/>
    <w:rsid w:val="009C49D7"/>
    <w:rsid w:val="009C4FAF"/>
    <w:rsid w:val="009E7E9E"/>
    <w:rsid w:val="009F0457"/>
    <w:rsid w:val="009F65EE"/>
    <w:rsid w:val="00A00EDE"/>
    <w:rsid w:val="00A01F45"/>
    <w:rsid w:val="00A15FB2"/>
    <w:rsid w:val="00A16106"/>
    <w:rsid w:val="00A22540"/>
    <w:rsid w:val="00A56CF2"/>
    <w:rsid w:val="00A71270"/>
    <w:rsid w:val="00A72B44"/>
    <w:rsid w:val="00A80756"/>
    <w:rsid w:val="00A87820"/>
    <w:rsid w:val="00AA2FD3"/>
    <w:rsid w:val="00AA7534"/>
    <w:rsid w:val="00AB229C"/>
    <w:rsid w:val="00AB2CA1"/>
    <w:rsid w:val="00AB78DE"/>
    <w:rsid w:val="00AD15BF"/>
    <w:rsid w:val="00AD1899"/>
    <w:rsid w:val="00AD3E56"/>
    <w:rsid w:val="00AD421C"/>
    <w:rsid w:val="00AD778B"/>
    <w:rsid w:val="00AF12D7"/>
    <w:rsid w:val="00AF654D"/>
    <w:rsid w:val="00B00988"/>
    <w:rsid w:val="00B1174F"/>
    <w:rsid w:val="00B31CF5"/>
    <w:rsid w:val="00B47155"/>
    <w:rsid w:val="00BA1060"/>
    <w:rsid w:val="00BB0CFC"/>
    <w:rsid w:val="00BB6C84"/>
    <w:rsid w:val="00BB789F"/>
    <w:rsid w:val="00BC0363"/>
    <w:rsid w:val="00C2379D"/>
    <w:rsid w:val="00C31479"/>
    <w:rsid w:val="00C45CB7"/>
    <w:rsid w:val="00C466DA"/>
    <w:rsid w:val="00C53BFF"/>
    <w:rsid w:val="00C54F1F"/>
    <w:rsid w:val="00C60C82"/>
    <w:rsid w:val="00C60DE8"/>
    <w:rsid w:val="00C76863"/>
    <w:rsid w:val="00C8490C"/>
    <w:rsid w:val="00C86009"/>
    <w:rsid w:val="00C876C9"/>
    <w:rsid w:val="00C91762"/>
    <w:rsid w:val="00C9241F"/>
    <w:rsid w:val="00C95A93"/>
    <w:rsid w:val="00CB0663"/>
    <w:rsid w:val="00CB2D3F"/>
    <w:rsid w:val="00CB2F91"/>
    <w:rsid w:val="00CB5434"/>
    <w:rsid w:val="00CB5AC7"/>
    <w:rsid w:val="00CD5F32"/>
    <w:rsid w:val="00CD6FD8"/>
    <w:rsid w:val="00CE0AFF"/>
    <w:rsid w:val="00CE0FA9"/>
    <w:rsid w:val="00CE18E6"/>
    <w:rsid w:val="00D136F2"/>
    <w:rsid w:val="00D26A71"/>
    <w:rsid w:val="00D26AE0"/>
    <w:rsid w:val="00D35066"/>
    <w:rsid w:val="00D37094"/>
    <w:rsid w:val="00D37238"/>
    <w:rsid w:val="00D4689F"/>
    <w:rsid w:val="00D51C50"/>
    <w:rsid w:val="00D56447"/>
    <w:rsid w:val="00D60A77"/>
    <w:rsid w:val="00D637A3"/>
    <w:rsid w:val="00D67421"/>
    <w:rsid w:val="00D84105"/>
    <w:rsid w:val="00D91B8D"/>
    <w:rsid w:val="00DA4AF6"/>
    <w:rsid w:val="00DB24DC"/>
    <w:rsid w:val="00DB3486"/>
    <w:rsid w:val="00DD170F"/>
    <w:rsid w:val="00DD7AE3"/>
    <w:rsid w:val="00DF7F78"/>
    <w:rsid w:val="00E017B3"/>
    <w:rsid w:val="00E107FD"/>
    <w:rsid w:val="00E222C3"/>
    <w:rsid w:val="00E26805"/>
    <w:rsid w:val="00E468EB"/>
    <w:rsid w:val="00E51CB0"/>
    <w:rsid w:val="00E5280B"/>
    <w:rsid w:val="00E56D18"/>
    <w:rsid w:val="00E622A6"/>
    <w:rsid w:val="00E85991"/>
    <w:rsid w:val="00EB380C"/>
    <w:rsid w:val="00EB6080"/>
    <w:rsid w:val="00EB60E6"/>
    <w:rsid w:val="00EC2FE3"/>
    <w:rsid w:val="00ED0E10"/>
    <w:rsid w:val="00EE2652"/>
    <w:rsid w:val="00EF68C0"/>
    <w:rsid w:val="00F106FD"/>
    <w:rsid w:val="00F21E6F"/>
    <w:rsid w:val="00F32033"/>
    <w:rsid w:val="00F44100"/>
    <w:rsid w:val="00F57545"/>
    <w:rsid w:val="00F5795A"/>
    <w:rsid w:val="00F6332F"/>
    <w:rsid w:val="00F6515B"/>
    <w:rsid w:val="00F71509"/>
    <w:rsid w:val="00F77574"/>
    <w:rsid w:val="00F86421"/>
    <w:rsid w:val="00F91965"/>
    <w:rsid w:val="00FA0120"/>
    <w:rsid w:val="00FA6441"/>
    <w:rsid w:val="00FB33F9"/>
    <w:rsid w:val="00FC18E8"/>
    <w:rsid w:val="00FD4E99"/>
    <w:rsid w:val="00FE549D"/>
    <w:rsid w:val="00FF51F6"/>
    <w:rsid w:val="3BF3DC1D"/>
    <w:rsid w:val="624F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A4313B"/>
  <w15:chartTrackingRefBased/>
  <w15:docId w15:val="{0585A88A-0FD9-A249-BE29-B8DE1D80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075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75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7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7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7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7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7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7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7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80756"/>
    <w:rPr>
      <w:rFonts w:asciiTheme="majorHAnsi" w:hAnsiTheme="majorHAnsi" w:eastAsiaTheme="majorEastAsia" w:cstheme="majorBidi"/>
      <w:color w:val="0F4761" w:themeColor="accent1" w:themeShade="BF"/>
      <w:sz w:val="40"/>
      <w:szCs w:val="40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80756"/>
    <w:rPr>
      <w:rFonts w:asciiTheme="majorHAnsi" w:hAnsiTheme="majorHAnsi" w:eastAsiaTheme="majorEastAsia" w:cstheme="majorBidi"/>
      <w:color w:val="0F4761" w:themeColor="accent1" w:themeShade="BF"/>
      <w:sz w:val="32"/>
      <w:szCs w:val="3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80756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80756"/>
    <w:rPr>
      <w:rFonts w:eastAsiaTheme="majorEastAsia" w:cstheme="majorBidi"/>
      <w:i/>
      <w:iCs/>
      <w:color w:val="0F4761" w:themeColor="accent1" w:themeShade="BF"/>
      <w:lang w:val="en-GB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80756"/>
    <w:rPr>
      <w:rFonts w:eastAsiaTheme="majorEastAsia" w:cstheme="majorBidi"/>
      <w:color w:val="0F4761" w:themeColor="accent1" w:themeShade="BF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80756"/>
    <w:rPr>
      <w:rFonts w:eastAsiaTheme="majorEastAsia" w:cstheme="majorBidi"/>
      <w:i/>
      <w:iCs/>
      <w:color w:val="595959" w:themeColor="text1" w:themeTint="A6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80756"/>
    <w:rPr>
      <w:rFonts w:eastAsiaTheme="majorEastAsia" w:cstheme="majorBidi"/>
      <w:color w:val="595959" w:themeColor="text1" w:themeTint="A6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80756"/>
    <w:rPr>
      <w:rFonts w:eastAsiaTheme="majorEastAsia" w:cstheme="majorBidi"/>
      <w:i/>
      <w:iCs/>
      <w:color w:val="272727" w:themeColor="text1" w:themeTint="D8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80756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80756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80756"/>
    <w:rPr>
      <w:rFonts w:asciiTheme="majorHAnsi" w:hAnsiTheme="majorHAnsi" w:eastAsiaTheme="majorEastAsia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75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80756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80756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80756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A807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7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75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80756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A8075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A80756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80756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A80756"/>
  </w:style>
  <w:style w:type="paragraph" w:styleId="Header">
    <w:name w:val="header"/>
    <w:basedOn w:val="Normal"/>
    <w:link w:val="HeaderChar"/>
    <w:unhideWhenUsed/>
    <w:rsid w:val="00A80756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rsid w:val="00A8075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4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Bishma Jayathilaka</dc:creator>
  <keywords/>
  <dc:description/>
  <lastModifiedBy>Bishma Jayathilaka</lastModifiedBy>
  <revision>7</revision>
  <dcterms:created xsi:type="dcterms:W3CDTF">2024-10-17T02:07:00.0000000Z</dcterms:created>
  <dcterms:modified xsi:type="dcterms:W3CDTF">2024-10-27T23:21:31.4104999Z</dcterms:modified>
</coreProperties>
</file>