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70B4D" w:rsidR="00187F55" w:rsidRDefault="00155B0B" w14:paraId="04681645" w14:textId="4EFDC1C7">
      <w:pPr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Supplementary </w:t>
      </w:r>
      <w:r w:rsidRPr="00187F55" w:rsidR="00187F55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Table </w:t>
      </w:r>
      <w:r w:rsidR="00B37046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>S</w:t>
      </w:r>
      <w:r w:rsidRPr="00187F55" w:rsidR="00187F55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>3</w:t>
      </w:r>
      <w:r w:rsidR="00D70B4D">
        <w:rPr>
          <w:rFonts w:ascii="Times New Roman" w:hAnsi="Times New Roman" w:eastAsia="Times New Roman" w:cs="Times New Roman"/>
          <w:b/>
          <w:bCs/>
          <w:color w:val="000000"/>
          <w:kern w:val="0"/>
          <w:sz w:val="20"/>
          <w:szCs w:val="20"/>
          <w:lang w:val="en-AU" w:eastAsia="en-GB"/>
          <w14:ligatures w14:val="none"/>
        </w:rPr>
        <w:t xml:space="preserve">: </w:t>
      </w:r>
      <w:r w:rsidRPr="00D70B4D" w:rsidR="00187F55">
        <w:rPr>
          <w:rFonts w:ascii="Times New Roman" w:hAnsi="Times New Roman" w:eastAsia="Times New Roman" w:cs="Times New Roman"/>
          <w:color w:val="000000"/>
          <w:kern w:val="0"/>
          <w:sz w:val="20"/>
          <w:szCs w:val="20"/>
          <w:lang w:val="en-AU" w:eastAsia="en-GB"/>
          <w14:ligatures w14:val="none"/>
        </w:rPr>
        <w:t>Specific adverse events/symptoms reported within each irAE type.</w:t>
      </w:r>
    </w:p>
    <w:p w:rsidRPr="00187F55" w:rsidR="00187F55" w:rsidRDefault="00187F55" w14:paraId="473DED8A" w14:textId="75259BCC">
      <w:pPr>
        <w:rPr>
          <w:rFonts w:ascii="Times New Roman" w:hAnsi="Times New Roman" w:cs="Times New Roman"/>
          <w:sz w:val="20"/>
          <w:szCs w:val="20"/>
        </w:rPr>
      </w:pPr>
      <w:r w:rsidRPr="00187F55">
        <w:rPr>
          <w:rFonts w:ascii="Times New Roman" w:hAnsi="Times New Roman" w:cs="Times New Roman"/>
          <w:sz w:val="20"/>
          <w:szCs w:val="20"/>
        </w:rPr>
        <w:t>irAE, immune-related adverse event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3892" w:type="dxa"/>
        <w:tblInd w:w="-5" w:type="dxa"/>
        <w:tblLook w:val="04A0" w:firstRow="1" w:lastRow="0" w:firstColumn="1" w:lastColumn="0" w:noHBand="0" w:noVBand="1"/>
      </w:tblPr>
      <w:tblGrid>
        <w:gridCol w:w="1985"/>
        <w:gridCol w:w="11907"/>
      </w:tblGrid>
      <w:tr w:rsidRPr="00187F55" w:rsidR="00187F55" w:rsidTr="4E922B8B" w14:paraId="65437328" w14:textId="77777777">
        <w:trPr>
          <w:trHeight w:val="54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187F55" w:rsidR="00187F55" w:rsidP="00187F55" w:rsidRDefault="00187F55" w14:paraId="0959E49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A0905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b/>
                <w:bCs/>
                <w:color w:val="0A0905"/>
                <w:kern w:val="0"/>
                <w:sz w:val="20"/>
                <w:szCs w:val="20"/>
                <w:lang w:val="en-AU" w:eastAsia="en-GB"/>
                <w14:ligatures w14:val="none"/>
              </w:rPr>
              <w:t>Type of irAE</w:t>
            </w:r>
          </w:p>
        </w:tc>
        <w:tc>
          <w:tcPr>
            <w:tcW w:w="11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187F55" w:rsidR="00187F55" w:rsidP="00187F55" w:rsidRDefault="00187F55" w14:paraId="58A24BD1" w14:textId="77777777">
            <w:pPr>
              <w:rPr>
                <w:rFonts w:ascii="Times New Roman" w:hAnsi="Times New Roman" w:eastAsia="Times New Roman" w:cs="Times New Roman"/>
                <w:b/>
                <w:bCs/>
                <w:color w:val="0A0905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b/>
                <w:bCs/>
                <w:color w:val="0A0905"/>
                <w:kern w:val="0"/>
                <w:sz w:val="20"/>
                <w:szCs w:val="20"/>
                <w:lang w:val="en-AU" w:eastAsia="en-GB"/>
                <w14:ligatures w14:val="none"/>
              </w:rPr>
              <w:t>Specific adverse event or symptom</w:t>
            </w:r>
          </w:p>
        </w:tc>
      </w:tr>
      <w:tr w:rsidRPr="00187F55" w:rsidR="00187F55" w:rsidTr="4E922B8B" w14:paraId="1CD68824" w14:textId="77777777">
        <w:trPr>
          <w:trHeight w:val="186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67A5A463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Cardiac irAE 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58A06884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Myocarditis, acute vascular events, pericarditis, pericardial disease pericardial effusion, atrial fibrillation, arrhythmias, cardiac/heart failure, vasculitis, dyspnoea</w:t>
            </w:r>
          </w:p>
        </w:tc>
      </w:tr>
      <w:tr w:rsidRPr="00187F55" w:rsidR="00187F55" w:rsidTr="4E922B8B" w14:paraId="570FC6AF" w14:textId="77777777">
        <w:trPr>
          <w:trHeight w:val="54"/>
        </w:trPr>
        <w:tc>
          <w:tcPr>
            <w:tcW w:w="19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6D318E0A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Endocrine 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212301FB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Thyroid: hypothyroidism, hyperthyroidism, thyrotoxicosis, thyroiditis</w:t>
            </w:r>
          </w:p>
        </w:tc>
      </w:tr>
      <w:tr w:rsidRPr="00187F55" w:rsidR="00187F55" w:rsidTr="4E922B8B" w14:paraId="25034BA0" w14:textId="77777777">
        <w:trPr>
          <w:trHeight w:val="54"/>
        </w:trPr>
        <w:tc>
          <w:tcPr>
            <w:tcW w:w="1985" w:type="dxa"/>
            <w:vMerge/>
            <w:tcBorders/>
            <w:tcMar/>
            <w:vAlign w:val="center"/>
            <w:hideMark/>
          </w:tcPr>
          <w:p w:rsidRPr="00187F55" w:rsidR="00187F55" w:rsidP="00187F55" w:rsidRDefault="00187F55" w14:paraId="134612E0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024ED30D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Adrenal: adrenal insufficiency, isolated adrenocorticotropic hormone deficiency</w:t>
            </w:r>
          </w:p>
        </w:tc>
      </w:tr>
      <w:tr w:rsidRPr="00187F55" w:rsidR="00187F55" w:rsidTr="4E922B8B" w14:paraId="66C679A2" w14:textId="77777777">
        <w:trPr>
          <w:trHeight w:val="54"/>
        </w:trPr>
        <w:tc>
          <w:tcPr>
            <w:tcW w:w="1985" w:type="dxa"/>
            <w:vMerge/>
            <w:tcBorders/>
            <w:tcMar/>
            <w:vAlign w:val="center"/>
            <w:hideMark/>
          </w:tcPr>
          <w:p w:rsidRPr="00187F55" w:rsidR="00187F55" w:rsidP="00187F55" w:rsidRDefault="00187F55" w14:paraId="0A7911EC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61B13837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Pituitary: hypophysitis </w:t>
            </w:r>
          </w:p>
        </w:tc>
      </w:tr>
      <w:tr w:rsidRPr="00187F55" w:rsidR="00187F55" w:rsidTr="4E922B8B" w14:paraId="118C8544" w14:textId="77777777">
        <w:trPr>
          <w:trHeight w:val="54"/>
        </w:trPr>
        <w:tc>
          <w:tcPr>
            <w:tcW w:w="1985" w:type="dxa"/>
            <w:vMerge/>
            <w:tcBorders/>
            <w:tcMar/>
            <w:vAlign w:val="center"/>
            <w:hideMark/>
          </w:tcPr>
          <w:p w:rsidRPr="00187F55" w:rsidR="00187F55" w:rsidP="00187F55" w:rsidRDefault="00187F55" w14:paraId="67352C04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7DE6926E" w14:textId="17F81D32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 w:rsid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Pancreatic: type </w:t>
            </w:r>
            <w:r w:rsidRPr="00187F55" w:rsidR="4DFFCB43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1</w:t>
            </w:r>
            <w:r w:rsidRPr="00187F55" w:rsid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diabetes mellitus, new </w:t>
            </w:r>
            <w:r w:rsidRPr="00187F55" w:rsid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onset</w:t>
            </w:r>
            <w:r w:rsidRPr="00187F55" w:rsid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 xml:space="preserve"> and worsening type 2 diabetes</w:t>
            </w:r>
          </w:p>
        </w:tc>
      </w:tr>
      <w:tr w:rsidRPr="00187F55" w:rsidR="00187F55" w:rsidTr="4E922B8B" w14:paraId="4A0D51E1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56E14C8E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Gastrointestinal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1C42CF09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Colitis, diarrhoea, hepatitis, cholecystitis and cholangitis, pancreatitis, gastritis, enteritis, duodenitis, oesophagitis</w:t>
            </w:r>
          </w:p>
        </w:tc>
      </w:tr>
      <w:tr w:rsidRPr="00187F55" w:rsidR="00187F55" w:rsidTr="4E922B8B" w14:paraId="3ECD837A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7C0AF4C2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Haematologic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4B5CB661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Anaemia, thrombocytopenia, lymphopenia, neutropenia</w:t>
            </w:r>
          </w:p>
        </w:tc>
      </w:tr>
      <w:tr w:rsidRPr="00187F55" w:rsidR="00187F55" w:rsidTr="4E922B8B" w14:paraId="5A0E678E" w14:textId="77777777">
        <w:trPr>
          <w:trHeight w:val="70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6D39A9CC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Musculoskeletal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5833E614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Myositis alone or overlap manifestation (myositis and myocarditis and/or myasthenia gravis), inflammatory arthritis, arthralgias, myalgias, dermatomyositis, polymyalgia rheumatica or polymyalgia-like syndrome, Sjogren syndrome </w:t>
            </w:r>
          </w:p>
        </w:tc>
      </w:tr>
      <w:tr w:rsidRPr="00187F55" w:rsidR="00187F55" w:rsidTr="4E922B8B" w14:paraId="2C0D386C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75A787B4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Neurological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370DEB6B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Myasthenia gravis, peripheral neuropathy, Guillain-Barre syndrome, meningitis, encephalitis, myelitis, demyelinating disorders</w:t>
            </w:r>
          </w:p>
        </w:tc>
      </w:tr>
      <w:tr w:rsidRPr="00187F55" w:rsidR="00187F55" w:rsidTr="4E922B8B" w14:paraId="25D0DB04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123A44D4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Ocular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606F3854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Dry eyes, uveitis or iritis, myopathy, optic neuritis</w:t>
            </w:r>
          </w:p>
        </w:tc>
      </w:tr>
      <w:tr w:rsidRPr="00187F55" w:rsidR="00187F55" w:rsidTr="4E922B8B" w14:paraId="4C033FDE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586EDC87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Pulmonary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300F0A19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Pneumonitis, interstitial lung disease</w:t>
            </w:r>
          </w:p>
        </w:tc>
      </w:tr>
      <w:tr w:rsidRPr="00187F55" w:rsidR="00187F55" w:rsidTr="4E922B8B" w14:paraId="52766F97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33B5F8DF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Renal 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671958F4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Acute kidney injury, kidney failure, nephritis (interstitials, glomerular) </w:t>
            </w:r>
          </w:p>
        </w:tc>
      </w:tr>
      <w:tr w:rsidRPr="00187F55" w:rsidR="00187F55" w:rsidTr="4E922B8B" w14:paraId="1FF9137D" w14:textId="77777777">
        <w:trPr>
          <w:trHeight w:val="54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24A3E3BA" w14:textId="77777777">
            <w:pPr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en-AU" w:eastAsia="en-GB"/>
                <w14:ligatures w14:val="none"/>
              </w:rPr>
              <w:t>Skin irAE</w:t>
            </w:r>
          </w:p>
        </w:tc>
        <w:tc>
          <w:tcPr>
            <w:tcW w:w="1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87F55" w:rsidR="00187F55" w:rsidP="00187F55" w:rsidRDefault="00187F55" w14:paraId="3E641151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  <w:r w:rsidRPr="00187F5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  <w:t>Pruritus, rash (erythema, maculopapular and pustulopapular), dermatitis, vitiligo, erythema multiforme, eczematous, psoriasiform, toxic epidermal necrolysis</w:t>
            </w:r>
          </w:p>
        </w:tc>
      </w:tr>
      <w:tr w:rsidRPr="00187F55" w:rsidR="00187F55" w:rsidTr="4E922B8B" w14:paraId="3A7CF14A" w14:textId="77777777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316D6BB1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87F55" w:rsidR="00187F55" w:rsidP="00187F55" w:rsidRDefault="00187F55" w14:paraId="4DC93181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</w:tr>
      <w:tr w:rsidRPr="00187F55" w:rsidR="00187F55" w:rsidTr="4E922B8B" w14:paraId="3A2F39EF" w14:textId="77777777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66416C09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87F55" w:rsidR="00187F55" w:rsidP="00187F55" w:rsidRDefault="00187F55" w14:paraId="76DA9266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</w:tr>
      <w:tr w:rsidRPr="00187F55" w:rsidR="00187F55" w:rsidTr="4E922B8B" w14:paraId="3D0FF13F" w14:textId="77777777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187F55" w:rsidR="00187F55" w:rsidP="00187F55" w:rsidRDefault="00187F55" w14:paraId="40CE4870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  <w:tc>
          <w:tcPr>
            <w:tcW w:w="1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87F55" w:rsidR="00187F55" w:rsidP="00187F55" w:rsidRDefault="00187F55" w14:paraId="44BDB685" w14:textId="77777777">
            <w:pPr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AU" w:eastAsia="en-GB"/>
                <w14:ligatures w14:val="none"/>
              </w:rPr>
            </w:pPr>
          </w:p>
        </w:tc>
      </w:tr>
    </w:tbl>
    <w:p w:rsidRPr="00187F55" w:rsidR="000F2C30" w:rsidRDefault="000F2C30" w14:paraId="3A625262" w14:textId="77777777">
      <w:pPr>
        <w:rPr>
          <w:rFonts w:ascii="Times New Roman" w:hAnsi="Times New Roman" w:cs="Times New Roman"/>
          <w:sz w:val="20"/>
          <w:szCs w:val="20"/>
        </w:rPr>
      </w:pPr>
    </w:p>
    <w:sectPr w:rsidRPr="00187F55" w:rsidR="000F2C30" w:rsidSect="00187F55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259D" w:rsidP="00187F55" w:rsidRDefault="0093259D" w14:paraId="7769A350" w14:textId="77777777">
      <w:r>
        <w:separator/>
      </w:r>
    </w:p>
  </w:endnote>
  <w:endnote w:type="continuationSeparator" w:id="0">
    <w:p w:rsidR="0093259D" w:rsidP="00187F55" w:rsidRDefault="0093259D" w14:paraId="0309DD0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22060337"/>
      <w:docPartObj>
        <w:docPartGallery w:val="Page Numbers (Bottom of Page)"/>
        <w:docPartUnique/>
      </w:docPartObj>
    </w:sdtPr>
    <w:sdtContent>
      <w:p w:rsidR="00187F55" w:rsidP="009F4267" w:rsidRDefault="00187F55" w14:paraId="37020434" w14:textId="2989E6A1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187F55" w:rsidP="00187F55" w:rsidRDefault="00187F55" w14:paraId="4FA2E397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50441199"/>
      <w:docPartObj>
        <w:docPartGallery w:val="Page Numbers (Bottom of Page)"/>
        <w:docPartUnique/>
      </w:docPartObj>
    </w:sdtPr>
    <w:sdtContent>
      <w:p w:rsidR="00187F55" w:rsidP="009F4267" w:rsidRDefault="00187F55" w14:paraId="3DD1A6E3" w14:textId="48851369">
        <w:pPr>
          <w:pStyle w:val="Footer"/>
          <w:framePr w:wrap="none" w:hAnchor="margin" w:vAnchor="text" w:xAlign="right" w:y="1"/>
          <w:rPr>
            <w:rStyle w:val="PageNumber"/>
          </w:rPr>
        </w:pPr>
        <w:r w:rsidRPr="00187F55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187F55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187F55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187F55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187F55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  <w:sdtEndPr>
      <w:rPr>
        <w:rStyle w:val="PageNumber"/>
      </w:rPr>
    </w:sdtEndPr>
  </w:sdt>
  <w:p w:rsidR="00187F55" w:rsidP="00187F55" w:rsidRDefault="00187F55" w14:paraId="49E3A8DB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259D" w:rsidP="00187F55" w:rsidRDefault="0093259D" w14:paraId="43BA40D4" w14:textId="77777777">
      <w:r>
        <w:separator/>
      </w:r>
    </w:p>
  </w:footnote>
  <w:footnote w:type="continuationSeparator" w:id="0">
    <w:p w:rsidR="0093259D" w:rsidP="00187F55" w:rsidRDefault="0093259D" w14:paraId="06DABA2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646E1" w:rsidR="000E0035" w:rsidP="000E0035" w:rsidRDefault="000E0035" w14:paraId="5E51C292" w14:textId="77777777">
    <w:pPr>
      <w:pStyle w:val="Header"/>
      <w:spacing w:line="360" w:lineRule="auto"/>
      <w:jc w:val="right"/>
      <w:rPr>
        <w:rFonts w:ascii="Times New Roman" w:hAnsi="Times New Roman" w:cs="Times New Roman"/>
        <w:sz w:val="20"/>
        <w:szCs w:val="20"/>
      </w:rPr>
    </w:pPr>
    <w:r w:rsidRPr="005646E1">
      <w:rPr>
        <w:rFonts w:ascii="Times New Roman" w:hAnsi="Times New Roman" w:cs="Times New Roman"/>
        <w:sz w:val="20"/>
        <w:szCs w:val="20"/>
      </w:rPr>
      <w:t>Jayathilaka et al</w:t>
    </w:r>
  </w:p>
  <w:p w:rsidRPr="000E0035" w:rsidR="000E0035" w:rsidP="000E0035" w:rsidRDefault="000E0035" w14:paraId="2722A895" w14:textId="7CF2033C">
    <w:pPr>
      <w:pStyle w:val="Header"/>
      <w:spacing w:line="360" w:lineRule="auto"/>
      <w:jc w:val="right"/>
      <w:rPr>
        <w:rFonts w:ascii="Times New Roman" w:hAnsi="Times New Roman" w:cs="Times New Roman"/>
        <w:sz w:val="20"/>
        <w:szCs w:val="20"/>
      </w:rPr>
    </w:pPr>
    <w:r w:rsidRPr="005646E1">
      <w:rPr>
        <w:rFonts w:ascii="Times New Roman" w:hAnsi="Times New Roman" w:cs="Times New Roman"/>
        <w:sz w:val="20"/>
        <w:szCs w:val="20"/>
      </w:rPr>
      <w:t>Systematic review irAE event rate</w:t>
    </w:r>
    <w:r>
      <w:rPr>
        <w:rFonts w:ascii="Times New Roman" w:hAnsi="Times New Roman" w:cs="Times New Roman"/>
        <w:sz w:val="20"/>
        <w:szCs w:val="20"/>
      </w:rPr>
      <w:t>: Supplementary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55"/>
    <w:rsid w:val="000060E2"/>
    <w:rsid w:val="00007411"/>
    <w:rsid w:val="000126DB"/>
    <w:rsid w:val="00025447"/>
    <w:rsid w:val="00034D8D"/>
    <w:rsid w:val="00040565"/>
    <w:rsid w:val="00041BA4"/>
    <w:rsid w:val="00041DC1"/>
    <w:rsid w:val="000445A0"/>
    <w:rsid w:val="0005531F"/>
    <w:rsid w:val="00060BC9"/>
    <w:rsid w:val="000630D9"/>
    <w:rsid w:val="00065AA6"/>
    <w:rsid w:val="000660D6"/>
    <w:rsid w:val="000745B1"/>
    <w:rsid w:val="00074F1D"/>
    <w:rsid w:val="00081D2E"/>
    <w:rsid w:val="000A12EE"/>
    <w:rsid w:val="000A5ABA"/>
    <w:rsid w:val="000C1EB7"/>
    <w:rsid w:val="000C4C54"/>
    <w:rsid w:val="000D46D6"/>
    <w:rsid w:val="000E0035"/>
    <w:rsid w:val="000E0E99"/>
    <w:rsid w:val="000E6189"/>
    <w:rsid w:val="000F2C30"/>
    <w:rsid w:val="000F48B4"/>
    <w:rsid w:val="000F4CA8"/>
    <w:rsid w:val="000F58EE"/>
    <w:rsid w:val="00100151"/>
    <w:rsid w:val="00100D80"/>
    <w:rsid w:val="00101088"/>
    <w:rsid w:val="0010338F"/>
    <w:rsid w:val="001114FE"/>
    <w:rsid w:val="00115A00"/>
    <w:rsid w:val="00122987"/>
    <w:rsid w:val="0012326B"/>
    <w:rsid w:val="00135418"/>
    <w:rsid w:val="001413B5"/>
    <w:rsid w:val="00141A1B"/>
    <w:rsid w:val="00144AE2"/>
    <w:rsid w:val="00145664"/>
    <w:rsid w:val="00155B0B"/>
    <w:rsid w:val="00157587"/>
    <w:rsid w:val="00167540"/>
    <w:rsid w:val="00175E23"/>
    <w:rsid w:val="00187F55"/>
    <w:rsid w:val="001A5474"/>
    <w:rsid w:val="001B0687"/>
    <w:rsid w:val="001B585B"/>
    <w:rsid w:val="001D3150"/>
    <w:rsid w:val="001D396C"/>
    <w:rsid w:val="001D4267"/>
    <w:rsid w:val="001E59FD"/>
    <w:rsid w:val="001E69D3"/>
    <w:rsid w:val="001F3DCF"/>
    <w:rsid w:val="001F47C9"/>
    <w:rsid w:val="002014E4"/>
    <w:rsid w:val="00203AEE"/>
    <w:rsid w:val="00210587"/>
    <w:rsid w:val="00231B4E"/>
    <w:rsid w:val="002339C5"/>
    <w:rsid w:val="002452D6"/>
    <w:rsid w:val="00277323"/>
    <w:rsid w:val="002950E5"/>
    <w:rsid w:val="00295A84"/>
    <w:rsid w:val="002B3552"/>
    <w:rsid w:val="002C5D60"/>
    <w:rsid w:val="002E01CF"/>
    <w:rsid w:val="002E4441"/>
    <w:rsid w:val="002E4715"/>
    <w:rsid w:val="002F650A"/>
    <w:rsid w:val="002F674F"/>
    <w:rsid w:val="00303B0B"/>
    <w:rsid w:val="00304EF2"/>
    <w:rsid w:val="00323690"/>
    <w:rsid w:val="00370822"/>
    <w:rsid w:val="003716DF"/>
    <w:rsid w:val="00371B89"/>
    <w:rsid w:val="00386CFE"/>
    <w:rsid w:val="0039078A"/>
    <w:rsid w:val="003A0EFF"/>
    <w:rsid w:val="003A2870"/>
    <w:rsid w:val="003C0A92"/>
    <w:rsid w:val="003D6483"/>
    <w:rsid w:val="003D7848"/>
    <w:rsid w:val="003F3141"/>
    <w:rsid w:val="003F6763"/>
    <w:rsid w:val="00401DC8"/>
    <w:rsid w:val="00407AE6"/>
    <w:rsid w:val="00414A06"/>
    <w:rsid w:val="00423251"/>
    <w:rsid w:val="00424F73"/>
    <w:rsid w:val="00432DDC"/>
    <w:rsid w:val="00435D36"/>
    <w:rsid w:val="004452B3"/>
    <w:rsid w:val="00450272"/>
    <w:rsid w:val="00453870"/>
    <w:rsid w:val="00467690"/>
    <w:rsid w:val="004737E1"/>
    <w:rsid w:val="004843D4"/>
    <w:rsid w:val="004906F2"/>
    <w:rsid w:val="004A24D9"/>
    <w:rsid w:val="004B33C7"/>
    <w:rsid w:val="004B3F7E"/>
    <w:rsid w:val="004B4ADE"/>
    <w:rsid w:val="004B5C4B"/>
    <w:rsid w:val="004C6E71"/>
    <w:rsid w:val="004D7BF3"/>
    <w:rsid w:val="004E4E8B"/>
    <w:rsid w:val="00511467"/>
    <w:rsid w:val="0051629F"/>
    <w:rsid w:val="00526F90"/>
    <w:rsid w:val="0053246F"/>
    <w:rsid w:val="005378CB"/>
    <w:rsid w:val="00537EFB"/>
    <w:rsid w:val="00540099"/>
    <w:rsid w:val="00544FC2"/>
    <w:rsid w:val="005641DB"/>
    <w:rsid w:val="00570057"/>
    <w:rsid w:val="00574D2C"/>
    <w:rsid w:val="00583397"/>
    <w:rsid w:val="00592242"/>
    <w:rsid w:val="00592F28"/>
    <w:rsid w:val="005A4BD4"/>
    <w:rsid w:val="005C1139"/>
    <w:rsid w:val="005C215D"/>
    <w:rsid w:val="005D08E9"/>
    <w:rsid w:val="005E188A"/>
    <w:rsid w:val="005E3B6B"/>
    <w:rsid w:val="005E5510"/>
    <w:rsid w:val="005E6A0C"/>
    <w:rsid w:val="005E7052"/>
    <w:rsid w:val="00600414"/>
    <w:rsid w:val="00601DE1"/>
    <w:rsid w:val="0060678D"/>
    <w:rsid w:val="006072E5"/>
    <w:rsid w:val="0061755D"/>
    <w:rsid w:val="00624719"/>
    <w:rsid w:val="0063397B"/>
    <w:rsid w:val="00641189"/>
    <w:rsid w:val="00653740"/>
    <w:rsid w:val="0065536D"/>
    <w:rsid w:val="00687542"/>
    <w:rsid w:val="00690F42"/>
    <w:rsid w:val="006A2E20"/>
    <w:rsid w:val="006B1247"/>
    <w:rsid w:val="006B6051"/>
    <w:rsid w:val="006C3F50"/>
    <w:rsid w:val="006C6F0E"/>
    <w:rsid w:val="006E6BDE"/>
    <w:rsid w:val="006E726F"/>
    <w:rsid w:val="007039E3"/>
    <w:rsid w:val="007149D5"/>
    <w:rsid w:val="00715C5D"/>
    <w:rsid w:val="00722389"/>
    <w:rsid w:val="0074600E"/>
    <w:rsid w:val="00777116"/>
    <w:rsid w:val="00777A50"/>
    <w:rsid w:val="00780106"/>
    <w:rsid w:val="00785A36"/>
    <w:rsid w:val="00790C13"/>
    <w:rsid w:val="0079536F"/>
    <w:rsid w:val="007A6A21"/>
    <w:rsid w:val="007B4D28"/>
    <w:rsid w:val="007C03F7"/>
    <w:rsid w:val="007D38B2"/>
    <w:rsid w:val="007D6DFE"/>
    <w:rsid w:val="007F1E39"/>
    <w:rsid w:val="007F33CE"/>
    <w:rsid w:val="00803ACC"/>
    <w:rsid w:val="008043B4"/>
    <w:rsid w:val="00811FC1"/>
    <w:rsid w:val="0082183D"/>
    <w:rsid w:val="00823CEF"/>
    <w:rsid w:val="00834DB7"/>
    <w:rsid w:val="00853ABC"/>
    <w:rsid w:val="0086574D"/>
    <w:rsid w:val="00867E23"/>
    <w:rsid w:val="008707AE"/>
    <w:rsid w:val="00871DC9"/>
    <w:rsid w:val="00875B0C"/>
    <w:rsid w:val="008812E0"/>
    <w:rsid w:val="008925FD"/>
    <w:rsid w:val="00894B53"/>
    <w:rsid w:val="008E1683"/>
    <w:rsid w:val="008F05AA"/>
    <w:rsid w:val="008F296A"/>
    <w:rsid w:val="008F4C5E"/>
    <w:rsid w:val="009056CE"/>
    <w:rsid w:val="00907DC9"/>
    <w:rsid w:val="00911F5B"/>
    <w:rsid w:val="009124B1"/>
    <w:rsid w:val="0092298E"/>
    <w:rsid w:val="00927E50"/>
    <w:rsid w:val="00930475"/>
    <w:rsid w:val="0093259D"/>
    <w:rsid w:val="00963742"/>
    <w:rsid w:val="00966FA3"/>
    <w:rsid w:val="00986E7B"/>
    <w:rsid w:val="00993AD2"/>
    <w:rsid w:val="009A7516"/>
    <w:rsid w:val="009C49D7"/>
    <w:rsid w:val="009C4FAF"/>
    <w:rsid w:val="009E7E9E"/>
    <w:rsid w:val="009F0457"/>
    <w:rsid w:val="009F65EE"/>
    <w:rsid w:val="00A00EDE"/>
    <w:rsid w:val="00A01F45"/>
    <w:rsid w:val="00A15FB2"/>
    <w:rsid w:val="00A16106"/>
    <w:rsid w:val="00A22540"/>
    <w:rsid w:val="00A462C2"/>
    <w:rsid w:val="00A56CF2"/>
    <w:rsid w:val="00A71270"/>
    <w:rsid w:val="00A72B44"/>
    <w:rsid w:val="00A87820"/>
    <w:rsid w:val="00AA2FD3"/>
    <w:rsid w:val="00AA7534"/>
    <w:rsid w:val="00AB229C"/>
    <w:rsid w:val="00AB2CA1"/>
    <w:rsid w:val="00AB78DE"/>
    <w:rsid w:val="00AD15BF"/>
    <w:rsid w:val="00AD1899"/>
    <w:rsid w:val="00AD3E56"/>
    <w:rsid w:val="00AD421C"/>
    <w:rsid w:val="00AD778B"/>
    <w:rsid w:val="00AF12D7"/>
    <w:rsid w:val="00AF654D"/>
    <w:rsid w:val="00B00988"/>
    <w:rsid w:val="00B1174F"/>
    <w:rsid w:val="00B31CF5"/>
    <w:rsid w:val="00B37046"/>
    <w:rsid w:val="00B47155"/>
    <w:rsid w:val="00BA1060"/>
    <w:rsid w:val="00BB0CFC"/>
    <w:rsid w:val="00BB789F"/>
    <w:rsid w:val="00BC0363"/>
    <w:rsid w:val="00C2379D"/>
    <w:rsid w:val="00C27930"/>
    <w:rsid w:val="00C31479"/>
    <w:rsid w:val="00C45CB7"/>
    <w:rsid w:val="00C53BFF"/>
    <w:rsid w:val="00C54F1F"/>
    <w:rsid w:val="00C60C82"/>
    <w:rsid w:val="00C60DE8"/>
    <w:rsid w:val="00C76863"/>
    <w:rsid w:val="00C8490C"/>
    <w:rsid w:val="00C86009"/>
    <w:rsid w:val="00C876C9"/>
    <w:rsid w:val="00C91762"/>
    <w:rsid w:val="00C9241F"/>
    <w:rsid w:val="00C95A93"/>
    <w:rsid w:val="00CB0663"/>
    <w:rsid w:val="00CB2D3F"/>
    <w:rsid w:val="00CB2F91"/>
    <w:rsid w:val="00CB5434"/>
    <w:rsid w:val="00CB5AC7"/>
    <w:rsid w:val="00CD5F32"/>
    <w:rsid w:val="00CD6FD8"/>
    <w:rsid w:val="00CE0AFF"/>
    <w:rsid w:val="00CE0FA9"/>
    <w:rsid w:val="00CE18E6"/>
    <w:rsid w:val="00D136F2"/>
    <w:rsid w:val="00D26A71"/>
    <w:rsid w:val="00D26AE0"/>
    <w:rsid w:val="00D35066"/>
    <w:rsid w:val="00D37094"/>
    <w:rsid w:val="00D37238"/>
    <w:rsid w:val="00D4689F"/>
    <w:rsid w:val="00D51C50"/>
    <w:rsid w:val="00D56447"/>
    <w:rsid w:val="00D60A77"/>
    <w:rsid w:val="00D637A3"/>
    <w:rsid w:val="00D67421"/>
    <w:rsid w:val="00D70B4D"/>
    <w:rsid w:val="00D84105"/>
    <w:rsid w:val="00D91B8D"/>
    <w:rsid w:val="00DA4AF6"/>
    <w:rsid w:val="00DB24DC"/>
    <w:rsid w:val="00DB3486"/>
    <w:rsid w:val="00DD170F"/>
    <w:rsid w:val="00DD7AE3"/>
    <w:rsid w:val="00DF7F78"/>
    <w:rsid w:val="00E017B3"/>
    <w:rsid w:val="00E107FD"/>
    <w:rsid w:val="00E222C3"/>
    <w:rsid w:val="00E26805"/>
    <w:rsid w:val="00E468EB"/>
    <w:rsid w:val="00E51CB0"/>
    <w:rsid w:val="00E5280B"/>
    <w:rsid w:val="00E56D18"/>
    <w:rsid w:val="00E622A6"/>
    <w:rsid w:val="00E85991"/>
    <w:rsid w:val="00EB380C"/>
    <w:rsid w:val="00EB6080"/>
    <w:rsid w:val="00EB60E6"/>
    <w:rsid w:val="00EC2FE3"/>
    <w:rsid w:val="00ED0E10"/>
    <w:rsid w:val="00EE2652"/>
    <w:rsid w:val="00EF68C0"/>
    <w:rsid w:val="00F106FD"/>
    <w:rsid w:val="00F21E6F"/>
    <w:rsid w:val="00F32033"/>
    <w:rsid w:val="00F44100"/>
    <w:rsid w:val="00F57545"/>
    <w:rsid w:val="00F5795A"/>
    <w:rsid w:val="00F6332F"/>
    <w:rsid w:val="00F6515B"/>
    <w:rsid w:val="00F71509"/>
    <w:rsid w:val="00F77574"/>
    <w:rsid w:val="00F8173B"/>
    <w:rsid w:val="00F86421"/>
    <w:rsid w:val="00F91965"/>
    <w:rsid w:val="00FA0120"/>
    <w:rsid w:val="00FA6441"/>
    <w:rsid w:val="00FB33F9"/>
    <w:rsid w:val="00FC18E8"/>
    <w:rsid w:val="00FD4E99"/>
    <w:rsid w:val="00FE549D"/>
    <w:rsid w:val="00FF51F6"/>
    <w:rsid w:val="4DFFCB43"/>
    <w:rsid w:val="4E92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EA9E2A"/>
  <w15:chartTrackingRefBased/>
  <w15:docId w15:val="{F4523561-E974-7F46-8E7A-93E5E37E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F5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F5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F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F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F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F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87F55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87F55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87F5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87F55"/>
    <w:rPr>
      <w:rFonts w:eastAsiaTheme="majorEastAsia" w:cstheme="majorBidi"/>
      <w:i/>
      <w:iCs/>
      <w:color w:val="0F4761" w:themeColor="accent1" w:themeShade="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87F55"/>
    <w:rPr>
      <w:rFonts w:eastAsiaTheme="majorEastAsia" w:cstheme="majorBidi"/>
      <w:color w:val="0F4761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87F55"/>
    <w:rPr>
      <w:rFonts w:eastAsiaTheme="majorEastAsia" w:cstheme="majorBidi"/>
      <w:i/>
      <w:iCs/>
      <w:color w:val="595959" w:themeColor="text1" w:themeTint="A6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87F55"/>
    <w:rPr>
      <w:rFonts w:eastAsiaTheme="majorEastAsia" w:cstheme="majorBidi"/>
      <w:color w:val="595959" w:themeColor="text1" w:themeTint="A6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87F55"/>
    <w:rPr>
      <w:rFonts w:eastAsiaTheme="majorEastAsia" w:cstheme="majorBidi"/>
      <w:i/>
      <w:iCs/>
      <w:color w:val="272727" w:themeColor="text1" w:themeTint="D8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87F5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87F5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87F55"/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F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87F5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87F55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87F5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87F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F5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87F55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87F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87F5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87F55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87F55"/>
  </w:style>
  <w:style w:type="paragraph" w:styleId="Header">
    <w:name w:val="header"/>
    <w:basedOn w:val="Normal"/>
    <w:link w:val="HeaderChar"/>
    <w:unhideWhenUsed/>
    <w:rsid w:val="00187F5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187F5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Bishma Jayathilaka</dc:creator>
  <keywords/>
  <dc:description/>
  <lastModifiedBy>Bishma Jayathilaka</lastModifiedBy>
  <revision>6</revision>
  <dcterms:created xsi:type="dcterms:W3CDTF">2024-10-17T02:10:00.0000000Z</dcterms:created>
  <dcterms:modified xsi:type="dcterms:W3CDTF">2024-10-27T23:22:31.6859021Z</dcterms:modified>
</coreProperties>
</file>