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439055" w14:textId="550C19C6" w:rsidR="00C452DE" w:rsidRPr="00734121" w:rsidRDefault="00C452DE" w:rsidP="00C452DE">
      <w:pPr>
        <w:pStyle w:val="Heading1"/>
        <w:rPr>
          <w:b/>
          <w:bCs/>
          <w:color w:val="auto"/>
        </w:rPr>
      </w:pPr>
      <w:bookmarkStart w:id="0" w:name="_Hlk176800351"/>
      <w:bookmarkEnd w:id="0"/>
      <w:r w:rsidRPr="00734121">
        <w:rPr>
          <w:b/>
          <w:bCs/>
          <w:color w:val="auto"/>
        </w:rPr>
        <w:t>List of supplementary documents</w:t>
      </w:r>
    </w:p>
    <w:p w14:paraId="2603F6A1" w14:textId="7891AA6A" w:rsidR="00A2305D" w:rsidRPr="00734121" w:rsidRDefault="00A2305D" w:rsidP="006B1DA5">
      <w:pPr>
        <w:spacing w:after="120"/>
        <w:jc w:val="both"/>
        <w:rPr>
          <w:i/>
          <w:iCs/>
          <w:sz w:val="28"/>
          <w:szCs w:val="28"/>
        </w:rPr>
      </w:pPr>
      <w:r w:rsidRPr="00734121">
        <w:rPr>
          <w:i/>
          <w:iCs/>
          <w:sz w:val="28"/>
          <w:szCs w:val="28"/>
        </w:rPr>
        <w:t>List supplementary methods</w:t>
      </w:r>
    </w:p>
    <w:p w14:paraId="3B39C4B9" w14:textId="2FD2EFD3" w:rsidR="00C452DE" w:rsidRPr="00734121" w:rsidRDefault="00C452DE" w:rsidP="00FE3FD5">
      <w:pPr>
        <w:pStyle w:val="ListParagraph"/>
        <w:numPr>
          <w:ilvl w:val="0"/>
          <w:numId w:val="11"/>
        </w:numPr>
        <w:jc w:val="both"/>
      </w:pPr>
      <w:r w:rsidRPr="00734121">
        <w:t>Tumour growth model</w:t>
      </w:r>
    </w:p>
    <w:p w14:paraId="49081442" w14:textId="66BEDB96" w:rsidR="00C40A3F" w:rsidRDefault="00C40A3F" w:rsidP="00C40A3F">
      <w:pPr>
        <w:pStyle w:val="ListParagraph"/>
        <w:numPr>
          <w:ilvl w:val="0"/>
          <w:numId w:val="11"/>
        </w:numPr>
        <w:jc w:val="both"/>
      </w:pPr>
      <w:r w:rsidRPr="00734121">
        <w:t>Tumour growth model justification</w:t>
      </w:r>
    </w:p>
    <w:p w14:paraId="48B4B02E" w14:textId="5928078F" w:rsidR="00836F28" w:rsidRDefault="00AF6FA4" w:rsidP="00C40A3F">
      <w:pPr>
        <w:pStyle w:val="ListParagraph"/>
        <w:numPr>
          <w:ilvl w:val="0"/>
          <w:numId w:val="11"/>
        </w:numPr>
        <w:jc w:val="both"/>
      </w:pPr>
      <w:r>
        <w:t>Cell population PD model</w:t>
      </w:r>
    </w:p>
    <w:p w14:paraId="209A9190" w14:textId="243965EE" w:rsidR="00A2305D" w:rsidRPr="00734121" w:rsidRDefault="00A2305D" w:rsidP="00FE3FD5">
      <w:pPr>
        <w:pStyle w:val="ListParagraph"/>
        <w:numPr>
          <w:ilvl w:val="0"/>
          <w:numId w:val="11"/>
        </w:numPr>
        <w:jc w:val="both"/>
      </w:pPr>
      <w:r w:rsidRPr="00734121">
        <w:t>Tumour volume calculation</w:t>
      </w:r>
    </w:p>
    <w:p w14:paraId="1B90B5C2" w14:textId="04A631A0" w:rsidR="00A2305D" w:rsidRPr="00734121" w:rsidRDefault="00A2305D" w:rsidP="00FE3FD5">
      <w:pPr>
        <w:pStyle w:val="ListParagraph"/>
        <w:numPr>
          <w:ilvl w:val="0"/>
          <w:numId w:val="11"/>
        </w:numPr>
        <w:jc w:val="both"/>
      </w:pPr>
      <w:r w:rsidRPr="00734121">
        <w:t>Cellular volume calculation</w:t>
      </w:r>
    </w:p>
    <w:p w14:paraId="4B862B48" w14:textId="7F238012" w:rsidR="00A2305D" w:rsidRPr="00734121" w:rsidRDefault="00A2305D" w:rsidP="00FE3FD5">
      <w:pPr>
        <w:pStyle w:val="ListParagraph"/>
        <w:numPr>
          <w:ilvl w:val="0"/>
          <w:numId w:val="11"/>
        </w:numPr>
        <w:jc w:val="both"/>
      </w:pPr>
      <w:r w:rsidRPr="00734121">
        <w:t>Cell number calculation</w:t>
      </w:r>
    </w:p>
    <w:p w14:paraId="43A16DB0" w14:textId="69652733" w:rsidR="00A2305D" w:rsidRDefault="00C452DE" w:rsidP="00A2305D">
      <w:pPr>
        <w:pStyle w:val="ListParagraph"/>
        <w:numPr>
          <w:ilvl w:val="0"/>
          <w:numId w:val="11"/>
        </w:numPr>
        <w:jc w:val="both"/>
      </w:pPr>
      <w:r w:rsidRPr="00734121">
        <w:t>Pharmacokinetic models</w:t>
      </w:r>
    </w:p>
    <w:p w14:paraId="36221A83" w14:textId="70B1C454" w:rsidR="005319F5" w:rsidRPr="00734121" w:rsidRDefault="005319F5" w:rsidP="005319F5">
      <w:pPr>
        <w:pStyle w:val="ListParagraph"/>
        <w:numPr>
          <w:ilvl w:val="0"/>
          <w:numId w:val="11"/>
        </w:numPr>
      </w:pPr>
      <w:r w:rsidRPr="002F67AD">
        <w:t>Preclinical TGI data</w:t>
      </w:r>
    </w:p>
    <w:p w14:paraId="1CA22322" w14:textId="2BC05668" w:rsidR="008C17A1" w:rsidRPr="00734121" w:rsidRDefault="00666B73" w:rsidP="006B1DA5">
      <w:pPr>
        <w:spacing w:after="120"/>
        <w:jc w:val="both"/>
        <w:rPr>
          <w:i/>
          <w:iCs/>
          <w:sz w:val="28"/>
          <w:szCs w:val="28"/>
        </w:rPr>
      </w:pPr>
      <w:r w:rsidRPr="00734121">
        <w:rPr>
          <w:i/>
          <w:iCs/>
          <w:sz w:val="28"/>
          <w:szCs w:val="28"/>
        </w:rPr>
        <w:t xml:space="preserve"> </w:t>
      </w:r>
      <w:r w:rsidR="008C17A1" w:rsidRPr="00734121">
        <w:rPr>
          <w:i/>
          <w:iCs/>
          <w:sz w:val="28"/>
          <w:szCs w:val="28"/>
        </w:rPr>
        <w:t>List supplementary tables</w:t>
      </w:r>
    </w:p>
    <w:p w14:paraId="029E5231" w14:textId="141CFA70" w:rsidR="00423F58" w:rsidRPr="00734121" w:rsidRDefault="00423F58" w:rsidP="00423F58">
      <w:pPr>
        <w:pStyle w:val="ListParagraph"/>
        <w:numPr>
          <w:ilvl w:val="0"/>
          <w:numId w:val="1"/>
        </w:numPr>
      </w:pPr>
      <w:r w:rsidRPr="00734121">
        <w:t xml:space="preserve">Table S1. PK model parameters for </w:t>
      </w:r>
      <w:proofErr w:type="spellStart"/>
      <w:r w:rsidRPr="00734121">
        <w:t>gartisertib</w:t>
      </w:r>
      <w:proofErr w:type="spellEnd"/>
      <w:r w:rsidRPr="00734121">
        <w:t>.</w:t>
      </w:r>
    </w:p>
    <w:p w14:paraId="721D250B" w14:textId="6A19E560" w:rsidR="00423F58" w:rsidRPr="00734121" w:rsidRDefault="00423F58" w:rsidP="008C17A1">
      <w:pPr>
        <w:pStyle w:val="ListParagraph"/>
        <w:numPr>
          <w:ilvl w:val="0"/>
          <w:numId w:val="1"/>
        </w:numPr>
        <w:jc w:val="both"/>
      </w:pPr>
      <w:r w:rsidRPr="00734121">
        <w:t>Table S2. PK model parameters for rucaparib camsylate</w:t>
      </w:r>
      <w:r w:rsidR="00C4543D" w:rsidRPr="00734121">
        <w:t>.</w:t>
      </w:r>
    </w:p>
    <w:p w14:paraId="73D4D39B" w14:textId="1BDFBBFE" w:rsidR="00423F58" w:rsidRPr="00734121" w:rsidRDefault="00423F58" w:rsidP="00C4543D">
      <w:pPr>
        <w:pStyle w:val="ListParagraph"/>
        <w:numPr>
          <w:ilvl w:val="0"/>
          <w:numId w:val="1"/>
        </w:numPr>
        <w:jc w:val="both"/>
      </w:pPr>
      <w:r w:rsidRPr="00734121">
        <w:t xml:space="preserve">Table S3. PK model parameters for </w:t>
      </w:r>
      <w:proofErr w:type="spellStart"/>
      <w:r w:rsidRPr="00734121">
        <w:t>talazoparib</w:t>
      </w:r>
      <w:proofErr w:type="spellEnd"/>
      <w:r w:rsidRPr="00734121">
        <w:t>.</w:t>
      </w:r>
    </w:p>
    <w:p w14:paraId="46E9BAC4" w14:textId="6FAD8C14" w:rsidR="003B7E4D" w:rsidRDefault="003B7E4D" w:rsidP="003B7E4D">
      <w:pPr>
        <w:pStyle w:val="ListParagraph"/>
        <w:numPr>
          <w:ilvl w:val="0"/>
          <w:numId w:val="1"/>
        </w:numPr>
        <w:jc w:val="both"/>
      </w:pPr>
      <w:r w:rsidRPr="00734121">
        <w:t xml:space="preserve">Table </w:t>
      </w:r>
      <w:r w:rsidR="0048582C">
        <w:t>S4</w:t>
      </w:r>
      <w:r w:rsidRPr="00734121">
        <w:t xml:space="preserve">. </w:t>
      </w:r>
      <w:r w:rsidRPr="003B7E4D">
        <w:t>Phase-specific processes during the cell cycle</w:t>
      </w:r>
      <w:r>
        <w:t>.</w:t>
      </w:r>
    </w:p>
    <w:p w14:paraId="75E6F5DE" w14:textId="5DEB30BF" w:rsidR="00453CCD" w:rsidRDefault="00453CCD" w:rsidP="003B7E4D">
      <w:pPr>
        <w:pStyle w:val="ListParagraph"/>
        <w:numPr>
          <w:ilvl w:val="0"/>
          <w:numId w:val="1"/>
        </w:numPr>
        <w:jc w:val="both"/>
      </w:pPr>
      <w:r>
        <w:t xml:space="preserve">Table S5: </w:t>
      </w:r>
      <w:r w:rsidR="00FF7248" w:rsidRPr="00FF7248">
        <w:t>PD model parameters fixed across all simulations</w:t>
      </w:r>
    </w:p>
    <w:p w14:paraId="0445581E" w14:textId="452A3C54" w:rsidR="008C17A1" w:rsidRPr="00734121" w:rsidRDefault="00423F58" w:rsidP="008C17A1">
      <w:pPr>
        <w:pStyle w:val="ListParagraph"/>
        <w:numPr>
          <w:ilvl w:val="0"/>
          <w:numId w:val="1"/>
        </w:numPr>
        <w:jc w:val="both"/>
      </w:pPr>
      <w:r w:rsidRPr="00734121">
        <w:t>Table S</w:t>
      </w:r>
      <w:r w:rsidR="003B7E4D">
        <w:t>6</w:t>
      </w:r>
      <w:r w:rsidRPr="00734121">
        <w:t>. Model parameters characterising the cancer cell line of the PDX panel.</w:t>
      </w:r>
    </w:p>
    <w:p w14:paraId="335F3D98" w14:textId="47DCA878" w:rsidR="008C17A1" w:rsidRPr="00FA1213" w:rsidRDefault="008C17A1" w:rsidP="006B1DA5">
      <w:pPr>
        <w:spacing w:after="120"/>
        <w:jc w:val="both"/>
        <w:rPr>
          <w:i/>
          <w:iCs/>
          <w:sz w:val="28"/>
          <w:szCs w:val="28"/>
        </w:rPr>
      </w:pPr>
      <w:r w:rsidRPr="00FA1213">
        <w:rPr>
          <w:i/>
          <w:iCs/>
          <w:sz w:val="28"/>
          <w:szCs w:val="28"/>
        </w:rPr>
        <w:t>List supplementary figures</w:t>
      </w:r>
    </w:p>
    <w:p w14:paraId="2D28D08A" w14:textId="0AADC515" w:rsidR="00EC498D" w:rsidRPr="00EC498D" w:rsidRDefault="00EC498D" w:rsidP="00C4543D">
      <w:pPr>
        <w:pStyle w:val="ListParagraph"/>
        <w:numPr>
          <w:ilvl w:val="0"/>
          <w:numId w:val="1"/>
        </w:numPr>
        <w:jc w:val="both"/>
      </w:pPr>
      <w:bookmarkStart w:id="1" w:name="_Hlk118857475"/>
      <w:r w:rsidRPr="00EC498D">
        <w:t>Figure S1. Tumour growth models comparison</w:t>
      </w:r>
      <w:r w:rsidR="00FB4B42">
        <w:t>.</w:t>
      </w:r>
    </w:p>
    <w:p w14:paraId="01A6384C" w14:textId="5FC37241" w:rsidR="00C4543D" w:rsidRPr="00FB4B42" w:rsidRDefault="00C4543D" w:rsidP="00C4543D">
      <w:pPr>
        <w:pStyle w:val="ListParagraph"/>
        <w:numPr>
          <w:ilvl w:val="0"/>
          <w:numId w:val="1"/>
        </w:numPr>
        <w:jc w:val="both"/>
      </w:pPr>
      <w:r w:rsidRPr="00FB4B42">
        <w:t>Figure S</w:t>
      </w:r>
      <w:r w:rsidR="00EC498D" w:rsidRPr="00FB4B42">
        <w:t>2</w:t>
      </w:r>
      <w:r w:rsidRPr="00FB4B42">
        <w:t xml:space="preserve">. Model simulation: in the DDR model, three effects due to ATR inhibition contribute to the synergistic combination with the PARP inhibitor rucaparib. </w:t>
      </w:r>
    </w:p>
    <w:p w14:paraId="364FCFDA" w14:textId="0161D9DC" w:rsidR="009F5D3B" w:rsidRPr="00FB4B42" w:rsidRDefault="009F5D3B" w:rsidP="00C4543D">
      <w:pPr>
        <w:pStyle w:val="ListParagraph"/>
        <w:numPr>
          <w:ilvl w:val="0"/>
          <w:numId w:val="1"/>
        </w:numPr>
        <w:jc w:val="both"/>
      </w:pPr>
      <w:r w:rsidRPr="00FB4B42">
        <w:t xml:space="preserve">Figure S3. </w:t>
      </w:r>
      <w:r w:rsidRPr="009F5D3B">
        <w:t>Model simulation overlaid with the TGI of each animal in experimental study 2 in HBCx-9 tumour model, and</w:t>
      </w:r>
      <w:r w:rsidR="00E41962">
        <w:t xml:space="preserve"> parameter</w:t>
      </w:r>
      <w:r w:rsidRPr="009F5D3B">
        <w:t xml:space="preserve"> local sensitivit</w:t>
      </w:r>
      <w:r w:rsidR="00E41962">
        <w:t>y</w:t>
      </w:r>
      <w:r w:rsidRPr="009F5D3B">
        <w:t xml:space="preserve">.  </w:t>
      </w:r>
    </w:p>
    <w:p w14:paraId="4067FD09" w14:textId="1D595466" w:rsidR="00C4543D" w:rsidRDefault="00C4543D" w:rsidP="00C4543D">
      <w:pPr>
        <w:pStyle w:val="ListParagraph"/>
        <w:numPr>
          <w:ilvl w:val="0"/>
          <w:numId w:val="1"/>
        </w:numPr>
        <w:jc w:val="both"/>
      </w:pPr>
      <w:r w:rsidRPr="00B64DCB">
        <w:t>Figure S</w:t>
      </w:r>
      <w:r w:rsidR="00FB4B42" w:rsidRPr="00B64DCB">
        <w:t>4</w:t>
      </w:r>
      <w:r w:rsidRPr="00B64DCB">
        <w:t xml:space="preserve">. Fourth data set for the calibration of drug parameters. Model simulations overlaid with the TGI measured for various regimens in experimental study 4 in HBCx-9 tumour model.  </w:t>
      </w:r>
    </w:p>
    <w:p w14:paraId="163DF497" w14:textId="007BEB01" w:rsidR="0041159A" w:rsidRPr="008A27D3" w:rsidRDefault="0041159A" w:rsidP="00C4543D">
      <w:pPr>
        <w:pStyle w:val="ListParagraph"/>
        <w:numPr>
          <w:ilvl w:val="0"/>
          <w:numId w:val="1"/>
        </w:numPr>
        <w:jc w:val="both"/>
      </w:pPr>
      <w:r w:rsidRPr="0041159A">
        <w:t xml:space="preserve">Figure S5. Simulated dose-exposure-response of rucaparib and </w:t>
      </w:r>
      <w:proofErr w:type="spellStart"/>
      <w:r w:rsidRPr="0041159A">
        <w:t>talazoparib</w:t>
      </w:r>
      <w:proofErr w:type="spellEnd"/>
      <w:r w:rsidRPr="0041159A">
        <w:t xml:space="preserve"> in monotherapy </w:t>
      </w:r>
      <w:r w:rsidRPr="008A27D3">
        <w:t xml:space="preserve">and in combination with </w:t>
      </w:r>
      <w:proofErr w:type="spellStart"/>
      <w:r w:rsidRPr="008A27D3">
        <w:t>gartisertib</w:t>
      </w:r>
      <w:proofErr w:type="spellEnd"/>
      <w:r w:rsidRPr="008A27D3">
        <w:t xml:space="preserve"> in HBCx-9.</w:t>
      </w:r>
    </w:p>
    <w:p w14:paraId="4A55723E" w14:textId="0F042D14" w:rsidR="00C4543D" w:rsidRPr="00483B27" w:rsidRDefault="00C4543D" w:rsidP="00C4543D">
      <w:pPr>
        <w:pStyle w:val="ListParagraph"/>
        <w:numPr>
          <w:ilvl w:val="0"/>
          <w:numId w:val="1"/>
        </w:numPr>
        <w:jc w:val="both"/>
      </w:pPr>
      <w:r w:rsidRPr="008A27D3">
        <w:t>Figure S</w:t>
      </w:r>
      <w:r w:rsidR="00A647A8" w:rsidRPr="008A27D3">
        <w:t>6</w:t>
      </w:r>
      <w:r w:rsidRPr="008A27D3">
        <w:t xml:space="preserve">. PDX panel (continued). Model simulations overlaid with the TGI data for the other </w:t>
      </w:r>
      <w:r w:rsidRPr="00483B27">
        <w:t>studies in the TNBC PDX panel with different genetic backgrounds.</w:t>
      </w:r>
    </w:p>
    <w:p w14:paraId="69643618" w14:textId="7F16B93F" w:rsidR="00EC7D4A" w:rsidRPr="00483B27" w:rsidRDefault="00EC7D4A" w:rsidP="00C4543D">
      <w:pPr>
        <w:pStyle w:val="ListParagraph"/>
        <w:numPr>
          <w:ilvl w:val="0"/>
          <w:numId w:val="1"/>
        </w:numPr>
        <w:jc w:val="both"/>
      </w:pPr>
      <w:r>
        <w:t>Figure S</w:t>
      </w:r>
      <w:r w:rsidR="008A27D3">
        <w:t>7</w:t>
      </w:r>
      <w:r>
        <w:t xml:space="preserve">. Preclinical PK model fitting for </w:t>
      </w:r>
      <w:proofErr w:type="spellStart"/>
      <w:r w:rsidR="008A27D3">
        <w:t>gartisertib</w:t>
      </w:r>
      <w:proofErr w:type="spellEnd"/>
      <w:r w:rsidR="006A148A">
        <w:t>.</w:t>
      </w:r>
    </w:p>
    <w:p w14:paraId="0C5AF7BF" w14:textId="3003E65B" w:rsidR="003875F5" w:rsidRPr="006B1DA5" w:rsidRDefault="00EC7D4A" w:rsidP="002F086D">
      <w:pPr>
        <w:pStyle w:val="ListParagraph"/>
        <w:numPr>
          <w:ilvl w:val="0"/>
          <w:numId w:val="1"/>
        </w:numPr>
        <w:spacing w:line="276" w:lineRule="auto"/>
        <w:jc w:val="both"/>
        <w:rPr>
          <w:b/>
          <w:bCs/>
        </w:rPr>
      </w:pPr>
      <w:r w:rsidRPr="00483B27">
        <w:t>Figure S</w:t>
      </w:r>
      <w:r w:rsidR="00483B27">
        <w:t>8</w:t>
      </w:r>
      <w:r w:rsidRPr="00483B27">
        <w:t>. Preclinical</w:t>
      </w:r>
      <w:r w:rsidRPr="00734121">
        <w:t xml:space="preserve"> PK model fitting for rucaparib</w:t>
      </w:r>
      <w:r w:rsidR="006A148A" w:rsidRPr="00734121">
        <w:t>.</w:t>
      </w:r>
      <w:bookmarkEnd w:id="1"/>
      <w:r w:rsidR="003875F5" w:rsidRPr="006B1DA5">
        <w:rPr>
          <w:b/>
          <w:bCs/>
        </w:rPr>
        <w:br w:type="page"/>
      </w:r>
    </w:p>
    <w:p w14:paraId="1888C609" w14:textId="6E02F960" w:rsidR="00FC3918" w:rsidRPr="007E707C" w:rsidRDefault="00A2305D" w:rsidP="007E707C">
      <w:pPr>
        <w:pStyle w:val="Heading1"/>
        <w:rPr>
          <w:b/>
          <w:bCs/>
          <w:color w:val="auto"/>
        </w:rPr>
      </w:pPr>
      <w:r w:rsidRPr="00813AB5">
        <w:rPr>
          <w:b/>
          <w:bCs/>
          <w:color w:val="auto"/>
        </w:rPr>
        <w:lastRenderedPageBreak/>
        <w:t xml:space="preserve">Supplementary </w:t>
      </w:r>
      <w:r w:rsidR="00C17804">
        <w:rPr>
          <w:b/>
          <w:bCs/>
          <w:color w:val="auto"/>
        </w:rPr>
        <w:t>Me</w:t>
      </w:r>
      <w:r w:rsidRPr="00813AB5">
        <w:rPr>
          <w:b/>
          <w:bCs/>
          <w:color w:val="auto"/>
        </w:rPr>
        <w:t>thods</w:t>
      </w:r>
    </w:p>
    <w:p w14:paraId="7C35C7B6" w14:textId="3FCCC21A" w:rsidR="00FC3918" w:rsidRPr="00FC3918" w:rsidRDefault="00FC3918" w:rsidP="000769B6">
      <w:pPr>
        <w:pStyle w:val="Heading2"/>
        <w:numPr>
          <w:ilvl w:val="0"/>
          <w:numId w:val="10"/>
        </w:numPr>
        <w:rPr>
          <w:b/>
          <w:bCs/>
          <w:color w:val="auto"/>
        </w:rPr>
      </w:pPr>
      <w:r w:rsidRPr="00FC3918">
        <w:rPr>
          <w:b/>
          <w:bCs/>
          <w:color w:val="auto"/>
        </w:rPr>
        <w:t xml:space="preserve">Tumour growth model </w:t>
      </w:r>
    </w:p>
    <w:p w14:paraId="35765CFB" w14:textId="6BB80A71" w:rsidR="00FC3918" w:rsidRPr="00A55EFD" w:rsidRDefault="00FC3918" w:rsidP="00FC3918">
      <w:pPr>
        <w:jc w:val="both"/>
        <w:rPr>
          <w:rFonts w:cstheme="minorHAnsi"/>
          <w:color w:val="C00000"/>
        </w:rPr>
      </w:pPr>
      <w:r>
        <w:t xml:space="preserve">The tumour is assumed to have a spherical shape, with an outer layer of proliferating cells that drive tumour growth and an inner core that is quiescent or necrotic. Indeed, cells in the core of solid tumours have limited blood supply, and thus low oxygen levels (hypoxia) and insufficient delivery of nutrients. The growth model used in the present study is based on the work of </w:t>
      </w:r>
      <w:proofErr w:type="spellStart"/>
      <w:r w:rsidR="00557D02">
        <w:t>Mayneord</w:t>
      </w:r>
      <w:proofErr w:type="spellEnd"/>
      <w:r w:rsidR="00557D02">
        <w:t xml:space="preserve"> </w:t>
      </w:r>
      <w:r w:rsidR="00557D02">
        <w:fldChar w:fldCharType="begin"/>
      </w:r>
      <w:r w:rsidR="00557D02">
        <w:instrText xml:space="preserve"> ADDIN ZOTERO_ITEM CSL_CITATION {"citationID":"QubnkXSe","properties":{"formattedCitation":"(1)","plainCitation":"(1)","noteIndex":0},"citationItems":[{"id":302,"uris":["http://zotero.org/users/4189777/items/CVC8XXG9"],"itemData":{"id":302,"type":"article-journal","page":"7","source":"Zotero","title":"On a Law of Growth of Jensen's Rat Sarcoma","author":[{"family":"Mayneord","given":"W V"}],"issued":{"date-parts":[["1932"]]}}}],"schema":"https://github.com/citation-style-language/schema/raw/master/csl-citation.json"} </w:instrText>
      </w:r>
      <w:r w:rsidR="00557D02">
        <w:fldChar w:fldCharType="separate"/>
      </w:r>
      <w:r w:rsidR="00557D02" w:rsidRPr="00557D02">
        <w:rPr>
          <w:rFonts w:ascii="Calibri" w:hAnsi="Calibri" w:cs="Calibri"/>
        </w:rPr>
        <w:t>(1)</w:t>
      </w:r>
      <w:r w:rsidR="00557D02">
        <w:fldChar w:fldCharType="end"/>
      </w:r>
      <w:r w:rsidR="00557D02">
        <w:t xml:space="preserve"> </w:t>
      </w:r>
      <w:r>
        <w:t xml:space="preserve">who reported that the increase in diameter of untreated grafted tumours in rats followed a linear profile,   which could be explained by the observation that only a thin shell surrounding the tumour was in a state of active division. The main assumption of the model is that the thickness of the outer proliferating layer must be smaller than the total tumour radius, which holds in the case of the xenograft models in this study since, by the start of the TGI experiments, the tumours have already grown to a size where they have formed a central core. In all model simulations, the maximum thickness of the outer growing layer was set to 0.25 </w:t>
      </w:r>
      <w:r w:rsidRPr="00A55EFD">
        <w:rPr>
          <w:rFonts w:cstheme="minorHAnsi"/>
        </w:rPr>
        <w:t xml:space="preserve">mm (value </w:t>
      </w:r>
      <w:bookmarkStart w:id="2" w:name="_Hlk172818702"/>
      <w:r w:rsidRPr="00A55EFD">
        <w:rPr>
          <w:rFonts w:cstheme="minorHAnsi"/>
        </w:rPr>
        <w:t xml:space="preserve">derived from </w:t>
      </w:r>
      <w:r w:rsidRPr="00A55EFD">
        <w:rPr>
          <w:rFonts w:cstheme="minorHAnsi"/>
        </w:rPr>
        <w:fldChar w:fldCharType="begin"/>
      </w:r>
      <w:r w:rsidR="00557D02" w:rsidRPr="00A55EFD">
        <w:rPr>
          <w:rFonts w:cstheme="minorHAnsi"/>
        </w:rPr>
        <w:instrText xml:space="preserve"> ADDIN ZOTERO_ITEM CSL_CITATION {"citationID":"5iPQiIW9","properties":{"formattedCitation":"(2)","plainCitation":"(2)","noteIndex":0},"citationItems":[{"id":33539,"uris":["http://zotero.org/users/4189777/items/BHMZID3A"],"itemData":{"id":33539,"type":"article-journal","abstract":"The formation of hypoxic microenvironments within solid tumors is known to contribute to radiation resistance, chemotherapy resistance, immune suppression, increased metastasis, and an overall poor prognosis. It is therefore crucial to understand the spatial and molecular mechanisms that contribute to tumor hypoxia formation to improve the efﬁcacy of radiation treatment, develop hypoxia-directed therapies, and increase patient survival. The objective of this study is to present a number of complementary novel methods for quantifying tumor hypoxia and proliferation in multiplexed immunoﬂuorescence images, especially in relation to the location of perfused blood vessels. A standard marker analysis strategy is to take a positive pixel count approach, in which a threshold for positive stain is used to compute a positive area fraction for hypoxia. This work is a reassessment of that approach, utilizing not only cell segmentation but also distance to nearest blood vessel in order to incorporate spatial information into the analysis. We describe a reproducible pipeline for the visualization and quantitative analysis of hypoxia using a vessel distance analysis approach. This methodological pipeline can serve to further elucidate the relationship between vessel distance and microenvironment-linked markers such as hypoxia and proliferation, can help to quantify parameters relating to oxygen consumption and hypoxic tolerance in tissues, as well as potentially serve as a hypothesis generating tool for future studies testing hypoxia-linked markers.","container-title":"Frontiers in Bioengineering and Biotechnology","DOI":"10.3389/fbioe.2019.00397","ISSN":"2296-4185","journalAbbreviation":"Front. Bioeng. Biotechnol.","language":"en","page":"397","source":"DOI.org (Crossref)","title":"Quantitative Visualization of Hypoxia and Proliferation Gradients Within Histological Tissue Sections","volume":"7","author":[{"family":"Zaidi","given":"Mark"},{"family":"Fu","given":"Fred"},{"family":"Cojocari","given":"Dan"},{"family":"McKee","given":"Trevor D."},{"family":"Wouters","given":"Bradly G."}],"issued":{"date-parts":[["2019",12,5]]}}}],"schema":"https://github.com/citation-style-language/schema/raw/master/csl-citation.json"} </w:instrText>
      </w:r>
      <w:r w:rsidRPr="00A55EFD">
        <w:rPr>
          <w:rFonts w:cstheme="minorHAnsi"/>
        </w:rPr>
        <w:fldChar w:fldCharType="separate"/>
      </w:r>
      <w:r w:rsidR="00557D02" w:rsidRPr="00A55EFD">
        <w:rPr>
          <w:rFonts w:cstheme="minorHAnsi"/>
        </w:rPr>
        <w:t>(2)</w:t>
      </w:r>
      <w:r w:rsidRPr="00A55EFD">
        <w:rPr>
          <w:rFonts w:cstheme="minorHAnsi"/>
        </w:rPr>
        <w:fldChar w:fldCharType="end"/>
      </w:r>
      <w:r w:rsidRPr="00A55EFD">
        <w:rPr>
          <w:rFonts w:cstheme="minorHAnsi"/>
        </w:rPr>
        <w:t xml:space="preserve">), </w:t>
      </w:r>
      <w:bookmarkEnd w:id="2"/>
      <w:r w:rsidRPr="00A55EFD">
        <w:rPr>
          <w:rFonts w:cstheme="minorHAnsi"/>
        </w:rPr>
        <w:t>which is much smaller than the initial radius in every preclinical study (~3 mm). Tumour growth models based on similar principle have been used in other modelling work, including preclinical</w:t>
      </w:r>
      <w:r w:rsidR="00A55EFD" w:rsidRPr="00A55EFD">
        <w:rPr>
          <w:rFonts w:cstheme="minorHAnsi"/>
        </w:rPr>
        <w:t xml:space="preserve"> </w:t>
      </w:r>
      <w:r w:rsidRPr="00A55EFD">
        <w:rPr>
          <w:rFonts w:cstheme="minorHAnsi"/>
        </w:rPr>
        <w:fldChar w:fldCharType="begin"/>
      </w:r>
      <w:r w:rsidR="00557D02" w:rsidRPr="00A55EFD">
        <w:rPr>
          <w:rFonts w:cstheme="minorHAnsi"/>
        </w:rPr>
        <w:instrText xml:space="preserve"> ADDIN ZOTERO_ITEM CSL_CITATION {"citationID":"CRdWin1e","properties":{"formattedCitation":"(3\\uc0\\u8211{}6)","plainCitation":"(3–6)","noteIndex":0},"citationItems":[{"id":2357,"uris":["http://zotero.org/users/4189777/items/R9T7WLWN"],"itemData":{"id":2357,"type":"article-journal","container-title":"Scientific Reports","DOI":"10.1038/srep13545","ISSN":"2045-2322","issue":"1","language":"en","source":"CrossRef","title":"Bridging the gap between in vitro and in vivo: Dose and schedule predictions for the ATR inhibitor AZD6738","title-short":"Bridging the gap between in vitro and in vivo","URL":"http://www.nature.com/articles/srep13545","volume":"5","author":[{"family":"Checkley","given":"Stephen"},{"family":"MacCallum","given":"Linda"},{"family":"Yates","given":"James"},{"family":"Jasper","given":"Paul"},{"family":"Luo","given":"Haobin"},{"family":"Tolsma","given":"John"},{"family":"Bendtsen","given":"Claus"}],"accessed":{"date-parts":[["2017",11,17]]},"issued":{"date-parts":[["2015",10]]}}},{"id":34061,"uris":["http://zotero.org/users/4189777/items/CVRDVAKM"],"itemData":{"id":34061,"type":"article-journal","abstract":"This paper presents the CellCycler, a model of a growing tumour which aims to simulate and predict the effect of treatment on xenograft studies or in the clinic. The model, which is freely available as a web application, uses ordinary differential equations (ODEs) to simulate cells as they pass through the phases of the cell cycle. However the guiding philosophy of the model is that it should only use parameters that can be observed or reasonably well approximated. There is no representation of the complex internal dynamics of each cell; instead the level of analysis is limited to cell state observables such as cell phase, apoptosis, and damage. We show that this approach, while limited in many respects, still naturally accounts for a heteregenous cell population with varying doubling time, and closely captures the dynamics of a growing tumour as it is exposed to treatment. The program is demonstrated using three case studies.","container-title":"PeerJ","DOI":"10.7717/peerj.6983","ISSN":"2167-8359","language":"en","license":"http://creativecommons.org/licenses/by/4.0/","page":"e6983","source":"DOI.org (Crossref)","title":"A simple model of a growing tumour","volume":"7","author":[{"family":"Orrell","given":"David"},{"family":"Mistry","given":"Hitesh B."}],"issued":{"date-parts":[["2019",5,31]]}}},{"id":6722,"uris":["http://zotero.org/users/4189777/items/EDGIXYSI"],"itemData":{"id":6722,"type":"article-journal","container-title":"Computer Methods and Programs in Biomedicine","DOI":"10.1016/j.cmpb.2013.06.014","ISSN":"01692607","issue":"3","language":"en","page":"e3-e13","source":"Crossref","title":"Modelling of tumour growth and cytotoxic effect of docetaxel in xenografts","volume":"114","author":[{"family":"Evans","given":"Neil D."},{"family":"Dimelow","given":"Richard J."},{"family":"Yates","given":"James W.T."}],"issued":{"date-parts":[["2014",5]]}}},{"id":242,"uris":["http://zotero.org/users/4189777/items/47U4HTWH"],"itemData":{"id":242,"type":"article-journal","container-title":"Cancer Chemotherapy and Pharmacology","DOI":"10.1007/s00280-015-2795-7","ISSN":"0344-5704, 1432-0843","issue":"2","language":"en","page":"343-356","source":"Crossref","title":"Validation of a predictive modeling approach to demonstrate the relative efficacy of three different schedules of the AKT inhibitor AZD5363","volume":"76","author":[{"family":"Yates","given":"James W. T."},{"family":"Dudley","given":"Phillippa"},{"family":"Cheng","given":"Jane"},{"family":"D’Cruz","given":"Celina"},{"family":"Davies","given":"Barry R."}],"issued":{"date-parts":[["2015",8]]}}}],"schema":"https://github.com/citation-style-language/schema/raw/master/csl-citation.json"} </w:instrText>
      </w:r>
      <w:r w:rsidRPr="00A55EFD">
        <w:rPr>
          <w:rFonts w:cstheme="minorHAnsi"/>
        </w:rPr>
        <w:fldChar w:fldCharType="separate"/>
      </w:r>
      <w:r w:rsidR="00557D02" w:rsidRPr="00A55EFD">
        <w:rPr>
          <w:rFonts w:cstheme="minorHAnsi"/>
        </w:rPr>
        <w:t>(3–6)</w:t>
      </w:r>
      <w:r w:rsidRPr="00A55EFD">
        <w:rPr>
          <w:rFonts w:cstheme="minorHAnsi"/>
        </w:rPr>
        <w:fldChar w:fldCharType="end"/>
      </w:r>
      <w:r w:rsidRPr="00A55EFD">
        <w:rPr>
          <w:rFonts w:cstheme="minorHAnsi"/>
        </w:rPr>
        <w:t xml:space="preserve"> as well as clinical </w:t>
      </w:r>
      <w:r w:rsidRPr="00A55EFD">
        <w:rPr>
          <w:rFonts w:cstheme="minorHAnsi"/>
        </w:rPr>
        <w:fldChar w:fldCharType="begin"/>
      </w:r>
      <w:r w:rsidR="00557D02" w:rsidRPr="00A55EFD">
        <w:rPr>
          <w:rFonts w:cstheme="minorHAnsi"/>
        </w:rPr>
        <w:instrText xml:space="preserve"> ADDIN ZOTERO_ITEM CSL_CITATION {"citationID":"ol07exNO","properties":{"formattedCitation":"(7,8)","plainCitation":"(7,8)","noteIndex":0},"citationItems":[{"id":3704,"uris":["http://zotero.org/users/4189777/items/QZZEWXNX"],"itemData":{"id":3704,"type":"article-journal","container-title":"Clinical Pharmacology &amp; Therapeutics","DOI":"10.1038/clpt.2009.64","ISSN":"0009-9236, 1532-6535","issue":"2","page":"167-174","source":"Crossref","title":"Elucidation of Relationship Between Tumor Size and Survival in Non-Small-Cell Lung Cancer Patients Can Aid Early Decision Making in Clinical Drug Development","volume":"86","author":[{"family":"Wang","given":"Y"},{"family":"Sung","given":"C"},{"family":"Dartois","given":"C"},{"family":"Ramchandani","given":"R"},{"family":"Booth","given":"B P"},{"family":"Rock","given":"E"},{"family":"Gobburu","given":"J"}],"issued":{"date-parts":[["2009",8]]}}},{"id":33170,"uris":["http://zotero.org/users/4189777/items/P9QWGG3D"],"itemData":{"id":33170,"type":"article-journal","container-title":"BMC Cancer","DOI":"10.1186/1471-2407-12-311","ISSN":"1471-2407","issue":"1","journalAbbreviation":"BMC Cancer","language":"en","page":"311","source":"DOI.org (Crossref)","title":"Dynamic tumor modeling of the dose–response relationship for everolimus in metastatic renal cell carcinoma using data from the phase 3 RECORD-1 trial","volume":"12","author":[{"family":"Stein","given":"Andrew"},{"family":"Wang","given":"Wenping"},{"family":"Carter","given":"Alison A"},{"family":"Chiparus","given":"Ovidiu"},{"family":"Hollaender","given":"Norbert"},{"family":"Kim","given":"Hyewon"},{"family":"Motzer","given":"Robert J"},{"family":"Sarr","given":"Celine"}],"issued":{"date-parts":[["2012",12]]}}}],"schema":"https://github.com/citation-style-language/schema/raw/master/csl-citation.json"} </w:instrText>
      </w:r>
      <w:r w:rsidRPr="00A55EFD">
        <w:rPr>
          <w:rFonts w:cstheme="minorHAnsi"/>
        </w:rPr>
        <w:fldChar w:fldCharType="separate"/>
      </w:r>
      <w:r w:rsidR="00557D02" w:rsidRPr="00A55EFD">
        <w:rPr>
          <w:rFonts w:cstheme="minorHAnsi"/>
        </w:rPr>
        <w:t>(7,8)</w:t>
      </w:r>
      <w:r w:rsidRPr="00A55EFD">
        <w:rPr>
          <w:rFonts w:cstheme="minorHAnsi"/>
        </w:rPr>
        <w:fldChar w:fldCharType="end"/>
      </w:r>
      <w:r w:rsidRPr="00A55EFD">
        <w:rPr>
          <w:rFonts w:cstheme="minorHAnsi"/>
        </w:rPr>
        <w:t xml:space="preserve"> applications.</w:t>
      </w:r>
    </w:p>
    <w:p w14:paraId="18D9C9ED" w14:textId="1AACB4B2" w:rsidR="00FC3918" w:rsidRPr="000F41FF" w:rsidRDefault="00FC3918" w:rsidP="00FC3918">
      <w:pPr>
        <w:jc w:val="both"/>
        <w:rPr>
          <w:b/>
          <w:bCs/>
          <w:i/>
          <w:iCs/>
        </w:rPr>
      </w:pPr>
      <w:r>
        <w:t>The linear growth model in radius was well suited to capture the observed data of untreated tumours for all experiments in this study. A detailed description and com</w:t>
      </w:r>
      <w:bookmarkStart w:id="3" w:name="_Hlk172817166"/>
      <w:r>
        <w:t xml:space="preserve">parison of the present model with Simeoni model </w:t>
      </w:r>
      <w:r>
        <w:fldChar w:fldCharType="begin"/>
      </w:r>
      <w:r w:rsidR="00557D02">
        <w:instrText xml:space="preserve"> ADDIN ZOTERO_ITEM CSL_CITATION {"citationID":"WReWvsmy","properties":{"formattedCitation":"(9)","plainCitation":"(9)","noteIndex":0},"citationItems":[{"id":6684,"uris":["http://zotero.org/users/4189777/items/2AKTWYQF"],"itemData":{"id":6684,"type":"article-journal","abstract":"The available mathematical models describing tumor growth and the effect of anticancer treatments on tumors in animals are of limited use within the drug industry. A simple and effective model would allow applying quantitative thinking to the preclinical development of oncology drugs. In this article, a minimal pharmacokinetic-pharmacodynamic model is presented, based on a system of ordinary differential equations that link the dosing regimen of a compound to the tumor growth in animal models. The growth of tumors in nontreated animals is described by an exponential growth followed by a linear growth. In treated animals, the tumor growth rate is decreased by a factor proportional to both drug concentration and number of proliferating tumor cells. A transit compartmental system is used to model the process of cell death, which occurs at later times. The parameters of the pharmacodynamic model are related to the growth characteristics of the tumor, to the drug potency, and to the kinetics of the tumor cell death. Therefore, such parameters can be used for ranking compounds based on their potency and for evaluating potential differences in the tumor cell death process. The model was extensively tested on discovery candidates and known anticancer drugs. It fitted well the experimental data, providing reliable parameter estimates. On the basis of the parameters estimated in a first experiment, the model successfully predicted the response of tumors exposed to drugs given at different dose levels and/or schedules. It is, thus, possible to use the model prospectively, optimizing the design of new experiments.","container-title":"Cancer Res","page":"1094-101","title":"Predictive pharmacokinetic-pharmacodynamic modeling of tumor growth kinetics in xenograft models after administration of anticancer agents","volume":"64","author":[{"family":"Simeoni","given":"M."},{"family":"Magni","given":"P."},{"family":"Cammia","given":"C."},{"family":"De Nicolao","given":"G."},{"family":"Croci","given":"V."},{"family":"Pesenti","given":"E."},{"family":"Germani","given":"M."},{"family":"Poggesi","given":"I."},{"family":"Rocchetti","given":"M."}],"issued":{"date-parts":[["2004",2,1]]}}}],"schema":"https://github.com/citation-style-language/schema/raw/master/csl-citation.json"} </w:instrText>
      </w:r>
      <w:r>
        <w:fldChar w:fldCharType="separate"/>
      </w:r>
      <w:r w:rsidR="00557D02" w:rsidRPr="00557D02">
        <w:rPr>
          <w:rFonts w:ascii="Calibri" w:hAnsi="Calibri" w:cs="Calibri"/>
        </w:rPr>
        <w:t>(9)</w:t>
      </w:r>
      <w:r>
        <w:fldChar w:fldCharType="end"/>
      </w:r>
      <w:r>
        <w:t xml:space="preserve"> </w:t>
      </w:r>
      <w:bookmarkEnd w:id="3"/>
      <w:r>
        <w:t xml:space="preserve">is provided in </w:t>
      </w:r>
      <w:r w:rsidRPr="000F41FF">
        <w:rPr>
          <w:b/>
          <w:bCs/>
          <w:i/>
          <w:iCs/>
        </w:rPr>
        <w:t xml:space="preserve">Supplementary Methods </w:t>
      </w:r>
      <w:r w:rsidR="004E06ED" w:rsidRPr="000F41FF">
        <w:rPr>
          <w:b/>
          <w:bCs/>
          <w:i/>
          <w:iCs/>
        </w:rPr>
        <w:t>2</w:t>
      </w:r>
      <w:r w:rsidR="000F41FF" w:rsidRPr="000F41FF">
        <w:rPr>
          <w:b/>
          <w:bCs/>
          <w:i/>
          <w:iCs/>
        </w:rPr>
        <w:t>: Tumour growth model justification</w:t>
      </w:r>
      <w:r w:rsidRPr="000F41FF">
        <w:rPr>
          <w:b/>
          <w:bCs/>
          <w:i/>
          <w:iCs/>
        </w:rPr>
        <w:t xml:space="preserve">. </w:t>
      </w:r>
    </w:p>
    <w:p w14:paraId="18A84832" w14:textId="77777777" w:rsidR="00FC3918" w:rsidRPr="00FC3918" w:rsidRDefault="00FC3918" w:rsidP="00FC3918"/>
    <w:p w14:paraId="6C485E9B" w14:textId="11D9E634" w:rsidR="00C452DE" w:rsidRPr="00734121" w:rsidRDefault="00C452DE" w:rsidP="00496EC4">
      <w:pPr>
        <w:pStyle w:val="Heading2"/>
        <w:numPr>
          <w:ilvl w:val="0"/>
          <w:numId w:val="10"/>
        </w:numPr>
        <w:rPr>
          <w:b/>
          <w:bCs/>
          <w:color w:val="auto"/>
        </w:rPr>
      </w:pPr>
      <w:r w:rsidRPr="00734121">
        <w:rPr>
          <w:b/>
          <w:bCs/>
          <w:color w:val="auto"/>
        </w:rPr>
        <w:t>Tumour growth model justification</w:t>
      </w:r>
    </w:p>
    <w:p w14:paraId="67E9BE2E" w14:textId="29E45EFF" w:rsidR="004F28F0" w:rsidRPr="00813AB5" w:rsidRDefault="00C452DE" w:rsidP="008B1BA9">
      <w:pPr>
        <w:jc w:val="both"/>
      </w:pPr>
      <w:r w:rsidRPr="00813AB5">
        <w:t xml:space="preserve">The growth law </w:t>
      </w:r>
      <w:r w:rsidR="008B1BA9" w:rsidRPr="00813AB5">
        <w:t xml:space="preserve">model used in this model is based on the work of </w:t>
      </w:r>
      <w:proofErr w:type="spellStart"/>
      <w:r w:rsidR="008B1BA9" w:rsidRPr="00813AB5">
        <w:t>Mayneord</w:t>
      </w:r>
      <w:proofErr w:type="spellEnd"/>
      <w:r w:rsidRPr="00813AB5">
        <w:t xml:space="preserve"> </w:t>
      </w:r>
      <w:r w:rsidRPr="00813AB5">
        <w:fldChar w:fldCharType="begin"/>
      </w:r>
      <w:r w:rsidR="00557D02">
        <w:instrText xml:space="preserve"> ADDIN ZOTERO_ITEM CSL_CITATION {"citationID":"8PEC62OC","properties":{"formattedCitation":"(1)","plainCitation":"(1)","noteIndex":0},"citationItems":[{"id":302,"uris":["http://zotero.org/users/4189777/items/CVC8XXG9"],"itemData":{"id":302,"type":"article-journal","page":"7","source":"Zotero","title":"On a Law of Growth of Jensen's Rat Sarcoma","author":[{"family":"Mayneord","given":"W V"}],"issued":{"date-parts":[["1932"]]}}}],"schema":"https://github.com/citation-style-language/schema/raw/master/csl-citation.json"} </w:instrText>
      </w:r>
      <w:r w:rsidRPr="00813AB5">
        <w:fldChar w:fldCharType="separate"/>
      </w:r>
      <w:r w:rsidRPr="00813AB5">
        <w:rPr>
          <w:rFonts w:ascii="Calibri" w:hAnsi="Calibri" w:cs="Calibri"/>
        </w:rPr>
        <w:t>(1)</w:t>
      </w:r>
      <w:r w:rsidRPr="00813AB5">
        <w:fldChar w:fldCharType="end"/>
      </w:r>
      <w:r w:rsidR="008B1BA9" w:rsidRPr="00813AB5">
        <w:t>, wh</w:t>
      </w:r>
      <w:r w:rsidR="004F28F0" w:rsidRPr="00813AB5">
        <w:t>ere they observed that only the outer rim of the tumour was viable and proliferating, and that the total tumour radius tended to increase linearly over time. There is a simple linear equation describing the relationship between the two observations:</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4F28F0" w:rsidRPr="00734121" w14:paraId="7F70949F" w14:textId="77777777" w:rsidTr="00FC4899">
        <w:tc>
          <w:tcPr>
            <w:tcW w:w="17" w:type="pct"/>
            <w:vAlign w:val="center"/>
          </w:tcPr>
          <w:p w14:paraId="434653FC" w14:textId="77777777" w:rsidR="004F28F0" w:rsidRPr="00734121" w:rsidRDefault="004F28F0" w:rsidP="001E2DA7">
            <w:pPr>
              <w:pStyle w:val="BodyText"/>
              <w:spacing w:before="0" w:after="160" w:line="360" w:lineRule="auto"/>
              <w:contextualSpacing/>
              <w:jc w:val="center"/>
              <w:rPr>
                <w:lang w:val="en-GB"/>
              </w:rPr>
            </w:pPr>
          </w:p>
        </w:tc>
        <w:tc>
          <w:tcPr>
            <w:tcW w:w="4617" w:type="pct"/>
            <w:vAlign w:val="center"/>
          </w:tcPr>
          <w:p w14:paraId="696FF439" w14:textId="77777777" w:rsidR="004F28F0" w:rsidRPr="0040474F" w:rsidRDefault="00734121" w:rsidP="001E2DA7">
            <w:pPr>
              <w:tabs>
                <w:tab w:val="left" w:pos="1495"/>
              </w:tabs>
              <w:spacing w:after="160" w:line="360" w:lineRule="auto"/>
              <w:contextualSpacing/>
              <w:jc w:val="center"/>
              <w:rPr>
                <w:rFonts w:ascii="Times New Roman" w:eastAsia="Times New Roman" w:hAnsi="Times New Roman" w:cs="Times New Roman"/>
              </w:rPr>
            </w:pPr>
            <m:oMathPara>
              <m:oMath>
                <m:r>
                  <w:rPr>
                    <w:rFonts w:ascii="Cambria Math" w:eastAsiaTheme="minorEastAsia" w:hAnsi="Cambria Math"/>
                  </w:rPr>
                  <m:t>R</m:t>
                </m:r>
                <m:d>
                  <m:dPr>
                    <m:ctrlPr>
                      <w:rPr>
                        <w:rFonts w:ascii="Cambria Math" w:eastAsiaTheme="minorEastAsia" w:hAnsi="Cambria Math"/>
                        <w:i/>
                      </w:rPr>
                    </m:ctrlPr>
                  </m:dPr>
                  <m:e>
                    <m:r>
                      <w:rPr>
                        <w:rFonts w:ascii="Cambria Math" w:eastAsiaTheme="minorEastAsia" w:hAnsi="Cambria Math"/>
                      </w:rPr>
                      <m:t>t</m:t>
                    </m:r>
                  </m:e>
                </m:d>
                <m:r>
                  <w:rPr>
                    <w:rFonts w:ascii="Cambria Math" w:hAnsi="Cambria Math"/>
                  </w:rPr>
                  <m:t>= R</m:t>
                </m:r>
                <m:d>
                  <m:dPr>
                    <m:ctrlPr>
                      <w:rPr>
                        <w:rFonts w:ascii="Cambria Math" w:hAnsi="Cambria Math"/>
                        <w:i/>
                      </w:rPr>
                    </m:ctrlPr>
                  </m:dPr>
                  <m:e>
                    <m:r>
                      <w:rPr>
                        <w:rFonts w:ascii="Cambria Math" w:hAnsi="Cambria Math"/>
                      </w:rPr>
                      <m:t>t=0</m:t>
                    </m:r>
                  </m:e>
                </m:d>
                <m:r>
                  <w:rPr>
                    <w:rFonts w:ascii="Cambria Math" w:eastAsiaTheme="minorEastAsia" w:hAnsi="Cambria Math"/>
                  </w:rPr>
                  <m:t>+g*t</m:t>
                </m:r>
              </m:oMath>
            </m:oMathPara>
          </w:p>
          <w:p w14:paraId="7C10BA31" w14:textId="1C6D61A7" w:rsidR="0040474F" w:rsidRPr="0040474F" w:rsidRDefault="0040474F" w:rsidP="001E2DA7">
            <w:pPr>
              <w:tabs>
                <w:tab w:val="left" w:pos="1495"/>
              </w:tabs>
              <w:spacing w:after="160" w:line="360" w:lineRule="auto"/>
              <w:contextualSpacing/>
              <w:jc w:val="center"/>
              <w:rPr>
                <w:rFonts w:ascii="Times New Roman" w:eastAsia="Times New Roman" w:hAnsi="Times New Roman" w:cs="Times New Roman"/>
              </w:rPr>
            </w:pPr>
            <m:oMathPara>
              <m:oMath>
                <m:r>
                  <w:rPr>
                    <w:rFonts w:ascii="Cambria Math" w:eastAsiaTheme="minorEastAsia" w:hAnsi="Cambria Math"/>
                  </w:rPr>
                  <m:t>g=</m:t>
                </m:r>
                <m:f>
                  <m:fPr>
                    <m:ctrlPr>
                      <w:rPr>
                        <w:rFonts w:ascii="Cambria Math" w:eastAsiaTheme="minorEastAsia" w:hAnsi="Cambria Math"/>
                        <w:i/>
                      </w:rPr>
                    </m:ctrlPr>
                  </m:fPr>
                  <m:num>
                    <m:r>
                      <m:rPr>
                        <m:sty m:val="p"/>
                      </m:rPr>
                      <w:rPr>
                        <w:rFonts w:ascii="Cambria Math" w:eastAsiaTheme="minorEastAsia" w:hAnsi="Cambria Math"/>
                      </w:rPr>
                      <m:t>ln⁡</m:t>
                    </m:r>
                    <m:r>
                      <w:rPr>
                        <w:rFonts w:ascii="Cambria Math" w:eastAsiaTheme="minorEastAsia" w:hAnsi="Cambria Math"/>
                      </w:rPr>
                      <m:t>(2)</m:t>
                    </m:r>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d</m:t>
                        </m:r>
                      </m:sub>
                    </m:sSub>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shell</m:t>
                    </m:r>
                  </m:sub>
                </m:sSub>
              </m:oMath>
            </m:oMathPara>
          </w:p>
        </w:tc>
        <w:tc>
          <w:tcPr>
            <w:tcW w:w="367" w:type="pct"/>
            <w:vAlign w:val="center"/>
          </w:tcPr>
          <w:p w14:paraId="28C3ED3A" w14:textId="0E5B1562" w:rsidR="004F28F0" w:rsidRPr="00734121" w:rsidRDefault="004F28F0" w:rsidP="001E2DA7">
            <w:pPr>
              <w:pStyle w:val="Caption"/>
              <w:spacing w:before="0" w:after="160" w:line="360" w:lineRule="auto"/>
              <w:ind w:left="2019" w:hanging="2019"/>
              <w:contextualSpacing/>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7E3414">
              <w:rPr>
                <w:rFonts w:asciiTheme="minorHAnsi" w:hAnsiTheme="minorHAnsi" w:cstheme="minorHAnsi"/>
                <w:b w:val="0"/>
                <w:bCs/>
                <w:sz w:val="22"/>
                <w:szCs w:val="22"/>
                <w:lang w:val="en-GB"/>
              </w:rPr>
              <w:t>2</w:t>
            </w:r>
            <w:r w:rsidR="00496EC4">
              <w:rPr>
                <w:rFonts w:asciiTheme="minorHAnsi" w:hAnsiTheme="minorHAnsi" w:cstheme="minorHAnsi"/>
                <w:b w:val="0"/>
                <w:bCs/>
                <w:sz w:val="22"/>
                <w:szCs w:val="22"/>
                <w:lang w:val="en-GB"/>
              </w:rPr>
              <w:t>.1</w:t>
            </w:r>
            <w:r w:rsidRPr="00734121">
              <w:rPr>
                <w:rFonts w:asciiTheme="minorHAnsi" w:hAnsiTheme="minorHAnsi" w:cstheme="minorHAnsi"/>
                <w:b w:val="0"/>
                <w:bCs/>
                <w:sz w:val="22"/>
                <w:szCs w:val="22"/>
                <w:lang w:val="en-GB"/>
              </w:rPr>
              <w:t>)</w:t>
            </w:r>
          </w:p>
        </w:tc>
      </w:tr>
    </w:tbl>
    <w:p w14:paraId="3C5968B5" w14:textId="6F714920" w:rsidR="008B1BA9" w:rsidRPr="00813AB5" w:rsidRDefault="0040474F" w:rsidP="008B1BA9">
      <w:pPr>
        <w:jc w:val="both"/>
      </w:pPr>
      <w:r w:rsidRPr="00813AB5">
        <w:t>w</w:t>
      </w:r>
      <w:r w:rsidR="004F28F0" w:rsidRPr="00813AB5">
        <w:t xml:space="preserve">here </w:t>
      </w:r>
      <m:oMath>
        <m:r>
          <w:rPr>
            <w:rFonts w:ascii="Cambria Math" w:hAnsi="Cambria Math"/>
          </w:rPr>
          <m:t>R</m:t>
        </m:r>
      </m:oMath>
      <w:r w:rsidR="004F28F0" w:rsidRPr="00813AB5">
        <w:rPr>
          <w:rFonts w:eastAsiaTheme="minorEastAsia"/>
        </w:rPr>
        <w:t xml:space="preserve"> </w:t>
      </w:r>
      <w:r w:rsidR="00734121" w:rsidRPr="00813AB5">
        <w:rPr>
          <w:rFonts w:eastAsiaTheme="minorEastAsia"/>
        </w:rPr>
        <w:t>is the total tumour radius</w:t>
      </w:r>
      <w:r w:rsidRPr="00813AB5">
        <w:rPr>
          <w:rFonts w:eastAsiaTheme="minorEastAsia"/>
        </w:rPr>
        <w:t xml:space="preserve"> and</w:t>
      </w:r>
      <w:r w:rsidRPr="00813AB5">
        <w:rPr>
          <w:rFonts w:ascii="Cambria Math" w:eastAsiaTheme="minorEastAsia" w:hAnsi="Cambria Math"/>
          <w:i/>
        </w:rPr>
        <w:t xml:space="preserve"> </w:t>
      </w:r>
      <m:oMath>
        <m:r>
          <w:rPr>
            <w:rFonts w:ascii="Cambria Math" w:eastAsiaTheme="minorEastAsia" w:hAnsi="Cambria Math"/>
          </w:rPr>
          <m:t>g</m:t>
        </m:r>
      </m:oMath>
      <w:r w:rsidRPr="00813AB5">
        <w:rPr>
          <w:rFonts w:eastAsiaTheme="minorEastAsia"/>
        </w:rPr>
        <w:t xml:space="preserve"> the growth rate of the tumour, </w:t>
      </w:r>
      <w:r w:rsidR="00734121" w:rsidRPr="00813AB5">
        <w:rPr>
          <w:rFonts w:ascii="Cambria Math" w:eastAsiaTheme="minorEastAsia" w:hAnsi="Cambria Math"/>
          <w:i/>
        </w:rPr>
        <w:t xml:space="preserv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shell</m:t>
            </m:r>
          </m:sub>
        </m:sSub>
      </m:oMath>
      <w:r w:rsidR="00734121" w:rsidRPr="00813AB5">
        <w:rPr>
          <w:rFonts w:eastAsiaTheme="minorEastAsia"/>
        </w:rPr>
        <w:t xml:space="preserve"> is the thickness of the outer layer</w:t>
      </w:r>
      <w:r w:rsidR="005C1BC9" w:rsidRPr="00813AB5">
        <w:rPr>
          <w:rFonts w:eastAsiaTheme="minorEastAsia"/>
        </w:rPr>
        <w:t xml:space="preserve">, here a constant, and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d</m:t>
            </m:r>
          </m:sub>
        </m:sSub>
      </m:oMath>
      <w:r w:rsidR="005C1BC9" w:rsidRPr="00813AB5">
        <w:rPr>
          <w:rFonts w:ascii="Cambria Math" w:eastAsiaTheme="minorEastAsia" w:hAnsi="Cambria Math"/>
          <w:iCs/>
        </w:rPr>
        <w:t xml:space="preserve"> </w:t>
      </w:r>
      <w:r w:rsidR="005C1BC9" w:rsidRPr="00813AB5">
        <w:rPr>
          <w:rFonts w:eastAsiaTheme="minorEastAsia"/>
        </w:rPr>
        <w:t>is the cell cycle length of the dividing cells in the shell</w:t>
      </w:r>
      <w:r w:rsidR="00734121" w:rsidRPr="00813AB5">
        <w:rPr>
          <w:rFonts w:eastAsiaTheme="minorEastAsia"/>
        </w:rPr>
        <w:t xml:space="preserve">. </w:t>
      </w:r>
      <w:r w:rsidR="004F28F0" w:rsidRPr="00813AB5">
        <w:t xml:space="preserve">A derivation </w:t>
      </w:r>
      <w:r w:rsidR="00734121" w:rsidRPr="00813AB5">
        <w:t xml:space="preserve">of the equation </w:t>
      </w:r>
      <w:r w:rsidR="008B1BA9" w:rsidRPr="00813AB5">
        <w:t xml:space="preserve">can be found here </w:t>
      </w:r>
      <w:r w:rsidR="008B1BA9" w:rsidRPr="00813AB5">
        <w:fldChar w:fldCharType="begin"/>
      </w:r>
      <w:r w:rsidR="00557D02">
        <w:instrText xml:space="preserve"> ADDIN ZOTERO_ITEM CSL_CITATION {"citationID":"10JIQLRK","properties":{"formattedCitation":"(4)","plainCitation":"(4)","noteIndex":0},"citationItems":[{"id":34061,"uris":["http://zotero.org/users/4189777/items/CVRDVAKM"],"itemData":{"id":34061,"type":"article-journal","abstract":"This paper presents the CellCycler, a model of a growing tumour which aims to simulate and predict the effect of treatment on xenograft studies or in the clinic. The model, which is freely available as a web application, uses ordinary differential equations (ODEs) to simulate cells as they pass through the phases of the cell cycle. However the guiding philosophy of the model is that it should only use parameters that can be observed or reasonably well approximated. There is no representation of the complex internal dynamics of each cell; instead the level of analysis is limited to cell state observables such as cell phase, apoptosis, and damage. We show that this approach, while limited in many respects, still naturally accounts for a heteregenous cell population with varying doubling time, and closely captures the dynamics of a growing tumour as it is exposed to treatment. The program is demonstrated using three case studies.","container-title":"PeerJ","DOI":"10.7717/peerj.6983","ISSN":"2167-8359","language":"en","license":"http://creativecommons.org/licenses/by/4.0/","page":"e6983","source":"DOI.org (Crossref)","title":"A simple model of a growing tumour","volume":"7","author":[{"family":"Orrell","given":"David"},{"family":"Mistry","given":"Hitesh B."}],"issued":{"date-parts":[["2019",5,31]]}}}],"schema":"https://github.com/citation-style-language/schema/raw/master/csl-citation.json"} </w:instrText>
      </w:r>
      <w:r w:rsidR="008B1BA9" w:rsidRPr="00813AB5">
        <w:fldChar w:fldCharType="separate"/>
      </w:r>
      <w:r w:rsidR="00557D02" w:rsidRPr="00557D02">
        <w:rPr>
          <w:rFonts w:ascii="Calibri" w:hAnsi="Calibri" w:cs="Calibri"/>
        </w:rPr>
        <w:t>(4)</w:t>
      </w:r>
      <w:r w:rsidR="008B1BA9" w:rsidRPr="00813AB5">
        <w:fldChar w:fldCharType="end"/>
      </w:r>
      <w:r w:rsidR="004F28F0" w:rsidRPr="00813AB5">
        <w:t>.</w:t>
      </w:r>
      <w:r w:rsidR="00734121" w:rsidRPr="00813AB5">
        <w:t xml:space="preserve"> This model is particularly relevant for </w:t>
      </w:r>
      <w:r w:rsidR="00734121" w:rsidRPr="0043127D">
        <w:rPr>
          <w:i/>
          <w:iCs/>
        </w:rPr>
        <w:t>in</w:t>
      </w:r>
      <w:r w:rsidR="0043127D">
        <w:rPr>
          <w:i/>
          <w:iCs/>
        </w:rPr>
        <w:t xml:space="preserve"> </w:t>
      </w:r>
      <w:r w:rsidR="00734121" w:rsidRPr="0043127D">
        <w:rPr>
          <w:i/>
          <w:iCs/>
        </w:rPr>
        <w:t>vivo</w:t>
      </w:r>
      <w:r w:rsidR="00734121" w:rsidRPr="00813AB5">
        <w:t xml:space="preserve"> xenograft experiment</w:t>
      </w:r>
      <w:r w:rsidR="005C1BC9" w:rsidRPr="00813AB5">
        <w:t>s</w:t>
      </w:r>
      <w:r w:rsidR="00734121" w:rsidRPr="00813AB5">
        <w:t xml:space="preserve"> where, by the time of randomisation,</w:t>
      </w:r>
      <w:r w:rsidR="005C1BC9" w:rsidRPr="00813AB5">
        <w:t xml:space="preserve"> the</w:t>
      </w:r>
      <w:r w:rsidR="00734121" w:rsidRPr="00813AB5">
        <w:t xml:space="preserve"> tumour has </w:t>
      </w:r>
      <w:r w:rsidR="005C1BC9" w:rsidRPr="00813AB5">
        <w:t xml:space="preserve">a </w:t>
      </w:r>
      <w:r w:rsidR="00734121" w:rsidRPr="00813AB5">
        <w:t>defined structure with non-</w:t>
      </w:r>
      <w:r w:rsidR="00734121" w:rsidRPr="00813AB5">
        <w:lastRenderedPageBreak/>
        <w:t xml:space="preserve">dividing core and </w:t>
      </w:r>
      <w:r w:rsidR="005C1BC9" w:rsidRPr="00813AB5">
        <w:t>proliferating</w:t>
      </w:r>
      <w:r w:rsidR="00734121" w:rsidRPr="00813AB5">
        <w:t xml:space="preserve"> </w:t>
      </w:r>
      <w:r w:rsidR="005C1BC9" w:rsidRPr="00813AB5">
        <w:t xml:space="preserve">shell </w:t>
      </w:r>
      <w:r w:rsidR="005C1BC9" w:rsidRPr="00813AB5">
        <w:fldChar w:fldCharType="begin"/>
      </w:r>
      <w:r w:rsidR="00782AFE">
        <w:instrText xml:space="preserve"> ADDIN ZOTERO_ITEM CSL_CITATION {"citationID":"l6UZixZv","properties":{"formattedCitation":"(2)","plainCitation":"(2)","noteIndex":0},"citationItems":[{"id":33539,"uris":["http://zotero.org/users/4189777/items/BHMZID3A"],"itemData":{"id":33539,"type":"article-journal","abstract":"The formation of hypoxic microenvironments within solid tumors is known to contribute to radiation resistance, chemotherapy resistance, immune suppression, increased metastasis, and an overall poor prognosis. It is therefore crucial to understand the spatial and molecular mechanisms that contribute to tumor hypoxia formation to improve the efﬁcacy of radiation treatment, develop hypoxia-directed therapies, and increase patient survival. The objective of this study is to present a number of complementary novel methods for quantifying tumor hypoxia and proliferation in multiplexed immunoﬂuorescence images, especially in relation to the location of perfused blood vessels. A standard marker analysis strategy is to take a positive pixel count approach, in which a threshold for positive stain is used to compute a positive area fraction for hypoxia. This work is a reassessment of that approach, utilizing not only cell segmentation but also distance to nearest blood vessel in order to incorporate spatial information into the analysis. We describe a reproducible pipeline for the visualization and quantitative analysis of hypoxia using a vessel distance analysis approach. This methodological pipeline can serve to further elucidate the relationship between vessel distance and microenvironment-linked markers such as hypoxia and proliferation, can help to quantify parameters relating to oxygen consumption and hypoxic tolerance in tissues, as well as potentially serve as a hypothesis generating tool for future studies testing hypoxia-linked markers.","container-title":"Frontiers in Bioengineering and Biotechnology","DOI":"10.3389/fbioe.2019.00397","ISSN":"2296-4185","journalAbbreviation":"Front. Bioeng. Biotechnol.","language":"en","page":"397","source":"DOI.org (Crossref)","title":"Quantitative Visualization of Hypoxia and Proliferation Gradients Within Histological Tissue Sections","volume":"7","author":[{"family":"Zaidi","given":"Mark"},{"family":"Fu","given":"Fred"},{"family":"Cojocari","given":"Dan"},{"family":"McKee","given":"Trevor D."},{"family":"Wouters","given":"Bradly G."}],"issued":{"date-parts":[["2019",12,5]]}}}],"schema":"https://github.com/citation-style-language/schema/raw/master/csl-citation.json"} </w:instrText>
      </w:r>
      <w:r w:rsidR="005C1BC9" w:rsidRPr="00813AB5">
        <w:fldChar w:fldCharType="separate"/>
      </w:r>
      <w:r w:rsidR="00782AFE" w:rsidRPr="00782AFE">
        <w:rPr>
          <w:rFonts w:ascii="Calibri" w:hAnsi="Calibri" w:cs="Calibri"/>
        </w:rPr>
        <w:t>(2)</w:t>
      </w:r>
      <w:r w:rsidR="005C1BC9" w:rsidRPr="00813AB5">
        <w:fldChar w:fldCharType="end"/>
      </w:r>
      <w:r w:rsidR="005C1BC9" w:rsidRPr="00813AB5">
        <w:t>.</w:t>
      </w:r>
      <w:r w:rsidR="00181F65" w:rsidRPr="00813AB5">
        <w:t xml:space="preserve"> When fitting to the TGI data</w:t>
      </w:r>
      <w:r w:rsidRPr="00813AB5">
        <w:t>,</w:t>
      </w:r>
      <w:r w:rsidR="00181F65" w:rsidRPr="00813AB5">
        <w:t xml:space="preserve"> </w:t>
      </w:r>
      <m:oMath>
        <m:r>
          <w:rPr>
            <w:rFonts w:ascii="Cambria Math" w:eastAsiaTheme="minorEastAsia" w:hAnsi="Cambria Math"/>
          </w:rPr>
          <m:t>g</m:t>
        </m:r>
      </m:oMath>
      <w:r w:rsidRPr="00813AB5">
        <w:t xml:space="preserve"> </w:t>
      </w:r>
      <w:r w:rsidR="00181F65" w:rsidRPr="00813AB5">
        <w:t xml:space="preserve">is </w:t>
      </w:r>
      <w:r w:rsidRPr="00813AB5">
        <w:t>the</w:t>
      </w:r>
      <w:r w:rsidR="00181F65" w:rsidRPr="00813AB5">
        <w:t xml:space="preserve"> single parameter to </w:t>
      </w:r>
      <w:r w:rsidRPr="00813AB5">
        <w:t xml:space="preserve">estimate. As the radius increases linearly, the tumour volume (sphere) </w:t>
      </w:r>
      <w:r w:rsidR="004F28F0" w:rsidRPr="00813AB5">
        <w:t>increases cubically</w:t>
      </w:r>
      <w:r w:rsidRPr="00813AB5">
        <w:t>.</w:t>
      </w:r>
    </w:p>
    <w:p w14:paraId="5191D0CD" w14:textId="3E7E4B26" w:rsidR="005C1BC9" w:rsidRPr="00813AB5" w:rsidRDefault="008B1BA9" w:rsidP="008B1BA9">
      <w:pPr>
        <w:jc w:val="both"/>
      </w:pPr>
      <w:r w:rsidRPr="00813AB5">
        <w:t xml:space="preserve">On the other hand, the Simeoni tumour growth model </w:t>
      </w:r>
      <w:r w:rsidRPr="00813AB5">
        <w:fldChar w:fldCharType="begin"/>
      </w:r>
      <w:r w:rsidR="00557D02">
        <w:instrText xml:space="preserve"> ADDIN ZOTERO_ITEM CSL_CITATION {"citationID":"ByvHSXik","properties":{"formattedCitation":"(9)","plainCitation":"(9)","noteIndex":0},"citationItems":[{"id":6684,"uris":["http://zotero.org/users/4189777/items/2AKTWYQF"],"itemData":{"id":6684,"type":"article-journal","abstract":"The available mathematical models describing tumor growth and the effect of anticancer treatments on tumors in animals are of limited use within the drug industry. A simple and effective model would allow applying quantitative thinking to the preclinical development of oncology drugs. In this article, a minimal pharmacokinetic-pharmacodynamic model is presented, based on a system of ordinary differential equations that link the dosing regimen of a compound to the tumor growth in animal models. The growth of tumors in nontreated animals is described by an exponential growth followed by a linear growth. In treated animals, the tumor growth rate is decreased by a factor proportional to both drug concentration and number of proliferating tumor cells. A transit compartmental system is used to model the process of cell death, which occurs at later times. The parameters of the pharmacodynamic model are related to the growth characteristics of the tumor, to the drug potency, and to the kinetics of the tumor cell death. Therefore, such parameters can be used for ranking compounds based on their potency and for evaluating potential differences in the tumor cell death process. The model was extensively tested on discovery candidates and known anticancer drugs. It fitted well the experimental data, providing reliable parameter estimates. On the basis of the parameters estimated in a first experiment, the model successfully predicted the response of tumors exposed to drugs given at different dose levels and/or schedules. It is, thus, possible to use the model prospectively, optimizing the design of new experiments.","container-title":"Cancer Res","page":"1094-101","title":"Predictive pharmacokinetic-pharmacodynamic modeling of tumor growth kinetics in xenograft models after administration of anticancer agents","volume":"64","author":[{"family":"Simeoni","given":"M."},{"family":"Magni","given":"P."},{"family":"Cammia","given":"C."},{"family":"De Nicolao","given":"G."},{"family":"Croci","given":"V."},{"family":"Pesenti","given":"E."},{"family":"Germani","given":"M."},{"family":"Poggesi","given":"I."},{"family":"Rocchetti","given":"M."}],"issued":{"date-parts":[["2004",2,1]]}}}],"schema":"https://github.com/citation-style-language/schema/raw/master/csl-citation.json"} </w:instrText>
      </w:r>
      <w:r w:rsidRPr="00813AB5">
        <w:fldChar w:fldCharType="separate"/>
      </w:r>
      <w:r w:rsidR="00557D02" w:rsidRPr="00557D02">
        <w:rPr>
          <w:rFonts w:ascii="Calibri" w:hAnsi="Calibri" w:cs="Calibri"/>
        </w:rPr>
        <w:t>(9)</w:t>
      </w:r>
      <w:r w:rsidRPr="00813AB5">
        <w:fldChar w:fldCharType="end"/>
      </w:r>
      <w:r w:rsidRPr="00813AB5">
        <w:t xml:space="preserve">, a </w:t>
      </w:r>
      <w:r w:rsidR="0040474F" w:rsidRPr="00813AB5">
        <w:t>well-known</w:t>
      </w:r>
      <w:r w:rsidRPr="00813AB5">
        <w:t xml:space="preserve"> model for PK/TGI modelling, </w:t>
      </w:r>
      <w:r w:rsidR="005C1BC9" w:rsidRPr="00813AB5">
        <w:t>describes the tumour growth from early phases of development. It assumes a first phase of exponential growth, followed by a linear growth in volume. The model is defined as an ODE:</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5C1BC9" w:rsidRPr="00734121" w14:paraId="4689258C" w14:textId="77777777" w:rsidTr="00FC4899">
        <w:tc>
          <w:tcPr>
            <w:tcW w:w="17" w:type="pct"/>
            <w:vAlign w:val="center"/>
          </w:tcPr>
          <w:p w14:paraId="4340D050" w14:textId="77777777" w:rsidR="005C1BC9" w:rsidRPr="00734121" w:rsidRDefault="005C1BC9" w:rsidP="001E2DA7">
            <w:pPr>
              <w:pStyle w:val="BodyText"/>
              <w:spacing w:before="0" w:after="160" w:line="360" w:lineRule="auto"/>
              <w:contextualSpacing/>
              <w:jc w:val="center"/>
              <w:rPr>
                <w:lang w:val="en-GB"/>
              </w:rPr>
            </w:pPr>
          </w:p>
        </w:tc>
        <w:tc>
          <w:tcPr>
            <w:tcW w:w="4617" w:type="pct"/>
            <w:vAlign w:val="center"/>
          </w:tcPr>
          <w:p w14:paraId="28846EEC" w14:textId="235F0A35" w:rsidR="005C1BC9" w:rsidRPr="00734121" w:rsidRDefault="004F1A48" w:rsidP="001E2DA7">
            <w:pPr>
              <w:tabs>
                <w:tab w:val="left" w:pos="1495"/>
              </w:tabs>
              <w:spacing w:after="160" w:line="360" w:lineRule="auto"/>
              <w:contextualSpacing/>
              <w:jc w:val="center"/>
            </w:pPr>
            <m:oMathPara>
              <m:oMath>
                <m:f>
                  <m:fPr>
                    <m:ctrlPr>
                      <w:rPr>
                        <w:rFonts w:ascii="Cambria Math" w:hAnsi="Cambria Math"/>
                        <w:i/>
                      </w:rPr>
                    </m:ctrlPr>
                  </m:fPr>
                  <m:num>
                    <m:r>
                      <w:rPr>
                        <w:rFonts w:ascii="Cambria Math" w:hAnsi="Cambria Math"/>
                      </w:rPr>
                      <m:t>dV</m:t>
                    </m:r>
                  </m:num>
                  <m:den>
                    <m:r>
                      <w:rPr>
                        <w:rFonts w:ascii="Cambria Math" w:hAnsi="Cambria Math"/>
                      </w:rPr>
                      <m:t>dt</m:t>
                    </m:r>
                  </m:den>
                </m:f>
                <m:r>
                  <w:rPr>
                    <w:rFonts w:ascii="Cambria Math" w:hAnsi="Cambria Math"/>
                  </w:rPr>
                  <m:t>(t)=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λ</m:t>
                        </m:r>
                      </m:e>
                      <m:sub>
                        <m:r>
                          <w:rPr>
                            <w:rFonts w:ascii="Cambria Math" w:eastAsiaTheme="minorEastAsia" w:hAnsi="Cambria Math"/>
                          </w:rPr>
                          <m:t>0</m:t>
                        </m:r>
                      </m:sub>
                    </m:sSub>
                    <m:r>
                      <w:rPr>
                        <w:rFonts w:ascii="Cambria Math" w:eastAsiaTheme="minorEastAsia" w:hAnsi="Cambria Math"/>
                      </w:rPr>
                      <m:t>*V(t)</m:t>
                    </m:r>
                  </m:num>
                  <m:den>
                    <m:sSup>
                      <m:sSupPr>
                        <m:ctrlPr>
                          <w:rPr>
                            <w:rFonts w:ascii="Cambria Math" w:eastAsiaTheme="minorEastAsia" w:hAnsi="Cambria Math"/>
                            <w:i/>
                          </w:rPr>
                        </m:ctrlPr>
                      </m:sSupPr>
                      <m:e>
                        <m:d>
                          <m:dPr>
                            <m:begChr m:val="["/>
                            <m:endChr m:val="]"/>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λ</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λ</m:t>
                                            </m:r>
                                          </m:e>
                                          <m:sub>
                                            <m:r>
                                              <w:rPr>
                                                <w:rFonts w:ascii="Cambria Math" w:eastAsiaTheme="minorEastAsia" w:hAnsi="Cambria Math"/>
                                              </w:rPr>
                                              <m:t>1</m:t>
                                            </m:r>
                                          </m:sub>
                                        </m:sSub>
                                      </m:den>
                                    </m:f>
                                    <m:r>
                                      <w:rPr>
                                        <w:rFonts w:ascii="Cambria Math" w:eastAsiaTheme="minorEastAsia" w:hAnsi="Cambria Math"/>
                                      </w:rPr>
                                      <m:t>*V(t)</m:t>
                                    </m:r>
                                  </m:e>
                                </m:d>
                              </m:e>
                              <m:sup>
                                <m:r>
                                  <m:rPr>
                                    <m:sty m:val="p"/>
                                  </m:rPr>
                                  <w:rPr>
                                    <w:rFonts w:ascii="Cambria Math" w:eastAsiaTheme="minorEastAsia" w:hAnsi="Cambria Math"/>
                                  </w:rPr>
                                  <m:t>Ψ</m:t>
                                </m:r>
                              </m:sup>
                            </m:sSup>
                          </m:e>
                        </m:d>
                      </m:e>
                      <m:sup>
                        <m:f>
                          <m:fPr>
                            <m:type m:val="lin"/>
                            <m:ctrlPr>
                              <w:rPr>
                                <w:rFonts w:ascii="Cambria Math" w:eastAsiaTheme="minorEastAsia" w:hAnsi="Cambria Math"/>
                                <w:i/>
                              </w:rPr>
                            </m:ctrlPr>
                          </m:fPr>
                          <m:num>
                            <m:r>
                              <w:rPr>
                                <w:rFonts w:ascii="Cambria Math" w:eastAsiaTheme="minorEastAsia" w:hAnsi="Cambria Math"/>
                              </w:rPr>
                              <m:t>1</m:t>
                            </m:r>
                          </m:num>
                          <m:den>
                            <m:r>
                              <m:rPr>
                                <m:sty m:val="p"/>
                              </m:rPr>
                              <w:rPr>
                                <w:rFonts w:ascii="Cambria Math" w:eastAsiaTheme="minorEastAsia" w:hAnsi="Cambria Math"/>
                              </w:rPr>
                              <m:t>Ψ</m:t>
                            </m:r>
                          </m:den>
                        </m:f>
                      </m:sup>
                    </m:sSup>
                  </m:den>
                </m:f>
              </m:oMath>
            </m:oMathPara>
          </w:p>
        </w:tc>
        <w:tc>
          <w:tcPr>
            <w:tcW w:w="367" w:type="pct"/>
            <w:vAlign w:val="center"/>
          </w:tcPr>
          <w:p w14:paraId="7BA00FC0" w14:textId="36AD42ED" w:rsidR="005C1BC9" w:rsidRPr="00734121" w:rsidRDefault="005C1BC9" w:rsidP="001E2DA7">
            <w:pPr>
              <w:pStyle w:val="Caption"/>
              <w:spacing w:before="0" w:after="160" w:line="360" w:lineRule="auto"/>
              <w:ind w:left="2019" w:hanging="2019"/>
              <w:contextualSpacing/>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7E3414">
              <w:rPr>
                <w:rFonts w:asciiTheme="minorHAnsi" w:hAnsiTheme="minorHAnsi" w:cstheme="minorHAnsi"/>
                <w:b w:val="0"/>
                <w:bCs/>
                <w:sz w:val="22"/>
                <w:szCs w:val="22"/>
                <w:lang w:val="en-GB"/>
              </w:rPr>
              <w:t>2</w:t>
            </w:r>
            <w:r w:rsidR="00E17F84">
              <w:rPr>
                <w:rFonts w:asciiTheme="minorHAnsi" w:hAnsiTheme="minorHAnsi" w:cstheme="minorHAnsi"/>
                <w:b w:val="0"/>
                <w:bCs/>
                <w:sz w:val="22"/>
                <w:szCs w:val="22"/>
                <w:lang w:val="en-GB"/>
              </w:rPr>
              <w:t>.</w:t>
            </w:r>
            <w:r w:rsidR="00181F65">
              <w:rPr>
                <w:rFonts w:asciiTheme="minorHAnsi" w:hAnsiTheme="minorHAnsi" w:cstheme="minorHAnsi"/>
                <w:b w:val="0"/>
                <w:bCs/>
                <w:sz w:val="22"/>
                <w:szCs w:val="22"/>
                <w:lang w:val="en-GB"/>
              </w:rPr>
              <w:t>2</w:t>
            </w:r>
            <w:r w:rsidRPr="00734121">
              <w:rPr>
                <w:rFonts w:asciiTheme="minorHAnsi" w:hAnsiTheme="minorHAnsi" w:cstheme="minorHAnsi"/>
                <w:b w:val="0"/>
                <w:bCs/>
                <w:sz w:val="22"/>
                <w:szCs w:val="22"/>
                <w:lang w:val="en-GB"/>
              </w:rPr>
              <w:t>)</w:t>
            </w:r>
          </w:p>
        </w:tc>
      </w:tr>
    </w:tbl>
    <w:p w14:paraId="71F86994" w14:textId="5AA37834" w:rsidR="005C1BC9" w:rsidRDefault="00A11BC7" w:rsidP="008B1BA9">
      <w:pPr>
        <w:jc w:val="both"/>
        <w:rPr>
          <w:rFonts w:eastAsiaTheme="minorEastAsia"/>
        </w:rPr>
      </w:pPr>
      <w:r>
        <w:t>w</w:t>
      </w:r>
      <w:r w:rsidR="00181F65" w:rsidRPr="00813AB5">
        <w:t xml:space="preserve">here </w:t>
      </w:r>
      <m:oMath>
        <m:r>
          <m:rPr>
            <m:sty m:val="p"/>
          </m:rPr>
          <w:rPr>
            <w:rFonts w:ascii="Cambria Math" w:eastAsiaTheme="minorEastAsia" w:hAnsi="Cambria Math"/>
          </w:rPr>
          <m:t>Ψ</m:t>
        </m:r>
      </m:oMath>
      <w:r w:rsidR="00181F65" w:rsidRPr="00813AB5">
        <w:rPr>
          <w:rFonts w:eastAsiaTheme="minorEastAsia"/>
        </w:rPr>
        <w:t xml:space="preserve"> is a parameter fixed by the author to 20, and the two parameters </w:t>
      </w:r>
      <m:oMath>
        <m:sSub>
          <m:sSubPr>
            <m:ctrlPr>
              <w:rPr>
                <w:rFonts w:ascii="Cambria Math" w:eastAsiaTheme="minorEastAsia" w:hAnsi="Cambria Math"/>
                <w:i/>
              </w:rPr>
            </m:ctrlPr>
          </m:sSubPr>
          <m:e>
            <m:r>
              <w:rPr>
                <w:rFonts w:ascii="Cambria Math" w:eastAsiaTheme="minorEastAsia" w:hAnsi="Cambria Math"/>
              </w:rPr>
              <m:t>λ</m:t>
            </m:r>
          </m:e>
          <m:sub>
            <m:r>
              <w:rPr>
                <w:rFonts w:ascii="Cambria Math" w:eastAsiaTheme="minorEastAsia" w:hAnsi="Cambria Math"/>
              </w:rPr>
              <m:t>0</m:t>
            </m:r>
          </m:sub>
        </m:sSub>
      </m:oMath>
      <w:r w:rsidR="00181F65" w:rsidRPr="00813AB5">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λ</m:t>
            </m:r>
          </m:e>
          <m:sub>
            <m:r>
              <w:rPr>
                <w:rFonts w:ascii="Cambria Math" w:eastAsiaTheme="minorEastAsia" w:hAnsi="Cambria Math"/>
              </w:rPr>
              <m:t>0</m:t>
            </m:r>
          </m:sub>
        </m:sSub>
      </m:oMath>
      <w:r w:rsidR="00181F65" w:rsidRPr="00813AB5">
        <w:rPr>
          <w:rFonts w:eastAsiaTheme="minorEastAsia"/>
        </w:rPr>
        <w:t xml:space="preserve"> remain to be </w:t>
      </w:r>
      <w:r w:rsidR="0040474F" w:rsidRPr="00813AB5">
        <w:rPr>
          <w:rFonts w:eastAsiaTheme="minorEastAsia"/>
        </w:rPr>
        <w:t>estimated to fit the T</w:t>
      </w:r>
      <w:r w:rsidR="0040474F">
        <w:rPr>
          <w:rFonts w:eastAsiaTheme="minorEastAsia"/>
        </w:rPr>
        <w:t>GI data</w:t>
      </w:r>
      <w:r w:rsidR="00181F65">
        <w:rPr>
          <w:rFonts w:eastAsiaTheme="minorEastAsia"/>
        </w:rPr>
        <w:t>.</w:t>
      </w:r>
    </w:p>
    <w:p w14:paraId="3D933C4F" w14:textId="23253D94" w:rsidR="00781785" w:rsidRDefault="0040474F" w:rsidP="008B1BA9">
      <w:pPr>
        <w:jc w:val="both"/>
        <w:rPr>
          <w:rFonts w:eastAsiaTheme="minorEastAsia"/>
        </w:rPr>
      </w:pPr>
      <w:r>
        <w:rPr>
          <w:rFonts w:eastAsiaTheme="minorEastAsia"/>
        </w:rPr>
        <w:t xml:space="preserve">Upon </w:t>
      </w:r>
      <w:r w:rsidR="007D4352">
        <w:rPr>
          <w:rFonts w:eastAsiaTheme="minorEastAsia"/>
        </w:rPr>
        <w:t>investigating</w:t>
      </w:r>
      <w:r>
        <w:rPr>
          <w:rFonts w:eastAsiaTheme="minorEastAsia"/>
        </w:rPr>
        <w:t xml:space="preserve"> the</w:t>
      </w:r>
      <w:r w:rsidR="007D4352">
        <w:rPr>
          <w:rFonts w:eastAsiaTheme="minorEastAsia"/>
        </w:rPr>
        <w:t xml:space="preserve"> observed radius of</w:t>
      </w:r>
      <w:r>
        <w:rPr>
          <w:rFonts w:eastAsiaTheme="minorEastAsia"/>
        </w:rPr>
        <w:t xml:space="preserve"> untreated tumours (vehicle arms) </w:t>
      </w:r>
      <w:r w:rsidR="00781785">
        <w:rPr>
          <w:rFonts w:eastAsiaTheme="minorEastAsia"/>
        </w:rPr>
        <w:t>in</w:t>
      </w:r>
      <w:r>
        <w:rPr>
          <w:rFonts w:eastAsiaTheme="minorEastAsia"/>
        </w:rPr>
        <w:t xml:space="preserve"> the TGI data, it was clear that the general </w:t>
      </w:r>
      <w:r w:rsidR="007D4352">
        <w:rPr>
          <w:rFonts w:eastAsiaTheme="minorEastAsia"/>
        </w:rPr>
        <w:t xml:space="preserve">trend showed a linear growth over time (see </w:t>
      </w:r>
      <w:r w:rsidR="007472C6">
        <w:rPr>
          <w:rFonts w:eastAsiaTheme="minorEastAsia"/>
        </w:rPr>
        <w:t xml:space="preserve">data </w:t>
      </w:r>
      <w:r w:rsidR="007D4352">
        <w:rPr>
          <w:rFonts w:eastAsiaTheme="minorEastAsia"/>
        </w:rPr>
        <w:t>examples</w:t>
      </w:r>
      <w:r w:rsidR="007472C6">
        <w:rPr>
          <w:rFonts w:eastAsiaTheme="minorEastAsia"/>
        </w:rPr>
        <w:t xml:space="preserve"> in </w:t>
      </w:r>
      <w:r w:rsidR="007472C6" w:rsidRPr="002F67AD">
        <w:t>Figure S</w:t>
      </w:r>
      <w:r w:rsidR="007472C6">
        <w:t>1</w:t>
      </w:r>
      <w:r w:rsidR="00626A81">
        <w:t>A</w:t>
      </w:r>
      <w:r w:rsidR="007472C6">
        <w:t>; grey lines with markers</w:t>
      </w:r>
      <w:r w:rsidR="007D4352">
        <w:rPr>
          <w:rFonts w:eastAsiaTheme="minorEastAsia"/>
        </w:rPr>
        <w:t>)</w:t>
      </w:r>
      <w:r w:rsidR="007472C6">
        <w:rPr>
          <w:rFonts w:eastAsiaTheme="minorEastAsia"/>
        </w:rPr>
        <w:t xml:space="preserve">. For completeness, the </w:t>
      </w:r>
      <w:proofErr w:type="spellStart"/>
      <w:r w:rsidR="007472C6">
        <w:rPr>
          <w:rFonts w:eastAsiaTheme="minorEastAsia"/>
        </w:rPr>
        <w:t>Mayneord</w:t>
      </w:r>
      <w:proofErr w:type="spellEnd"/>
      <w:r w:rsidR="007472C6">
        <w:rPr>
          <w:rFonts w:eastAsiaTheme="minorEastAsia"/>
        </w:rPr>
        <w:t xml:space="preserve"> and Simeoni </w:t>
      </w:r>
      <w:r w:rsidR="00781785">
        <w:rPr>
          <w:rFonts w:eastAsiaTheme="minorEastAsia"/>
        </w:rPr>
        <w:t xml:space="preserve">models </w:t>
      </w:r>
      <w:r w:rsidR="007472C6">
        <w:rPr>
          <w:rFonts w:eastAsiaTheme="minorEastAsia"/>
        </w:rPr>
        <w:t xml:space="preserve">were fitted to the vehicle arms of all preclinical experiments in this study (13 data sets). </w:t>
      </w:r>
      <w:r w:rsidR="00AF626A">
        <w:rPr>
          <w:rFonts w:eastAsiaTheme="minorEastAsia"/>
        </w:rPr>
        <w:t xml:space="preserve">The fitting was done in R using the </w:t>
      </w:r>
      <w:proofErr w:type="spellStart"/>
      <w:r w:rsidR="00AF626A" w:rsidRPr="00AF626A">
        <w:rPr>
          <w:rFonts w:eastAsiaTheme="minorEastAsia"/>
          <w:i/>
          <w:iCs/>
        </w:rPr>
        <w:t>minpack.lm</w:t>
      </w:r>
      <w:proofErr w:type="spellEnd"/>
      <w:r w:rsidR="00AF626A">
        <w:rPr>
          <w:rFonts w:eastAsiaTheme="minorEastAsia"/>
        </w:rPr>
        <w:t xml:space="preserve"> package. The objective function was to minimise the error </w:t>
      </w:r>
      <w:r w:rsidR="000B02D0">
        <w:rPr>
          <w:rFonts w:eastAsiaTheme="minorEastAsia"/>
        </w:rPr>
        <w:t xml:space="preserve">between predicted and observed </w:t>
      </w:r>
      <w:r w:rsidR="00781785">
        <w:rPr>
          <w:rFonts w:eastAsiaTheme="minorEastAsia"/>
        </w:rPr>
        <w:t xml:space="preserve">tumour </w:t>
      </w:r>
      <w:r w:rsidR="00AF626A">
        <w:rPr>
          <w:rFonts w:eastAsiaTheme="minorEastAsia"/>
        </w:rPr>
        <w:t>radius for both models to allow</w:t>
      </w:r>
      <w:r w:rsidR="000B02D0">
        <w:rPr>
          <w:rFonts w:eastAsiaTheme="minorEastAsia"/>
        </w:rPr>
        <w:t xml:space="preserve"> for</w:t>
      </w:r>
      <w:r w:rsidR="00AF626A">
        <w:rPr>
          <w:rFonts w:eastAsiaTheme="minorEastAsia"/>
        </w:rPr>
        <w:t xml:space="preserve"> comparison. </w:t>
      </w:r>
    </w:p>
    <w:p w14:paraId="30193869" w14:textId="5191DE45" w:rsidR="003E0E36" w:rsidRPr="003E0E36" w:rsidRDefault="007472C6" w:rsidP="003E0E36">
      <w:pPr>
        <w:jc w:val="both"/>
        <w:rPr>
          <w:rFonts w:eastAsiaTheme="minorEastAsia"/>
        </w:rPr>
      </w:pPr>
      <w:r>
        <w:rPr>
          <w:rFonts w:eastAsiaTheme="minorEastAsia"/>
        </w:rPr>
        <w:t>A very important consideration is that animals with large tumours are sacrificed</w:t>
      </w:r>
      <w:r w:rsidR="00A757CD">
        <w:rPr>
          <w:rFonts w:eastAsiaTheme="minorEastAsia"/>
        </w:rPr>
        <w:t xml:space="preserve"> over time</w:t>
      </w:r>
      <w:r>
        <w:rPr>
          <w:rFonts w:eastAsiaTheme="minorEastAsia"/>
        </w:rPr>
        <w:t xml:space="preserve">. </w:t>
      </w:r>
      <w:r w:rsidR="00AF626A">
        <w:rPr>
          <w:rFonts w:eastAsiaTheme="minorEastAsia"/>
        </w:rPr>
        <w:t>Various methods exist to adjust automatic fitting processes to account for the missing animals at later time point</w:t>
      </w:r>
      <w:r w:rsidR="00781785">
        <w:rPr>
          <w:rFonts w:eastAsiaTheme="minorEastAsia"/>
        </w:rPr>
        <w:t>s</w:t>
      </w:r>
      <w:r w:rsidR="00AF626A">
        <w:rPr>
          <w:rFonts w:eastAsiaTheme="minorEastAsia"/>
        </w:rPr>
        <w:t xml:space="preserve">; however, a simple approach was chosen </w:t>
      </w:r>
      <w:r w:rsidR="000B02D0">
        <w:rPr>
          <w:rFonts w:eastAsiaTheme="minorEastAsia"/>
        </w:rPr>
        <w:t>here</w:t>
      </w:r>
      <w:r w:rsidR="00781785">
        <w:rPr>
          <w:rFonts w:eastAsiaTheme="minorEastAsia"/>
        </w:rPr>
        <w:t>.</w:t>
      </w:r>
      <w:r w:rsidR="000B02D0">
        <w:rPr>
          <w:rFonts w:eastAsiaTheme="minorEastAsia"/>
        </w:rPr>
        <w:t xml:space="preserve"> </w:t>
      </w:r>
      <w:r w:rsidR="00781785">
        <w:rPr>
          <w:rFonts w:eastAsiaTheme="minorEastAsia"/>
        </w:rPr>
        <w:t>T</w:t>
      </w:r>
      <w:r w:rsidR="00AF626A">
        <w:rPr>
          <w:rFonts w:eastAsiaTheme="minorEastAsia"/>
        </w:rPr>
        <w:t xml:space="preserve">he fitting was done only </w:t>
      </w:r>
      <w:r w:rsidR="007C5DD8">
        <w:rPr>
          <w:rFonts w:eastAsiaTheme="minorEastAsia"/>
        </w:rPr>
        <w:t xml:space="preserve">up to </w:t>
      </w:r>
      <w:r w:rsidR="00781785">
        <w:rPr>
          <w:rFonts w:eastAsiaTheme="minorEastAsia"/>
        </w:rPr>
        <w:t xml:space="preserve">the </w:t>
      </w:r>
      <w:r w:rsidR="007C5DD8">
        <w:rPr>
          <w:rFonts w:eastAsiaTheme="minorEastAsia"/>
        </w:rPr>
        <w:t xml:space="preserve">time points where at least 70% of the animals remained (for experiments with only 3 animals per arm, all animals had to remain). </w:t>
      </w:r>
      <w:r>
        <w:rPr>
          <w:rFonts w:eastAsiaTheme="minorEastAsia"/>
        </w:rPr>
        <w:t>Th</w:t>
      </w:r>
      <w:r w:rsidR="007C5DD8">
        <w:rPr>
          <w:rFonts w:eastAsiaTheme="minorEastAsia"/>
        </w:rPr>
        <w:t xml:space="preserve">e </w:t>
      </w:r>
      <w:r w:rsidR="000B02D0">
        <w:rPr>
          <w:rFonts w:eastAsiaTheme="minorEastAsia"/>
        </w:rPr>
        <w:t xml:space="preserve">advantage of this approach was that it also </w:t>
      </w:r>
      <w:r>
        <w:rPr>
          <w:rFonts w:eastAsiaTheme="minorEastAsia"/>
        </w:rPr>
        <w:t xml:space="preserve">allowed </w:t>
      </w:r>
      <w:r w:rsidR="00781785">
        <w:rPr>
          <w:rFonts w:eastAsiaTheme="minorEastAsia"/>
        </w:rPr>
        <w:t>f</w:t>
      </w:r>
      <w:r w:rsidR="00781785" w:rsidRPr="00781785">
        <w:rPr>
          <w:rFonts w:eastAsiaTheme="minorEastAsia"/>
        </w:rPr>
        <w:t xml:space="preserve">or an assessment of </w:t>
      </w:r>
      <w:r w:rsidR="00753F49" w:rsidRPr="00781785">
        <w:rPr>
          <w:rFonts w:eastAsiaTheme="minorEastAsia"/>
        </w:rPr>
        <w:t xml:space="preserve">each </w:t>
      </w:r>
      <w:r w:rsidR="00753F49">
        <w:rPr>
          <w:rFonts w:eastAsiaTheme="minorEastAsia"/>
        </w:rPr>
        <w:t>model’s</w:t>
      </w:r>
      <w:r w:rsidR="00781785">
        <w:rPr>
          <w:rFonts w:eastAsiaTheme="minorEastAsia"/>
        </w:rPr>
        <w:t xml:space="preserve"> ability</w:t>
      </w:r>
      <w:r>
        <w:rPr>
          <w:rFonts w:eastAsiaTheme="minorEastAsia"/>
        </w:rPr>
        <w:t xml:space="preserve"> </w:t>
      </w:r>
      <w:r w:rsidR="00781785">
        <w:rPr>
          <w:rFonts w:eastAsiaTheme="minorEastAsia"/>
        </w:rPr>
        <w:t>to predict tumour growth</w:t>
      </w:r>
      <w:r>
        <w:rPr>
          <w:rFonts w:eastAsiaTheme="minorEastAsia"/>
        </w:rPr>
        <w:t xml:space="preserve"> beyond </w:t>
      </w:r>
      <w:r w:rsidR="000B02D0">
        <w:rPr>
          <w:rFonts w:eastAsiaTheme="minorEastAsia"/>
        </w:rPr>
        <w:t xml:space="preserve">the </w:t>
      </w:r>
      <w:r w:rsidR="00781785">
        <w:rPr>
          <w:rFonts w:eastAsiaTheme="minorEastAsia"/>
        </w:rPr>
        <w:t>last time</w:t>
      </w:r>
      <w:r>
        <w:rPr>
          <w:rFonts w:eastAsiaTheme="minorEastAsia"/>
        </w:rPr>
        <w:t xml:space="preserve"> point</w:t>
      </w:r>
      <w:r w:rsidR="00781785">
        <w:rPr>
          <w:rFonts w:eastAsiaTheme="minorEastAsia"/>
        </w:rPr>
        <w:t xml:space="preserve"> of fitting</w:t>
      </w:r>
      <w:r>
        <w:rPr>
          <w:rFonts w:eastAsiaTheme="minorEastAsia"/>
        </w:rPr>
        <w:t>.</w:t>
      </w:r>
      <w:r w:rsidR="008D7C1C">
        <w:rPr>
          <w:rFonts w:eastAsiaTheme="minorEastAsia"/>
        </w:rPr>
        <w:t xml:space="preserve"> </w:t>
      </w:r>
      <w:r w:rsidR="003E0E36" w:rsidRPr="003E0E36">
        <w:rPr>
          <w:rFonts w:eastAsiaTheme="minorEastAsia"/>
        </w:rPr>
        <w:t xml:space="preserve">This was particularly evident in the experiment 'Study-4' in HBCx-9, shown in Figure S1A, which was fitted up to 32 days. The </w:t>
      </w:r>
      <w:proofErr w:type="spellStart"/>
      <w:r w:rsidR="003E0E36" w:rsidRPr="003E0E36">
        <w:rPr>
          <w:rFonts w:eastAsiaTheme="minorEastAsia"/>
        </w:rPr>
        <w:t>Mayneord</w:t>
      </w:r>
      <w:proofErr w:type="spellEnd"/>
      <w:r w:rsidR="003E0E36" w:rsidRPr="003E0E36">
        <w:rPr>
          <w:rFonts w:eastAsiaTheme="minorEastAsia"/>
        </w:rPr>
        <w:t xml:space="preserve"> model more accurately captured the tumour growth data beyond that time point. Overall, the </w:t>
      </w:r>
      <w:proofErr w:type="spellStart"/>
      <w:r w:rsidR="003E0E36" w:rsidRPr="003E0E36">
        <w:rPr>
          <w:rFonts w:eastAsiaTheme="minorEastAsia"/>
        </w:rPr>
        <w:t>Mayneord</w:t>
      </w:r>
      <w:proofErr w:type="spellEnd"/>
      <w:r w:rsidR="003E0E36" w:rsidRPr="003E0E36">
        <w:rPr>
          <w:rFonts w:eastAsiaTheme="minorEastAsia"/>
        </w:rPr>
        <w:t xml:space="preserve"> and Simeoni models had similar fitting errors (Figure S1C); however, the </w:t>
      </w:r>
      <w:proofErr w:type="spellStart"/>
      <w:r w:rsidR="003E0E36" w:rsidRPr="003E0E36">
        <w:rPr>
          <w:rFonts w:eastAsiaTheme="minorEastAsia"/>
        </w:rPr>
        <w:t>Mayneord</w:t>
      </w:r>
      <w:proofErr w:type="spellEnd"/>
      <w:r w:rsidR="003E0E36" w:rsidRPr="003E0E36">
        <w:rPr>
          <w:rFonts w:eastAsiaTheme="minorEastAsia"/>
        </w:rPr>
        <w:t xml:space="preserve"> model exhibited significantly less variability in parameter estimates (lower %RSE; Figure S1B). Consequently, the </w:t>
      </w:r>
      <w:proofErr w:type="spellStart"/>
      <w:r w:rsidR="003E0E36" w:rsidRPr="003E0E36">
        <w:rPr>
          <w:rFonts w:eastAsiaTheme="minorEastAsia"/>
        </w:rPr>
        <w:t>Mayneord</w:t>
      </w:r>
      <w:proofErr w:type="spellEnd"/>
      <w:r w:rsidR="003E0E36" w:rsidRPr="003E0E36">
        <w:rPr>
          <w:rFonts w:eastAsiaTheme="minorEastAsia"/>
        </w:rPr>
        <w:t xml:space="preserve"> </w:t>
      </w:r>
      <w:r w:rsidR="00CE623F">
        <w:rPr>
          <w:rFonts w:eastAsiaTheme="minorEastAsia"/>
        </w:rPr>
        <w:t>representation of tumour</w:t>
      </w:r>
      <w:r w:rsidR="00C060DD">
        <w:rPr>
          <w:rFonts w:eastAsiaTheme="minorEastAsia"/>
        </w:rPr>
        <w:t xml:space="preserve"> </w:t>
      </w:r>
      <w:r w:rsidR="00CE623F">
        <w:rPr>
          <w:rFonts w:eastAsiaTheme="minorEastAsia"/>
        </w:rPr>
        <w:t>growth</w:t>
      </w:r>
      <w:r w:rsidR="003E0E36" w:rsidRPr="003E0E36">
        <w:rPr>
          <w:rFonts w:eastAsiaTheme="minorEastAsia"/>
        </w:rPr>
        <w:t xml:space="preserve"> was selected because it is simpler, effectively captures the general trend of the noisy data, and reflects the underlying biology of solid tumours (outer rim of dividing cells).</w:t>
      </w:r>
    </w:p>
    <w:p w14:paraId="0832C82E" w14:textId="406CC226" w:rsidR="00734121" w:rsidRDefault="003E0E36" w:rsidP="00EA543C">
      <w:pPr>
        <w:jc w:val="both"/>
        <w:rPr>
          <w:rFonts w:eastAsiaTheme="minorEastAsia"/>
        </w:rPr>
      </w:pPr>
      <w:r w:rsidRPr="003E0E36">
        <w:rPr>
          <w:rFonts w:eastAsiaTheme="minorEastAsia"/>
        </w:rPr>
        <w:t xml:space="preserve">Finally, the model described in this work (designated as 'Virtual Tumour') is based on the same principle as the </w:t>
      </w:r>
      <w:proofErr w:type="spellStart"/>
      <w:r w:rsidRPr="003E0E36">
        <w:rPr>
          <w:rFonts w:eastAsiaTheme="minorEastAsia"/>
        </w:rPr>
        <w:t>Mayneord</w:t>
      </w:r>
      <w:proofErr w:type="spellEnd"/>
      <w:r w:rsidRPr="003E0E36">
        <w:rPr>
          <w:rFonts w:eastAsiaTheme="minorEastAsia"/>
        </w:rPr>
        <w:t xml:space="preserve"> model and approximates tumour growth as linear in radius due to the outer shell expansion (Figure S1A).</w:t>
      </w:r>
    </w:p>
    <w:p w14:paraId="6A6CE9C8" w14:textId="5D9AA1C8" w:rsidR="00EA543C" w:rsidRDefault="007E707C" w:rsidP="009E74C7">
      <w:pPr>
        <w:pStyle w:val="Heading2"/>
        <w:numPr>
          <w:ilvl w:val="0"/>
          <w:numId w:val="10"/>
        </w:numPr>
        <w:jc w:val="both"/>
        <w:rPr>
          <w:b/>
          <w:bCs/>
          <w:color w:val="auto"/>
        </w:rPr>
      </w:pPr>
      <w:r w:rsidRPr="007E707C">
        <w:rPr>
          <w:b/>
          <w:bCs/>
          <w:color w:val="auto"/>
        </w:rPr>
        <w:t>Cell population PD model</w:t>
      </w:r>
    </w:p>
    <w:p w14:paraId="5557CC18" w14:textId="77777777" w:rsidR="007E707C" w:rsidRDefault="007E707C" w:rsidP="007E707C">
      <w:pPr>
        <w:tabs>
          <w:tab w:val="left" w:pos="1495"/>
        </w:tabs>
        <w:jc w:val="both"/>
      </w:pPr>
      <w:r>
        <w:t xml:space="preserve">The </w:t>
      </w:r>
      <w:r w:rsidRPr="0075796D">
        <w:t>growth</w:t>
      </w:r>
      <w:r>
        <w:t xml:space="preserve"> of the tumour outer shell</w:t>
      </w:r>
      <w:r w:rsidRPr="0075796D">
        <w:t xml:space="preserve"> is caused by the proliferation of dividing cells</w:t>
      </w:r>
      <w:r>
        <w:t>. These cells are assumed to have the same cell</w:t>
      </w:r>
      <w:r w:rsidRPr="008C3A57">
        <w:t xml:space="preserve"> cycle</w:t>
      </w:r>
      <w:r>
        <w:t xml:space="preserve"> length </w:t>
      </w:r>
      <m:oMath>
        <m:sSub>
          <m:sSubPr>
            <m:ctrlPr>
              <w:rPr>
                <w:rFonts w:ascii="Cambria Math" w:hAnsi="Cambria Math"/>
                <w:i/>
              </w:rPr>
            </m:ctrlPr>
          </m:sSubPr>
          <m:e>
            <m:r>
              <w:rPr>
                <w:rFonts w:ascii="Cambria Math" w:hAnsi="Cambria Math"/>
              </w:rPr>
              <m:t>t</m:t>
            </m:r>
          </m:e>
          <m:sub>
            <m:r>
              <w:rPr>
                <w:rFonts w:ascii="Cambria Math" w:hAnsi="Cambria Math"/>
              </w:rPr>
              <m:t>d</m:t>
            </m:r>
          </m:sub>
        </m:sSub>
      </m:oMath>
      <w:r>
        <w:rPr>
          <w:rFonts w:eastAsiaTheme="minorEastAsia"/>
        </w:rPr>
        <w:t xml:space="preserve"> and </w:t>
      </w:r>
      <w:r>
        <w:t>the same initial volume at the start of G1 phase. Hence, when a cell divides at mitosis, it produces two daughter cells of equal volume.</w:t>
      </w:r>
    </w:p>
    <w:p w14:paraId="243D8711" w14:textId="77777777" w:rsidR="007E707C" w:rsidRDefault="007E707C" w:rsidP="007E707C">
      <w:pPr>
        <w:tabs>
          <w:tab w:val="left" w:pos="1495"/>
        </w:tabs>
        <w:jc w:val="both"/>
      </w:pPr>
      <w:r>
        <w:t xml:space="preserve">The proliferating shell contains multiple cell sub-populations. Each sub-population tracks the evolution of its progeny over generations as the cells synchronously progress through the cell cycle and divide over time. The different sub-populations start the simulations from a different cell cycle phase (G1, S, G2 or M), with their starting position uniformly distributed over the cell cycle, but they all follow the same set of rules defined by the PD model. </w:t>
      </w:r>
    </w:p>
    <w:p w14:paraId="6773628D" w14:textId="1ADC87F4" w:rsidR="007E707C" w:rsidRPr="005378FB" w:rsidRDefault="007E707C" w:rsidP="007E707C">
      <w:pPr>
        <w:jc w:val="both"/>
        <w:rPr>
          <w:i/>
          <w:iCs/>
        </w:rPr>
      </w:pPr>
      <w:r>
        <w:t xml:space="preserve">The PD model consists of a set of ordinary differential equations describing progress through the cell cycle  </w:t>
      </w:r>
      <w:r>
        <w:fldChar w:fldCharType="begin"/>
      </w:r>
      <w:r w:rsidR="00782AFE">
        <w:instrText xml:space="preserve"> ADDIN ZOTERO_ITEM CSL_CITATION {"citationID":"6UP3ccYM","properties":{"formattedCitation":"(10\\uc0\\u8211{}12)","plainCitation":"(10–12)","noteIndex":0},"citationItems":[{"id":6452,"uris":["http://zotero.org/users/4189777/items/SWF9IEPP"],"itemData":{"id":6452,"type":"article-journal","abstract":"e12032  Background:  The translation of results from animal to man is a key phase in oncology drug development. Being able to determine efficacious doses and when to start taking key biopsy measurements are important for successful evaluation of a new drug within early clinical development. Furthermore, being able to accurately translate combination schedules from mouse to man would provide significant cost savings and accelerate clinical development. There is a clear unmet need for predictive tools to aid this process.  Methods:  We have developed a mathematical model of a tumour cell population called the Virtual Tumour, which has been used extensively to predict the efficacy of monotherapy or combination treatments in preclinical studies. We have now extended and adapted our preclinical model to predict efficacy in the clinic, thus creating the ‘Virtual Tumour Clinical’. The Virtual Tumour Clinical was successfully used to forward translate the efficacy of docetaxel/selumetinib combination vs docetaxel monotherapy used to treat melanoma in a phase II clinical trial using preclinical xenograft efficacy data. Here we present new sets of results highlighting the translational predictivity of Virtual Tumour Clinical.  Results:  Here we show a new case study where we predict clinical efficacy in a randomised phase II trial of different schedules of epirubicin as primary chemotherapy for breast cancer treatment. Model was first calibrated using preclinical PK and xenograft efficacy studies. Then, using key patient and literature data, preclinical settings were switched to clinical settings. Simulations of clinical efficacy were performed and predictions were then compared to actual results.  Conclusions:  Virtual Tumour Clinical is able to translate the effect of various antineoplastic agents in several indications, demonstrating the potential applicability of Virtual Tumour Clinical in translational science.","container-title":"Journal of Clinical Oncology","DOI":"10.1200/jco.2015.33.15_suppl.e12032","ISSN":"0732-183X","issue":"15_suppl","journalAbbreviation":"JCO","page":"e12032-e12032","source":"ascopubs.org (Atypon)","title":"From preclinical to phase II: Using virtual tumor clinical model to predict the efficacy of randomised phase II trials.","title-short":"From preclinical to phase II","volume":"33","author":[{"family":"Fernandez","given":"Eric"},{"family":"Mistry","given":"Hitesh"},{"family":"Brightman","given":"Frances A"},{"family":"Orrell","given":"David"},{"family":"Generali","given":"Daniele Giulio"},{"family":"Milani","given":"Manuela"},{"family":"Bottini","given":"Alberto"},{"family":"Chassagnole","given":"Christophe"}],"issued":{"date-parts":[["2015",5,20]]}}},{"id":6486,"uris":["http://zotero.org/users/4189777/items/JJZ7AJHF"],"itemData":{"id":6486,"type":"article-journal","abstract":"Ionizing radiation exposure induces DNA double strand breaks in mammalian cells. In response, cells activate repair mechanisms which involve cell cycle arrest at discrete transition points of the cell cycle. The results in an accumulation of cells in S and G2 phase in an irradiated cell population over a period of time following exposure.\nUsing the Virtual Tumour, a cell population simulator of cancer cells and tissue, we have built a model of irradiation of tumour cell culture in vitro as well as tumour tissue in vivo for various cancer cell types. We show how cell cycle timings and radiosensitivity can accurately reproduce both in vivo and in vitro response to irradiation-induced DNA damage. We also study how the radiosensitization effect of gemcitabine is time-dependent. This demonstrates how the Virtual Tumour can help maximise therapeutic efficacy of combinations involving irradiation.\nCitation Format: Eric Fernandez, David Orrell, Frances Brightman, David Fell, Christophe Chassagnole. Modeling ionizing radiation exposure in vitro and in vivo using the Virtual Tumour. [abstract]. In: Proceedings of the 104th Annual Meeting of the American Association for Cancer Research; 2013 Apr 6-10; Washington, DC. Philadelphia (PA): AACR; Cancer Res 2013;73(8 Suppl):Abstract nr 5233. doi:10.1158/1538-7445.AM2013-5233","container-title":"Cancer Research","DOI":"10.1158/1538-7445.AM2013-5233","ISSN":"0008-5472, 1538-7445","issue":"8 Supplement","journalAbbreviation":"Cancer Res","language":"en","license":"©2013 American Association for Cancer Research","page":"5233-5233","source":"cancerres.aacrjournals.org","title":"Modeling ionizing radiation exposure in vitro and in vivo using the Virtual Tumour.","title-short":"Abstract 5233","volume":"73","author":[{"family":"Fernandez","given":"Eric"},{"family":"Orrell","given":"David"},{"family":"Brightman","given":"Frances"},{"family":"Fell","given":"David"},{"family":"Chassagnole","given":"Christophe"}],"issued":{"date-parts":[["2013",4,15]]}}},{"id":4448,"uris":["http://zotero.org/users/4189777/items/8W4SNIAG"],"itemData":{"id":4448,"type":"paper-conference","container-title":"Bioinformatics, Convergence Science, and Systems Biology","DOI":"10.1158/1538-7445.AM2019-680","event-title":"Proceedings: AACR Annual Meeting 2019; March 29-April 3, 2019; Atlanta, GA","page":"680-680","publisher":"American Association for Cancer Research","source":"Crossref","title":"Abstract 680: Predicting the effect of radiotherapy on tumor growth inhibition and time to progression in head and neck cancer","title-short":"Abstract 680","URL":"http://cancerres.aacrjournals.org/lookup/doi/10.1158/1538-7445.AM2019-680","author":[{"family":"Ortega","given":"Fernando G."},{"family":"Brightman","given":"Frances A."},{"family":"Orell","given":"David"},{"family":"Mistry","given":"Hitesh"},{"family":"Millen","given":"Jim"},{"family":"Chassagnole","given":"Christophe"}],"accessed":{"date-parts":[["2020",1,21]]},"issued":{"date-parts":[["2019",7,1]]}}}],"schema":"https://github.com/citation-style-language/schema/raw/master/csl-citation.json"} </w:instrText>
      </w:r>
      <w:r>
        <w:fldChar w:fldCharType="separate"/>
      </w:r>
      <w:r w:rsidR="00782AFE" w:rsidRPr="00782AFE">
        <w:rPr>
          <w:rFonts w:ascii="Calibri" w:hAnsi="Calibri" w:cs="Calibri"/>
        </w:rPr>
        <w:t>(10–12)</w:t>
      </w:r>
      <w:r>
        <w:fldChar w:fldCharType="end"/>
      </w:r>
      <w:r>
        <w:t xml:space="preserve"> and the DDR, described in the next method section. Some operations are phase specific as listed in Table S4. The model tracks the evolution of the number of live cancer cells in the shell over time, cells that may die due to DNA damage. A delayed cell-death course is also implemented, </w:t>
      </w:r>
      <w:r w:rsidRPr="55D4FE50">
        <w:rPr>
          <w:rFonts w:eastAsiaTheme="minorEastAsia"/>
        </w:rPr>
        <w:t xml:space="preserve">consistent with experimental observations of damage accumulation leading to cell death after several generations </w:t>
      </w:r>
      <w:r w:rsidRPr="55D4FE50">
        <w:rPr>
          <w:rFonts w:eastAsiaTheme="minorEastAsia"/>
        </w:rPr>
        <w:fldChar w:fldCharType="begin"/>
      </w:r>
      <w:r w:rsidR="00782AFE">
        <w:rPr>
          <w:rFonts w:eastAsiaTheme="minorEastAsia"/>
        </w:rPr>
        <w:instrText xml:space="preserve"> ADDIN ZOTERO_ITEM CSL_CITATION {"citationID":"KzuDdPPN","properties":{"formattedCitation":"(13,14)","plainCitation":"(13,14)","noteIndex":0},"citationItems":[{"id":427,"uris":["http://zotero.org/users/4189777/items/GX47UW7N"],"itemData":{"id":427,"type":"article-journal","container-title":"Cancer Chemotherapy and Pharmacology","DOI":"10.1007/s00280-019-03829-y","ISSN":"0344-5704, 1432-0843","issue":"6","language":"en","page":"1159-1173","source":"Crossref","title":"Modeling long-term tumor growth and kill after combinations of radiation and radiosensitizing agents","volume":"83","author":[{"family":"Cardilin","given":"Tim"},{"family":"Almquist","given":"Joachim"},{"family":"Jirstrand","given":"Mats"},{"family":"Zimmermann","given":"Astrid"},{"family":"Lignet","given":"Floriane"},{"family":"El Bawab","given":"Samer"},{"family":"Gabrielsson","given":"Johan"}],"issued":{"date-parts":[["2019",6]]}}},{"id":184,"uris":["http://zotero.org/users/4189777/items/MVRDAAN9"],"itemData":{"id":184,"type":"article-journal","abstract":"Rat embryo fibroblasts that had been transfected with the c-myc or c-Haras oncogene were X-irradiated, after which individual cells and their progeny were followed in multiple fields for 5– 6 days by computerized video time lapse microscopy to quantify the lethal events that resulted in loss of clonogenic survival. The loss of clonogenic survival of X-irradiated (9.5 or 2.5 Gy) REC:myc cells was attributed almost entirely to the cells dying by apoptosis, with almost all of the apoptosis occurring after the progeny had divided from one to four times. In contrast, the loss of clonogenic survival of X-irradiated REC:ras cells was attributed to two processes. After 9.5 Gy, ϳ60% of the nonclonogenic cells died by apoptosis (with a very small amount of necrosis), and the other 40% underwent a senescent-type process in which some of the cells and their progeny stopped dividing but remained as viable cells throughout 140 h of observation. Both processes usually occurred after the cells had divided and continued to occur in the cells’ progeny for up to five divisions after irradiation. Furthermore, the duration of the apoptotic process was shorter for REC:myc cells (0.5–1 h) than for REC:ras cells (4 –5 h).","container-title":"Cancer Research","language":"en","page":"931-939","source":"Zotero","title":"Using Computerized Video Time Lapse for Quantifying Cell Death of X-irradiated Rat Embryo Cells Transfected with c-myc or c-Ha-ras","volume":"59","author":[{"family":"Forrester","given":"Helen B"},{"family":"Vidair","given":"Charles A"},{"family":"Albright","given":"Norman"},{"family":"Ling","given":"Clif C"},{"family":"Dewey","given":"William C"}],"issued":{"date-parts":[["1999"]]}}}],"schema":"https://github.com/citation-style-language/schema/raw/master/csl-citation.json"} </w:instrText>
      </w:r>
      <w:r w:rsidRPr="55D4FE50">
        <w:rPr>
          <w:rFonts w:eastAsiaTheme="minorEastAsia"/>
        </w:rPr>
        <w:fldChar w:fldCharType="separate"/>
      </w:r>
      <w:r w:rsidR="00782AFE" w:rsidRPr="00782AFE">
        <w:rPr>
          <w:rFonts w:ascii="Calibri" w:hAnsi="Calibri" w:cs="Calibri"/>
        </w:rPr>
        <w:t>(13,14)</w:t>
      </w:r>
      <w:r w:rsidRPr="55D4FE50">
        <w:rPr>
          <w:rFonts w:eastAsiaTheme="minorEastAsia"/>
        </w:rPr>
        <w:fldChar w:fldCharType="end"/>
      </w:r>
      <w:r w:rsidRPr="55D4FE50">
        <w:rPr>
          <w:rFonts w:eastAsiaTheme="minorEastAsia"/>
        </w:rPr>
        <w:t>. T</w:t>
      </w:r>
      <w:r>
        <w:t>he cell count is then converted into tumour volume at each time step. Details are provided in</w:t>
      </w:r>
      <w:r w:rsidRPr="005378FB">
        <w:rPr>
          <w:i/>
          <w:iCs/>
        </w:rPr>
        <w:t xml:space="preserve"> </w:t>
      </w:r>
      <w:r w:rsidRPr="005378FB">
        <w:rPr>
          <w:b/>
          <w:bCs/>
          <w:i/>
          <w:iCs/>
        </w:rPr>
        <w:t xml:space="preserve">Supplementary Methods </w:t>
      </w:r>
      <w:r w:rsidR="003A7F71" w:rsidRPr="005378FB">
        <w:rPr>
          <w:b/>
          <w:bCs/>
          <w:i/>
          <w:iCs/>
        </w:rPr>
        <w:t>4-6</w:t>
      </w:r>
      <w:r w:rsidRPr="005378FB">
        <w:rPr>
          <w:b/>
          <w:bCs/>
          <w:i/>
          <w:iCs/>
        </w:rPr>
        <w:t>.</w:t>
      </w:r>
    </w:p>
    <w:p w14:paraId="5098B116" w14:textId="77777777" w:rsidR="007E707C" w:rsidRPr="002F67AD" w:rsidRDefault="007E707C" w:rsidP="007E707C">
      <w:pPr>
        <w:jc w:val="both"/>
      </w:pPr>
      <w:r w:rsidRPr="002F67AD">
        <w:rPr>
          <w:rFonts w:eastAsiaTheme="minorEastAsia"/>
        </w:rPr>
        <w:t xml:space="preserve">The </w:t>
      </w:r>
      <w:r>
        <w:rPr>
          <w:rFonts w:eastAsiaTheme="minorEastAsia"/>
        </w:rPr>
        <w:t xml:space="preserve">PD model </w:t>
      </w:r>
      <w:r w:rsidRPr="002F67AD">
        <w:t>was</w:t>
      </w:r>
      <w:r>
        <w:t xml:space="preserve"> implemented and</w:t>
      </w:r>
      <w:r w:rsidRPr="002F67AD">
        <w:t xml:space="preserve"> solved in MATLAB using a finite difference algorithm with 0.1 h time steps. Initial conditions reflect the steady state between DNA-damage generation and repair as well as the absence of drug effects.</w:t>
      </w:r>
      <w:r w:rsidRPr="002F67AD" w:rsidDel="00045435">
        <w:t xml:space="preserve"> </w:t>
      </w:r>
    </w:p>
    <w:p w14:paraId="4121DD3B" w14:textId="77777777" w:rsidR="007E707C" w:rsidRPr="007E707C" w:rsidRDefault="007E707C" w:rsidP="007E707C"/>
    <w:p w14:paraId="4575E833" w14:textId="77777777" w:rsidR="00A2305D" w:rsidRPr="00734121" w:rsidRDefault="00A2305D" w:rsidP="009C6E64">
      <w:pPr>
        <w:pStyle w:val="Heading2"/>
        <w:numPr>
          <w:ilvl w:val="0"/>
          <w:numId w:val="10"/>
        </w:numPr>
        <w:rPr>
          <w:b/>
          <w:bCs/>
          <w:color w:val="auto"/>
        </w:rPr>
      </w:pPr>
      <w:bookmarkStart w:id="4" w:name="_Hlk172640902"/>
      <w:r w:rsidRPr="00734121">
        <w:rPr>
          <w:b/>
          <w:bCs/>
          <w:color w:val="auto"/>
        </w:rPr>
        <w:t>Tumour volume calculation</w:t>
      </w:r>
    </w:p>
    <w:p w14:paraId="5759B774" w14:textId="77777777" w:rsidR="00A2305D" w:rsidRPr="00734121" w:rsidRDefault="00A2305D" w:rsidP="00A2305D">
      <w:pPr>
        <w:tabs>
          <w:tab w:val="left" w:pos="1495"/>
        </w:tabs>
        <w:jc w:val="both"/>
      </w:pPr>
      <w:bookmarkStart w:id="5" w:name="_Hlk172642414"/>
      <w:bookmarkEnd w:id="4"/>
      <w:r w:rsidRPr="00734121">
        <w:t xml:space="preserve">The tumour volume </w:t>
      </w:r>
      <m:oMath>
        <m:sSub>
          <m:sSubPr>
            <m:ctrlPr>
              <w:rPr>
                <w:rFonts w:ascii="Cambria Math" w:hAnsi="Cambria Math"/>
                <w:i/>
              </w:rPr>
            </m:ctrlPr>
          </m:sSubPr>
          <m:e>
            <m:r>
              <w:rPr>
                <w:rFonts w:ascii="Cambria Math" w:hAnsi="Cambria Math"/>
              </w:rPr>
              <m:t>V</m:t>
            </m:r>
          </m:e>
          <m:sub>
            <m:r>
              <w:rPr>
                <w:rFonts w:ascii="Cambria Math" w:hAnsi="Cambria Math"/>
              </w:rPr>
              <m:t>tumor</m:t>
            </m:r>
          </m:sub>
        </m:sSub>
        <m:d>
          <m:dPr>
            <m:ctrlPr>
              <w:rPr>
                <w:rFonts w:ascii="Cambria Math" w:hAnsi="Cambria Math"/>
                <w:i/>
              </w:rPr>
            </m:ctrlPr>
          </m:dPr>
          <m:e>
            <m:r>
              <w:rPr>
                <w:rFonts w:ascii="Cambria Math" w:hAnsi="Cambria Math"/>
              </w:rPr>
              <m:t>t</m:t>
            </m:r>
          </m:e>
        </m:d>
        <m:r>
          <w:rPr>
            <w:rFonts w:ascii="Cambria Math" w:hAnsi="Cambria Math"/>
          </w:rPr>
          <m:t xml:space="preserve"> </m:t>
        </m:r>
      </m:oMath>
      <w:r w:rsidRPr="00734121">
        <w:t xml:space="preserve">is computed incrementally after each simulation time step </w:t>
      </w:r>
      <m:oMath>
        <m:r>
          <w:rPr>
            <w:rFonts w:ascii="Cambria Math" w:eastAsiaTheme="minorEastAsia" w:hAnsi="Cambria Math"/>
          </w:rPr>
          <m:t>dt</m:t>
        </m:r>
      </m:oMath>
      <w:r w:rsidRPr="00734121">
        <w:t xml:space="preserve">. As described in the main text method, the tumour is assumed to have a spherical shape comprising a </w:t>
      </w:r>
      <w:r w:rsidRPr="00734121">
        <w:rPr>
          <w:b/>
          <w:bCs/>
        </w:rPr>
        <w:t>necrotic</w:t>
      </w:r>
      <w:r w:rsidRPr="00734121">
        <w:t xml:space="preserve"> </w:t>
      </w:r>
      <w:r w:rsidRPr="00734121">
        <w:rPr>
          <w:b/>
          <w:bCs/>
        </w:rPr>
        <w:t>inner</w:t>
      </w:r>
      <w:r w:rsidRPr="00734121">
        <w:t xml:space="preserve"> </w:t>
      </w:r>
      <w:r w:rsidRPr="00734121">
        <w:rPr>
          <w:b/>
          <w:bCs/>
        </w:rPr>
        <w:t>core</w:t>
      </w:r>
      <w:r w:rsidRPr="00734121">
        <w:t xml:space="preserve">, where the cells are </w:t>
      </w:r>
      <w:r w:rsidRPr="00734121">
        <w:rPr>
          <w:rFonts w:ascii="NimbusRomNo9L-Regu" w:hAnsi="NimbusRomNo9L-Regu" w:cs="NimbusRomNo9L-Regu"/>
        </w:rPr>
        <w:t>quiescent</w:t>
      </w:r>
      <w:r w:rsidRPr="00734121">
        <w:t xml:space="preserve">, and a </w:t>
      </w:r>
      <w:r w:rsidRPr="00734121">
        <w:rPr>
          <w:b/>
          <w:bCs/>
        </w:rPr>
        <w:t>proliferating outer</w:t>
      </w:r>
      <w:r w:rsidRPr="00734121">
        <w:t xml:space="preserve"> </w:t>
      </w:r>
      <w:r w:rsidRPr="00734121">
        <w:rPr>
          <w:b/>
          <w:bCs/>
        </w:rPr>
        <w:t>shell</w:t>
      </w:r>
      <w:r w:rsidRPr="00734121">
        <w:t>, where the cancer cells progress through the cell cycle and divide.</w:t>
      </w:r>
    </w:p>
    <w:bookmarkEnd w:id="5"/>
    <w:p w14:paraId="27DFCF8F" w14:textId="77777777" w:rsidR="00A2305D" w:rsidRDefault="00A2305D" w:rsidP="00A2305D">
      <w:pPr>
        <w:tabs>
          <w:tab w:val="left" w:pos="1495"/>
        </w:tabs>
        <w:jc w:val="both"/>
        <w:rPr>
          <w:rFonts w:eastAsiaTheme="minorEastAsia"/>
        </w:rPr>
      </w:pPr>
      <w:r w:rsidRPr="00734121">
        <w:t xml:space="preserve">The shell volume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shell</m:t>
            </m:r>
          </m:sub>
        </m:sSub>
      </m:oMath>
      <w:r w:rsidRPr="00734121">
        <w:t xml:space="preserve"> </w:t>
      </w:r>
      <w:r w:rsidRPr="00734121">
        <w:rPr>
          <w:rFonts w:eastAsiaTheme="minorEastAsia"/>
        </w:rPr>
        <w:t xml:space="preserve">grows </w:t>
      </w:r>
      <w:r w:rsidRPr="00734121">
        <w:t xml:space="preserve">at time </w:t>
      </w:r>
      <m:oMath>
        <m:r>
          <w:rPr>
            <w:rFonts w:ascii="Cambria Math" w:eastAsiaTheme="minorEastAsia" w:hAnsi="Cambria Math"/>
          </w:rPr>
          <m:t>t+dt</m:t>
        </m:r>
      </m:oMath>
      <w:r w:rsidRPr="00734121">
        <w:rPr>
          <w:rFonts w:eastAsiaTheme="minorEastAsia"/>
        </w:rPr>
        <w:t xml:space="preserve"> at rate </w:t>
      </w:r>
      <m:oMath>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shell</m:t>
            </m:r>
          </m:sub>
        </m:sSub>
      </m:oMath>
      <w:r w:rsidRPr="00734121">
        <w:rPr>
          <w:rFonts w:eastAsiaTheme="minorEastAsia"/>
        </w:rPr>
        <w:t>:</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7807E6" w:rsidRPr="00734121" w14:paraId="6DB224CC" w14:textId="77777777" w:rsidTr="001E2DA7">
        <w:tc>
          <w:tcPr>
            <w:tcW w:w="17" w:type="pct"/>
            <w:vAlign w:val="center"/>
          </w:tcPr>
          <w:p w14:paraId="2D07DFDC" w14:textId="77777777" w:rsidR="007807E6" w:rsidRPr="00734121" w:rsidRDefault="007807E6" w:rsidP="00F065A7">
            <w:pPr>
              <w:pStyle w:val="BodyText"/>
              <w:spacing w:before="0" w:after="160" w:line="360" w:lineRule="auto"/>
              <w:jc w:val="center"/>
              <w:rPr>
                <w:lang w:val="en-GB"/>
              </w:rPr>
            </w:pPr>
          </w:p>
        </w:tc>
        <w:tc>
          <w:tcPr>
            <w:tcW w:w="4617" w:type="pct"/>
            <w:vAlign w:val="center"/>
          </w:tcPr>
          <w:p w14:paraId="2223C88D" w14:textId="18B09F34" w:rsidR="007807E6" w:rsidRPr="007807E6" w:rsidRDefault="007807E6" w:rsidP="00F065A7">
            <w:pPr>
              <w:tabs>
                <w:tab w:val="left" w:pos="1495"/>
              </w:tabs>
              <w:spacing w:after="160" w:line="360" w:lineRule="auto"/>
              <w:jc w:val="both"/>
              <w:rPr>
                <w:rFonts w:eastAsiaTheme="minorEastAsia"/>
              </w:rPr>
            </w:pPr>
            <m:oMathPara>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shell</m:t>
                    </m:r>
                  </m:sub>
                </m:sSub>
                <m:d>
                  <m:dPr>
                    <m:ctrlPr>
                      <w:rPr>
                        <w:rFonts w:ascii="Cambria Math" w:eastAsiaTheme="minorEastAsia" w:hAnsi="Cambria Math"/>
                        <w:i/>
                      </w:rPr>
                    </m:ctrlPr>
                  </m:dPr>
                  <m:e>
                    <m:r>
                      <w:rPr>
                        <w:rFonts w:ascii="Cambria Math" w:eastAsiaTheme="minorEastAsia" w:hAnsi="Cambria Math"/>
                      </w:rPr>
                      <m:t>t+dt</m:t>
                    </m:r>
                  </m:e>
                </m:d>
                <m:r>
                  <m:rPr>
                    <m:aln/>
                  </m:rP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shell</m:t>
                    </m:r>
                  </m:sub>
                </m:sSub>
                <m:d>
                  <m:dPr>
                    <m:ctrlPr>
                      <w:rPr>
                        <w:rFonts w:ascii="Cambria Math" w:eastAsiaTheme="minorEastAsia" w:hAnsi="Cambria Math"/>
                        <w:i/>
                      </w:rPr>
                    </m:ctrlPr>
                  </m:dPr>
                  <m:e>
                    <m:r>
                      <w:rPr>
                        <w:rFonts w:ascii="Cambria Math" w:eastAsiaTheme="minorEastAsia" w:hAnsi="Cambria Math"/>
                      </w:rPr>
                      <m:t>t+dt</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shell</m:t>
                    </m:r>
                  </m:sub>
                </m:sSub>
                <m:d>
                  <m:dPr>
                    <m:ctrlPr>
                      <w:rPr>
                        <w:rFonts w:ascii="Cambria Math" w:eastAsiaTheme="minorEastAsia" w:hAnsi="Cambria Math"/>
                        <w:i/>
                      </w:rPr>
                    </m:ctrlPr>
                  </m:dPr>
                  <m:e>
                    <m:r>
                      <w:rPr>
                        <w:rFonts w:ascii="Cambria Math" w:eastAsiaTheme="minorEastAsia" w:hAnsi="Cambria Math"/>
                      </w:rPr>
                      <m:t>t</m:t>
                    </m:r>
                  </m:e>
                </m:d>
                <m:r>
                  <m:rPr>
                    <m:sty m:val="p"/>
                  </m:rPr>
                  <w:rPr>
                    <w:rFonts w:eastAsiaTheme="minorEastAsia"/>
                  </w:rPr>
                  <w:br/>
                </m:r>
              </m:oMath>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shell</m:t>
                    </m:r>
                  </m:sub>
                </m:sSub>
                <m:d>
                  <m:dPr>
                    <m:ctrlPr>
                      <w:rPr>
                        <w:rFonts w:ascii="Cambria Math" w:eastAsiaTheme="minorEastAsia" w:hAnsi="Cambria Math"/>
                        <w:i/>
                      </w:rPr>
                    </m:ctrlPr>
                  </m:dPr>
                  <m:e>
                    <m:r>
                      <w:rPr>
                        <w:rFonts w:ascii="Cambria Math" w:eastAsiaTheme="minorEastAsia" w:hAnsi="Cambria Math"/>
                      </w:rPr>
                      <m:t>t+dt</m:t>
                    </m:r>
                  </m:e>
                </m:d>
                <m:r>
                  <m:rPr>
                    <m:aln/>
                  </m:rP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shell</m:t>
                    </m:r>
                  </m:sub>
                </m:sSub>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 ∆</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shell</m:t>
                    </m:r>
                  </m:sub>
                </m:sSub>
                <m:d>
                  <m:dPr>
                    <m:ctrlPr>
                      <w:rPr>
                        <w:rFonts w:ascii="Cambria Math" w:eastAsiaTheme="minorEastAsia" w:hAnsi="Cambria Math"/>
                        <w:i/>
                      </w:rPr>
                    </m:ctrlPr>
                  </m:dPr>
                  <m:e>
                    <m:r>
                      <w:rPr>
                        <w:rFonts w:ascii="Cambria Math" w:eastAsiaTheme="minorEastAsia" w:hAnsi="Cambria Math"/>
                      </w:rPr>
                      <m:t>t+dt</m:t>
                    </m:r>
                  </m:e>
                </m:d>
              </m:oMath>
            </m:oMathPara>
          </w:p>
        </w:tc>
        <w:tc>
          <w:tcPr>
            <w:tcW w:w="367" w:type="pct"/>
            <w:vAlign w:val="center"/>
          </w:tcPr>
          <w:p w14:paraId="51D18397" w14:textId="1D340DE6" w:rsidR="007807E6" w:rsidRPr="00734121" w:rsidRDefault="007807E6" w:rsidP="00F065A7">
            <w:pPr>
              <w:pStyle w:val="Caption"/>
              <w:spacing w:before="0" w:after="160" w:line="360" w:lineRule="auto"/>
              <w:ind w:left="2019" w:hanging="2019"/>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9C6E64">
              <w:rPr>
                <w:rFonts w:asciiTheme="minorHAnsi" w:hAnsiTheme="minorHAnsi" w:cstheme="minorHAnsi"/>
                <w:b w:val="0"/>
                <w:bCs/>
                <w:sz w:val="22"/>
                <w:szCs w:val="22"/>
                <w:lang w:val="en-GB"/>
              </w:rPr>
              <w:t>4</w:t>
            </w:r>
            <w:r>
              <w:rPr>
                <w:rFonts w:asciiTheme="minorHAnsi" w:hAnsiTheme="minorHAnsi" w:cstheme="minorHAnsi"/>
                <w:b w:val="0"/>
                <w:bCs/>
                <w:sz w:val="22"/>
                <w:szCs w:val="22"/>
                <w:lang w:val="en-GB"/>
              </w:rPr>
              <w:t>.1</w:t>
            </w:r>
            <w:r w:rsidRPr="00734121">
              <w:rPr>
                <w:rFonts w:asciiTheme="minorHAnsi" w:hAnsiTheme="minorHAnsi" w:cstheme="minorHAnsi"/>
                <w:b w:val="0"/>
                <w:bCs/>
                <w:sz w:val="22"/>
                <w:szCs w:val="22"/>
                <w:lang w:val="en-GB"/>
              </w:rPr>
              <w:t>)</w:t>
            </w:r>
          </w:p>
        </w:tc>
      </w:tr>
    </w:tbl>
    <w:p w14:paraId="050F3317" w14:textId="18F14765" w:rsidR="00A2305D" w:rsidRDefault="00A2305D" w:rsidP="00A2305D">
      <w:pPr>
        <w:tabs>
          <w:tab w:val="left" w:pos="1495"/>
        </w:tabs>
        <w:jc w:val="both"/>
      </w:pPr>
      <w:r w:rsidRPr="00734121">
        <w:t xml:space="preserve">The growth rate of the shell </w:t>
      </w:r>
      <m:oMath>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shell</m:t>
            </m:r>
          </m:sub>
        </m:sSub>
      </m:oMath>
      <w:r w:rsidRPr="00734121">
        <w:rPr>
          <w:rFonts w:eastAsiaTheme="minorEastAsia"/>
        </w:rPr>
        <w:t xml:space="preserve"> </w:t>
      </w:r>
      <w:r w:rsidRPr="00734121">
        <w:t xml:space="preserve">is equal to the relative change in cellular volume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cells.shell</m:t>
            </m:r>
          </m:sub>
        </m:sSub>
      </m:oMath>
      <w:r w:rsidRPr="00734121">
        <w:t xml:space="preserve"> (</w:t>
      </w:r>
      <w:r w:rsidR="008D3D90" w:rsidRPr="00734121">
        <w:t xml:space="preserve">see </w:t>
      </w:r>
      <w:r w:rsidR="00BE068A" w:rsidRPr="000F41FF">
        <w:rPr>
          <w:b/>
          <w:bCs/>
          <w:i/>
          <w:iCs/>
        </w:rPr>
        <w:t xml:space="preserve">Supplementary Methods </w:t>
      </w:r>
      <w:r w:rsidR="00BE068A">
        <w:rPr>
          <w:b/>
          <w:bCs/>
          <w:i/>
          <w:iCs/>
        </w:rPr>
        <w:t>5</w:t>
      </w:r>
      <w:r w:rsidR="00BE068A" w:rsidRPr="000F41FF">
        <w:rPr>
          <w:b/>
          <w:bCs/>
          <w:i/>
          <w:iCs/>
        </w:rPr>
        <w:t>:</w:t>
      </w:r>
      <w:r w:rsidR="00BE068A">
        <w:rPr>
          <w:b/>
          <w:bCs/>
          <w:i/>
          <w:iCs/>
        </w:rPr>
        <w:t xml:space="preserve"> </w:t>
      </w:r>
      <w:r w:rsidR="008D3D90" w:rsidRPr="00734121">
        <w:rPr>
          <w:b/>
          <w:bCs/>
          <w:i/>
          <w:iCs/>
        </w:rPr>
        <w:t>Cellular volume calculation</w:t>
      </w:r>
      <w:r w:rsidRPr="00734121">
        <w:t xml:space="preserve">):  </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1D1F29" w:rsidRPr="00734121" w14:paraId="4E230ECA" w14:textId="77777777" w:rsidTr="001E2DA7">
        <w:tc>
          <w:tcPr>
            <w:tcW w:w="17" w:type="pct"/>
            <w:vAlign w:val="center"/>
          </w:tcPr>
          <w:p w14:paraId="2DC41457" w14:textId="77777777" w:rsidR="001D1F29" w:rsidRPr="00734121" w:rsidRDefault="001D1F29" w:rsidP="001E2DA7">
            <w:pPr>
              <w:pStyle w:val="BodyText"/>
              <w:spacing w:before="0" w:after="160" w:line="360" w:lineRule="auto"/>
              <w:jc w:val="center"/>
              <w:rPr>
                <w:lang w:val="en-GB"/>
              </w:rPr>
            </w:pPr>
          </w:p>
        </w:tc>
        <w:tc>
          <w:tcPr>
            <w:tcW w:w="4617" w:type="pct"/>
            <w:vAlign w:val="center"/>
          </w:tcPr>
          <w:p w14:paraId="564D2A97" w14:textId="241AAA45" w:rsidR="001D1F29" w:rsidRPr="007807E6" w:rsidRDefault="004F1A48" w:rsidP="001E2DA7">
            <w:pPr>
              <w:tabs>
                <w:tab w:val="left" w:pos="1495"/>
              </w:tabs>
              <w:spacing w:after="160" w:line="360" w:lineRule="auto"/>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shell</m:t>
                    </m:r>
                  </m:sub>
                </m:sSub>
                <m:d>
                  <m:dPr>
                    <m:ctrlPr>
                      <w:rPr>
                        <w:rFonts w:ascii="Cambria Math" w:eastAsiaTheme="minorEastAsia" w:hAnsi="Cambria Math"/>
                        <w:i/>
                      </w:rPr>
                    </m:ctrlPr>
                  </m:dPr>
                  <m:e>
                    <m:r>
                      <w:rPr>
                        <w:rFonts w:ascii="Cambria Math" w:eastAsiaTheme="minorEastAsia" w:hAnsi="Cambria Math"/>
                      </w:rPr>
                      <m:t>t+dt</m:t>
                    </m:r>
                  </m:e>
                </m:d>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cells.shell</m:t>
                        </m:r>
                      </m:sub>
                    </m:sSub>
                    <m:d>
                      <m:dPr>
                        <m:ctrlPr>
                          <w:rPr>
                            <w:rFonts w:ascii="Cambria Math" w:eastAsiaTheme="minorEastAsia" w:hAnsi="Cambria Math"/>
                            <w:i/>
                          </w:rPr>
                        </m:ctrlPr>
                      </m:dPr>
                      <m:e>
                        <m:r>
                          <w:rPr>
                            <w:rFonts w:ascii="Cambria Math" w:eastAsiaTheme="minorEastAsia" w:hAnsi="Cambria Math"/>
                          </w:rPr>
                          <m:t>t+dt</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cells.shell</m:t>
                        </m:r>
                      </m:sub>
                    </m:sSub>
                    <m:d>
                      <m:dPr>
                        <m:ctrlPr>
                          <w:rPr>
                            <w:rFonts w:ascii="Cambria Math" w:eastAsiaTheme="minorEastAsia" w:hAnsi="Cambria Math"/>
                            <w:i/>
                          </w:rPr>
                        </m:ctrlPr>
                      </m:dPr>
                      <m:e>
                        <m:r>
                          <w:rPr>
                            <w:rFonts w:ascii="Cambria Math" w:eastAsiaTheme="minorEastAsia" w:hAnsi="Cambria Math"/>
                          </w:rPr>
                          <m:t>t</m:t>
                        </m:r>
                      </m:e>
                    </m:d>
                  </m:num>
                  <m:den>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cells.shell</m:t>
                        </m:r>
                      </m:sub>
                    </m:sSub>
                    <m:r>
                      <w:rPr>
                        <w:rFonts w:ascii="Cambria Math" w:eastAsiaTheme="minorEastAsia" w:hAnsi="Cambria Math"/>
                      </w:rPr>
                      <m:t>(t)</m:t>
                    </m:r>
                  </m:den>
                </m:f>
              </m:oMath>
            </m:oMathPara>
          </w:p>
        </w:tc>
        <w:tc>
          <w:tcPr>
            <w:tcW w:w="367" w:type="pct"/>
            <w:vAlign w:val="center"/>
          </w:tcPr>
          <w:p w14:paraId="6967CCA7" w14:textId="0D06762E" w:rsidR="001D1F29" w:rsidRPr="00734121" w:rsidRDefault="001D1F29" w:rsidP="001E2DA7">
            <w:pPr>
              <w:pStyle w:val="Caption"/>
              <w:spacing w:before="0" w:after="160" w:line="360" w:lineRule="auto"/>
              <w:ind w:left="2019" w:hanging="2019"/>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9C6E64">
              <w:rPr>
                <w:rFonts w:asciiTheme="minorHAnsi" w:hAnsiTheme="minorHAnsi" w:cstheme="minorHAnsi"/>
                <w:b w:val="0"/>
                <w:bCs/>
                <w:sz w:val="22"/>
                <w:szCs w:val="22"/>
                <w:lang w:val="en-GB"/>
              </w:rPr>
              <w:t>4</w:t>
            </w:r>
            <w:r>
              <w:rPr>
                <w:rFonts w:asciiTheme="minorHAnsi" w:hAnsiTheme="minorHAnsi" w:cstheme="minorHAnsi"/>
                <w:b w:val="0"/>
                <w:bCs/>
                <w:sz w:val="22"/>
                <w:szCs w:val="22"/>
                <w:lang w:val="en-GB"/>
              </w:rPr>
              <w:t>.2</w:t>
            </w:r>
            <w:r w:rsidRPr="00734121">
              <w:rPr>
                <w:rFonts w:asciiTheme="minorHAnsi" w:hAnsiTheme="minorHAnsi" w:cstheme="minorHAnsi"/>
                <w:b w:val="0"/>
                <w:bCs/>
                <w:sz w:val="22"/>
                <w:szCs w:val="22"/>
                <w:lang w:val="en-GB"/>
              </w:rPr>
              <w:t>)</w:t>
            </w:r>
          </w:p>
        </w:tc>
      </w:tr>
    </w:tbl>
    <w:p w14:paraId="138B9FA6" w14:textId="77777777" w:rsidR="00A2305D" w:rsidRDefault="00A2305D" w:rsidP="00A2305D">
      <w:pPr>
        <w:tabs>
          <w:tab w:val="left" w:pos="1495"/>
        </w:tabs>
        <w:jc w:val="both"/>
      </w:pPr>
      <w:r w:rsidRPr="00734121">
        <w:t xml:space="preserve">As the cancer cells divide, the shell thickens </w:t>
      </w: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shell</m:t>
            </m:r>
          </m:sub>
        </m:sSub>
        <m:d>
          <m:dPr>
            <m:ctrlPr>
              <w:rPr>
                <w:rFonts w:ascii="Cambria Math" w:eastAsiaTheme="minorEastAsia" w:hAnsi="Cambria Math"/>
                <w:i/>
              </w:rPr>
            </m:ctrlPr>
          </m:dPr>
          <m:e>
            <m:r>
              <w:rPr>
                <w:rFonts w:ascii="Cambria Math" w:eastAsiaTheme="minorEastAsia" w:hAnsi="Cambria Math"/>
              </w:rPr>
              <m:t>t+dt</m:t>
            </m:r>
          </m:e>
        </m:d>
        <m:r>
          <w:rPr>
            <w:rFonts w:ascii="Cambria Math" w:eastAsiaTheme="minorEastAsia" w:hAnsi="Cambria Math"/>
          </w:rPr>
          <m:t>&gt;0</m:t>
        </m:r>
      </m:oMath>
      <w:r w:rsidRPr="00734121">
        <w:t xml:space="preserve">, and the total tumour volume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tumour</m:t>
            </m:r>
          </m:sub>
        </m:sSub>
      </m:oMath>
      <w:r w:rsidRPr="00734121">
        <w:t xml:space="preserve"> grows:</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1138EF" w:rsidRPr="00734121" w14:paraId="2D4A1426" w14:textId="77777777" w:rsidTr="00C00371">
        <w:tc>
          <w:tcPr>
            <w:tcW w:w="17" w:type="pct"/>
            <w:vAlign w:val="center"/>
          </w:tcPr>
          <w:p w14:paraId="16B15440" w14:textId="77777777" w:rsidR="001138EF" w:rsidRPr="00734121" w:rsidRDefault="001138EF" w:rsidP="00C00371">
            <w:pPr>
              <w:pStyle w:val="BodyText"/>
              <w:spacing w:before="0" w:line="360" w:lineRule="auto"/>
              <w:jc w:val="center"/>
              <w:rPr>
                <w:lang w:val="en-GB"/>
              </w:rPr>
            </w:pPr>
          </w:p>
        </w:tc>
        <w:tc>
          <w:tcPr>
            <w:tcW w:w="4617" w:type="pct"/>
            <w:vAlign w:val="center"/>
          </w:tcPr>
          <w:p w14:paraId="2BF9CF40" w14:textId="1C745536" w:rsidR="001138EF" w:rsidRPr="00C00371" w:rsidRDefault="004F1A48" w:rsidP="00C00371">
            <w:pPr>
              <w:tabs>
                <w:tab w:val="left" w:pos="1495"/>
              </w:tabs>
              <w:spacing w:line="360" w:lineRule="auto"/>
              <w:jc w:val="both"/>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tumour</m:t>
                    </m:r>
                  </m:sub>
                </m:sSub>
                <m:d>
                  <m:dPr>
                    <m:ctrlPr>
                      <w:rPr>
                        <w:rFonts w:ascii="Cambria Math" w:eastAsiaTheme="minorEastAsia" w:hAnsi="Cambria Math"/>
                        <w:i/>
                      </w:rPr>
                    </m:ctrlPr>
                  </m:dPr>
                  <m:e>
                    <m:r>
                      <w:rPr>
                        <w:rFonts w:ascii="Cambria Math" w:eastAsiaTheme="minorEastAsia" w:hAnsi="Cambria Math"/>
                      </w:rPr>
                      <m:t>t+dt</m:t>
                    </m:r>
                  </m:e>
                </m:d>
                <m:r>
                  <m:rPr>
                    <m:aln/>
                  </m:rP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core</m:t>
                    </m:r>
                  </m:sub>
                </m:sSub>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shell</m:t>
                    </m:r>
                  </m:sub>
                </m:sSub>
                <m:d>
                  <m:dPr>
                    <m:ctrlPr>
                      <w:rPr>
                        <w:rFonts w:ascii="Cambria Math" w:eastAsiaTheme="minorEastAsia" w:hAnsi="Cambria Math"/>
                        <w:i/>
                      </w:rPr>
                    </m:ctrlPr>
                  </m:dPr>
                  <m:e>
                    <m:r>
                      <w:rPr>
                        <w:rFonts w:ascii="Cambria Math" w:eastAsiaTheme="minorEastAsia" w:hAnsi="Cambria Math"/>
                      </w:rPr>
                      <m:t>t+dt</m:t>
                    </m:r>
                  </m:e>
                </m:d>
                <m:r>
                  <m:rPr>
                    <m:sty m:val="p"/>
                  </m:rPr>
                  <w:rPr>
                    <w:rFonts w:ascii="Cambria Math" w:eastAsiaTheme="minorEastAsia" w:hAnsi="Cambria Math"/>
                  </w:rPr>
                  <w:br/>
                </m:r>
              </m:oMath>
              <m:oMath>
                <m:r>
                  <m:rPr>
                    <m:aln/>
                  </m:rP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core</m:t>
                    </m:r>
                  </m:sub>
                </m:sSub>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shell</m:t>
                    </m:r>
                  </m:sub>
                </m:sSub>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 ∆</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shell</m:t>
                    </m:r>
                  </m:sub>
                </m:sSub>
                <m:d>
                  <m:dPr>
                    <m:ctrlPr>
                      <w:rPr>
                        <w:rFonts w:ascii="Cambria Math" w:eastAsiaTheme="minorEastAsia" w:hAnsi="Cambria Math"/>
                        <w:i/>
                      </w:rPr>
                    </m:ctrlPr>
                  </m:dPr>
                  <m:e>
                    <m:r>
                      <w:rPr>
                        <w:rFonts w:ascii="Cambria Math" w:eastAsiaTheme="minorEastAsia" w:hAnsi="Cambria Math"/>
                      </w:rPr>
                      <m:t>t+dt</m:t>
                    </m:r>
                  </m:e>
                </m:d>
              </m:oMath>
            </m:oMathPara>
          </w:p>
        </w:tc>
        <w:tc>
          <w:tcPr>
            <w:tcW w:w="367" w:type="pct"/>
            <w:vAlign w:val="center"/>
          </w:tcPr>
          <w:p w14:paraId="2990A657" w14:textId="655445B1" w:rsidR="001138EF" w:rsidRPr="00734121" w:rsidRDefault="001138EF" w:rsidP="00C00371">
            <w:pPr>
              <w:pStyle w:val="Caption"/>
              <w:spacing w:before="0" w:after="0" w:line="360" w:lineRule="auto"/>
              <w:ind w:left="2019" w:hanging="2019"/>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9C6E64">
              <w:rPr>
                <w:rFonts w:asciiTheme="minorHAnsi" w:hAnsiTheme="minorHAnsi" w:cstheme="minorHAnsi"/>
                <w:b w:val="0"/>
                <w:bCs/>
                <w:sz w:val="22"/>
                <w:szCs w:val="22"/>
                <w:lang w:val="en-GB"/>
              </w:rPr>
              <w:t>4</w:t>
            </w:r>
            <w:r>
              <w:rPr>
                <w:rFonts w:asciiTheme="minorHAnsi" w:hAnsiTheme="minorHAnsi" w:cstheme="minorHAnsi"/>
                <w:b w:val="0"/>
                <w:bCs/>
                <w:sz w:val="22"/>
                <w:szCs w:val="22"/>
                <w:lang w:val="en-GB"/>
              </w:rPr>
              <w:t>.</w:t>
            </w:r>
            <w:r w:rsidR="00C00371">
              <w:rPr>
                <w:rFonts w:asciiTheme="minorHAnsi" w:hAnsiTheme="minorHAnsi" w:cstheme="minorHAnsi"/>
                <w:b w:val="0"/>
                <w:bCs/>
                <w:sz w:val="22"/>
                <w:szCs w:val="22"/>
                <w:lang w:val="en-GB"/>
              </w:rPr>
              <w:t>3</w:t>
            </w:r>
            <w:r w:rsidRPr="00734121">
              <w:rPr>
                <w:rFonts w:asciiTheme="minorHAnsi" w:hAnsiTheme="minorHAnsi" w:cstheme="minorHAnsi"/>
                <w:b w:val="0"/>
                <w:bCs/>
                <w:sz w:val="22"/>
                <w:szCs w:val="22"/>
                <w:lang w:val="en-GB"/>
              </w:rPr>
              <w:t>)</w:t>
            </w:r>
          </w:p>
        </w:tc>
      </w:tr>
    </w:tbl>
    <w:p w14:paraId="0E7E19D2" w14:textId="77777777" w:rsidR="001138EF" w:rsidRPr="00734121" w:rsidRDefault="001138EF" w:rsidP="00A2305D">
      <w:pPr>
        <w:tabs>
          <w:tab w:val="left" w:pos="1495"/>
        </w:tabs>
        <w:jc w:val="both"/>
      </w:pPr>
    </w:p>
    <w:p w14:paraId="1C55096C" w14:textId="7DCFB641" w:rsidR="00A2305D" w:rsidRDefault="00A2305D" w:rsidP="00A2305D">
      <w:pPr>
        <w:tabs>
          <w:tab w:val="left" w:pos="1495"/>
        </w:tabs>
        <w:jc w:val="both"/>
      </w:pPr>
      <w:r w:rsidRPr="00734121">
        <w:t xml:space="preserve">The thickness of the shell, however, cannot exceed a maximum thickness </w:t>
      </w:r>
      <m:oMath>
        <m:sSubSup>
          <m:sSubSupPr>
            <m:ctrlPr>
              <w:rPr>
                <w:rFonts w:ascii="Cambria Math" w:hAnsi="Cambria Math"/>
                <w:i/>
              </w:rPr>
            </m:ctrlPr>
          </m:sSubSupPr>
          <m:e>
            <m:r>
              <w:rPr>
                <w:rFonts w:ascii="Cambria Math" w:hAnsi="Cambria Math"/>
              </w:rPr>
              <m:t>r</m:t>
            </m:r>
          </m:e>
          <m:sub>
            <m:r>
              <w:rPr>
                <w:rFonts w:ascii="Cambria Math" w:hAnsi="Cambria Math"/>
              </w:rPr>
              <m:t>shell</m:t>
            </m:r>
          </m:sub>
          <m:sup>
            <m:r>
              <w:rPr>
                <w:rFonts w:ascii="Cambria Math" w:hAnsi="Cambria Math"/>
              </w:rPr>
              <m:t>MAX</m:t>
            </m:r>
          </m:sup>
        </m:sSubSup>
      </m:oMath>
      <w:r w:rsidRPr="00734121">
        <w:t>, as hypoxia and lack of nutrients lead to cell necrosis. The thickness of the outer proliferating layer is measured as follows:</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733CCF" w:rsidRPr="00734121" w14:paraId="1FE5FEA8" w14:textId="77777777" w:rsidTr="001E2DA7">
        <w:tc>
          <w:tcPr>
            <w:tcW w:w="17" w:type="pct"/>
            <w:vAlign w:val="center"/>
          </w:tcPr>
          <w:p w14:paraId="211DF019" w14:textId="77777777" w:rsidR="00733CCF" w:rsidRPr="00734121" w:rsidRDefault="00733CCF" w:rsidP="001E2DA7">
            <w:pPr>
              <w:pStyle w:val="BodyText"/>
              <w:spacing w:before="0" w:line="360" w:lineRule="auto"/>
              <w:jc w:val="center"/>
              <w:rPr>
                <w:lang w:val="en-GB"/>
              </w:rPr>
            </w:pPr>
          </w:p>
        </w:tc>
        <w:tc>
          <w:tcPr>
            <w:tcW w:w="4617" w:type="pct"/>
            <w:vAlign w:val="center"/>
          </w:tcPr>
          <w:p w14:paraId="1490A4F5" w14:textId="3C73017E" w:rsidR="00733CCF" w:rsidRPr="00C00371" w:rsidRDefault="004F1A48" w:rsidP="001E2DA7">
            <w:pPr>
              <w:tabs>
                <w:tab w:val="left" w:pos="1495"/>
              </w:tabs>
              <w:spacing w:line="360" w:lineRule="auto"/>
              <w:jc w:val="both"/>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shell</m:t>
                    </m:r>
                  </m:sub>
                </m:sSub>
                <m:d>
                  <m:dPr>
                    <m:ctrlPr>
                      <w:rPr>
                        <w:rFonts w:ascii="Cambria Math" w:eastAsiaTheme="minorEastAsia" w:hAnsi="Cambria Math"/>
                        <w:i/>
                      </w:rPr>
                    </m:ctrlPr>
                  </m:dPr>
                  <m:e>
                    <m:r>
                      <w:rPr>
                        <w:rFonts w:ascii="Cambria Math" w:eastAsiaTheme="minorEastAsia" w:hAnsi="Cambria Math"/>
                      </w:rPr>
                      <m:t>t+dt</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tumour</m:t>
                    </m:r>
                  </m:sub>
                </m:sSub>
                <m:d>
                  <m:dPr>
                    <m:ctrlPr>
                      <w:rPr>
                        <w:rFonts w:ascii="Cambria Math" w:eastAsiaTheme="minorEastAsia" w:hAnsi="Cambria Math"/>
                        <w:i/>
                      </w:rPr>
                    </m:ctrlPr>
                  </m:dPr>
                  <m:e>
                    <m:r>
                      <w:rPr>
                        <w:rFonts w:ascii="Cambria Math" w:eastAsiaTheme="minorEastAsia" w:hAnsi="Cambria Math"/>
                      </w:rPr>
                      <m:t>t+dt</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core</m:t>
                    </m:r>
                  </m:sub>
                </m:sSub>
                <m:d>
                  <m:dPr>
                    <m:ctrlPr>
                      <w:rPr>
                        <w:rFonts w:ascii="Cambria Math" w:eastAsiaTheme="minorEastAsia" w:hAnsi="Cambria Math"/>
                        <w:i/>
                      </w:rPr>
                    </m:ctrlPr>
                  </m:dPr>
                  <m:e>
                    <m:r>
                      <w:rPr>
                        <w:rFonts w:ascii="Cambria Math" w:eastAsiaTheme="minorEastAsia" w:hAnsi="Cambria Math"/>
                      </w:rPr>
                      <m:t>t</m:t>
                    </m:r>
                  </m:e>
                </m:d>
              </m:oMath>
            </m:oMathPara>
          </w:p>
        </w:tc>
        <w:tc>
          <w:tcPr>
            <w:tcW w:w="367" w:type="pct"/>
            <w:vAlign w:val="center"/>
          </w:tcPr>
          <w:p w14:paraId="0C15157C" w14:textId="12F77587" w:rsidR="00733CCF" w:rsidRPr="00734121" w:rsidRDefault="00733CCF" w:rsidP="001E2DA7">
            <w:pPr>
              <w:pStyle w:val="Caption"/>
              <w:spacing w:before="0" w:after="0" w:line="360" w:lineRule="auto"/>
              <w:ind w:left="2019" w:hanging="2019"/>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9C6E64">
              <w:rPr>
                <w:rFonts w:asciiTheme="minorHAnsi" w:hAnsiTheme="minorHAnsi" w:cstheme="minorHAnsi"/>
                <w:b w:val="0"/>
                <w:bCs/>
                <w:sz w:val="22"/>
                <w:szCs w:val="22"/>
                <w:lang w:val="en-GB"/>
              </w:rPr>
              <w:t>4</w:t>
            </w:r>
            <w:r>
              <w:rPr>
                <w:rFonts w:asciiTheme="minorHAnsi" w:hAnsiTheme="minorHAnsi" w:cstheme="minorHAnsi"/>
                <w:b w:val="0"/>
                <w:bCs/>
                <w:sz w:val="22"/>
                <w:szCs w:val="22"/>
                <w:lang w:val="en-GB"/>
              </w:rPr>
              <w:t>.4</w:t>
            </w:r>
            <w:r w:rsidRPr="00734121">
              <w:rPr>
                <w:rFonts w:asciiTheme="minorHAnsi" w:hAnsiTheme="minorHAnsi" w:cstheme="minorHAnsi"/>
                <w:b w:val="0"/>
                <w:bCs/>
                <w:sz w:val="22"/>
                <w:szCs w:val="22"/>
                <w:lang w:val="en-GB"/>
              </w:rPr>
              <w:t>)</w:t>
            </w:r>
          </w:p>
        </w:tc>
      </w:tr>
    </w:tbl>
    <w:p w14:paraId="7D6CEDD6" w14:textId="77777777" w:rsidR="00A2305D" w:rsidRDefault="00A2305D" w:rsidP="00A2305D">
      <w:pPr>
        <w:tabs>
          <w:tab w:val="left" w:pos="1495"/>
        </w:tabs>
        <w:jc w:val="both"/>
        <w:rPr>
          <w:rFonts w:eastAsiaTheme="minorEastAsia"/>
        </w:rPr>
      </w:pPr>
      <w:r w:rsidRPr="00734121">
        <w:rPr>
          <w:rFonts w:eastAsiaTheme="minorEastAsia"/>
        </w:rPr>
        <w:t xml:space="preserve">where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tumour</m:t>
            </m:r>
          </m:sub>
        </m:sSub>
      </m:oMath>
      <w:r w:rsidRPr="00734121">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core</m:t>
            </m:r>
          </m:sub>
        </m:sSub>
      </m:oMath>
      <w:r w:rsidRPr="00734121">
        <w:rPr>
          <w:rFonts w:eastAsiaTheme="minorEastAsia"/>
        </w:rPr>
        <w:t xml:space="preserve"> are computed from their respective volumes:</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593DB8" w:rsidRPr="00734121" w14:paraId="48F20075" w14:textId="77777777" w:rsidTr="001E2DA7">
        <w:tc>
          <w:tcPr>
            <w:tcW w:w="17" w:type="pct"/>
            <w:vAlign w:val="center"/>
          </w:tcPr>
          <w:p w14:paraId="0FB3107E" w14:textId="77777777" w:rsidR="00593DB8" w:rsidRPr="00734121" w:rsidRDefault="00593DB8" w:rsidP="001E2DA7">
            <w:pPr>
              <w:pStyle w:val="BodyText"/>
              <w:spacing w:before="0" w:line="360" w:lineRule="auto"/>
              <w:jc w:val="center"/>
              <w:rPr>
                <w:lang w:val="en-GB"/>
              </w:rPr>
            </w:pPr>
          </w:p>
        </w:tc>
        <w:tc>
          <w:tcPr>
            <w:tcW w:w="4617" w:type="pct"/>
            <w:vAlign w:val="center"/>
          </w:tcPr>
          <w:p w14:paraId="638C6E9D" w14:textId="5E5AAB0B" w:rsidR="00593DB8" w:rsidRPr="00C00371" w:rsidRDefault="004F1A48" w:rsidP="001E2DA7">
            <w:pPr>
              <w:tabs>
                <w:tab w:val="left" w:pos="1495"/>
              </w:tabs>
              <w:spacing w:line="360" w:lineRule="auto"/>
              <w:jc w:val="both"/>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tumour</m:t>
                    </m:r>
                  </m:sub>
                </m:sSub>
                <m:d>
                  <m:dPr>
                    <m:ctrlPr>
                      <w:rPr>
                        <w:rFonts w:ascii="Cambria Math" w:eastAsiaTheme="minorEastAsia" w:hAnsi="Cambria Math"/>
                        <w:i/>
                      </w:rPr>
                    </m:ctrlPr>
                  </m:dPr>
                  <m:e>
                    <m:r>
                      <w:rPr>
                        <w:rFonts w:ascii="Cambria Math" w:eastAsiaTheme="minorEastAsia" w:hAnsi="Cambria Math"/>
                      </w:rPr>
                      <m:t>t+dt</m:t>
                    </m:r>
                  </m:e>
                </m:d>
                <m:r>
                  <m:rPr>
                    <m:aln/>
                  </m:rPr>
                  <w:rPr>
                    <w:rFonts w:ascii="Cambria Math" w:eastAsiaTheme="minorEastAsia"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3</m:t>
                            </m:r>
                          </m:num>
                          <m:den>
                            <m:r>
                              <w:rPr>
                                <w:rFonts w:ascii="Cambria Math" w:hAnsi="Cambria Math"/>
                              </w:rPr>
                              <m:t>4π</m:t>
                            </m:r>
                          </m:den>
                        </m:f>
                        <m:sSub>
                          <m:sSubPr>
                            <m:ctrlPr>
                              <w:rPr>
                                <w:rFonts w:ascii="Cambria Math" w:hAnsi="Cambria Math"/>
                                <w:i/>
                              </w:rPr>
                            </m:ctrlPr>
                          </m:sSubPr>
                          <m:e>
                            <m:r>
                              <w:rPr>
                                <w:rFonts w:ascii="Cambria Math" w:hAnsi="Cambria Math"/>
                              </w:rPr>
                              <m:t>V</m:t>
                            </m:r>
                          </m:e>
                          <m:sub>
                            <m:r>
                              <w:rPr>
                                <w:rFonts w:ascii="Cambria Math" w:hAnsi="Cambria Math"/>
                              </w:rPr>
                              <m:t>tumour</m:t>
                            </m:r>
                          </m:sub>
                        </m:sSub>
                        <m:r>
                          <w:rPr>
                            <w:rFonts w:ascii="Cambria Math" w:hAnsi="Cambria Math"/>
                          </w:rPr>
                          <m:t>(t+dt)</m:t>
                        </m:r>
                      </m:e>
                    </m:d>
                  </m:e>
                  <m:sup>
                    <m:f>
                      <m:fPr>
                        <m:type m:val="lin"/>
                        <m:ctrlPr>
                          <w:rPr>
                            <w:rFonts w:ascii="Cambria Math" w:hAnsi="Cambria Math"/>
                            <w:i/>
                          </w:rPr>
                        </m:ctrlPr>
                      </m:fPr>
                      <m:num>
                        <m:r>
                          <w:rPr>
                            <w:rFonts w:ascii="Cambria Math" w:hAnsi="Cambria Math"/>
                          </w:rPr>
                          <m:t>1</m:t>
                        </m:r>
                      </m:num>
                      <m:den>
                        <m:r>
                          <w:rPr>
                            <w:rFonts w:ascii="Cambria Math" w:hAnsi="Cambria Math"/>
                          </w:rPr>
                          <m:t>3</m:t>
                        </m:r>
                      </m:den>
                    </m:f>
                  </m:sup>
                </m:sSup>
                <m:r>
                  <m:rPr>
                    <m:sty m:val="p"/>
                  </m:rPr>
                  <w:rPr>
                    <w:rFonts w:ascii="Cambria Math" w:hAnsi="Cambria Math"/>
                  </w:rPr>
                  <w:br/>
                </m:r>
              </m:oMath>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core</m:t>
                    </m:r>
                  </m:sub>
                </m:sSub>
                <m:d>
                  <m:dPr>
                    <m:ctrlPr>
                      <w:rPr>
                        <w:rFonts w:ascii="Cambria Math" w:eastAsiaTheme="minorEastAsia" w:hAnsi="Cambria Math"/>
                        <w:i/>
                      </w:rPr>
                    </m:ctrlPr>
                  </m:dPr>
                  <m:e>
                    <m:r>
                      <w:rPr>
                        <w:rFonts w:ascii="Cambria Math" w:eastAsiaTheme="minorEastAsia" w:hAnsi="Cambria Math"/>
                      </w:rPr>
                      <m:t>t</m:t>
                    </m:r>
                  </m:e>
                </m:d>
                <m:r>
                  <m:rPr>
                    <m:aln/>
                  </m:rPr>
                  <w:rPr>
                    <w:rFonts w:ascii="Cambria Math" w:eastAsiaTheme="minorEastAsia"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3</m:t>
                            </m:r>
                          </m:num>
                          <m:den>
                            <m:r>
                              <w:rPr>
                                <w:rFonts w:ascii="Cambria Math" w:hAnsi="Cambria Math"/>
                              </w:rPr>
                              <m:t>4π</m:t>
                            </m:r>
                          </m:den>
                        </m:f>
                        <m:sSub>
                          <m:sSubPr>
                            <m:ctrlPr>
                              <w:rPr>
                                <w:rFonts w:ascii="Cambria Math" w:hAnsi="Cambria Math"/>
                                <w:i/>
                              </w:rPr>
                            </m:ctrlPr>
                          </m:sSubPr>
                          <m:e>
                            <m:r>
                              <w:rPr>
                                <w:rFonts w:ascii="Cambria Math" w:hAnsi="Cambria Math"/>
                              </w:rPr>
                              <m:t>V</m:t>
                            </m:r>
                          </m:e>
                          <m:sub>
                            <m:r>
                              <w:rPr>
                                <w:rFonts w:ascii="Cambria Math" w:hAnsi="Cambria Math"/>
                              </w:rPr>
                              <m:t>core</m:t>
                            </m:r>
                          </m:sub>
                        </m:sSub>
                        <m:r>
                          <w:rPr>
                            <w:rFonts w:ascii="Cambria Math" w:hAnsi="Cambria Math"/>
                          </w:rPr>
                          <m:t>(t)</m:t>
                        </m:r>
                      </m:e>
                    </m:d>
                  </m:e>
                  <m:sup>
                    <m:f>
                      <m:fPr>
                        <m:type m:val="lin"/>
                        <m:ctrlPr>
                          <w:rPr>
                            <w:rFonts w:ascii="Cambria Math" w:hAnsi="Cambria Math"/>
                            <w:i/>
                          </w:rPr>
                        </m:ctrlPr>
                      </m:fPr>
                      <m:num>
                        <m:r>
                          <w:rPr>
                            <w:rFonts w:ascii="Cambria Math" w:hAnsi="Cambria Math"/>
                          </w:rPr>
                          <m:t>1</m:t>
                        </m:r>
                      </m:num>
                      <m:den>
                        <m:r>
                          <w:rPr>
                            <w:rFonts w:ascii="Cambria Math" w:hAnsi="Cambria Math"/>
                          </w:rPr>
                          <m:t>3</m:t>
                        </m:r>
                      </m:den>
                    </m:f>
                  </m:sup>
                </m:sSup>
              </m:oMath>
            </m:oMathPara>
          </w:p>
        </w:tc>
        <w:tc>
          <w:tcPr>
            <w:tcW w:w="367" w:type="pct"/>
            <w:vAlign w:val="center"/>
          </w:tcPr>
          <w:p w14:paraId="1D7C69C2" w14:textId="3B14079C" w:rsidR="00593DB8" w:rsidRPr="00734121" w:rsidRDefault="00593DB8" w:rsidP="001E2DA7">
            <w:pPr>
              <w:pStyle w:val="Caption"/>
              <w:spacing w:before="0" w:after="0" w:line="360" w:lineRule="auto"/>
              <w:ind w:left="2019" w:hanging="2019"/>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9C6E64">
              <w:rPr>
                <w:rFonts w:asciiTheme="minorHAnsi" w:hAnsiTheme="minorHAnsi" w:cstheme="minorHAnsi"/>
                <w:b w:val="0"/>
                <w:bCs/>
                <w:sz w:val="22"/>
                <w:szCs w:val="22"/>
                <w:lang w:val="en-GB"/>
              </w:rPr>
              <w:t>4</w:t>
            </w:r>
            <w:r>
              <w:rPr>
                <w:rFonts w:asciiTheme="minorHAnsi" w:hAnsiTheme="minorHAnsi" w:cstheme="minorHAnsi"/>
                <w:b w:val="0"/>
                <w:bCs/>
                <w:sz w:val="22"/>
                <w:szCs w:val="22"/>
                <w:lang w:val="en-GB"/>
              </w:rPr>
              <w:t>.5</w:t>
            </w:r>
            <w:r w:rsidRPr="00734121">
              <w:rPr>
                <w:rFonts w:asciiTheme="minorHAnsi" w:hAnsiTheme="minorHAnsi" w:cstheme="minorHAnsi"/>
                <w:b w:val="0"/>
                <w:bCs/>
                <w:sz w:val="22"/>
                <w:szCs w:val="22"/>
                <w:lang w:val="en-GB"/>
              </w:rPr>
              <w:t>)</w:t>
            </w:r>
          </w:p>
        </w:tc>
      </w:tr>
    </w:tbl>
    <w:p w14:paraId="56ED1B0F" w14:textId="30C23B7F" w:rsidR="00A2305D" w:rsidRPr="00734121" w:rsidRDefault="00A2305D" w:rsidP="00A2305D">
      <w:pPr>
        <w:tabs>
          <w:tab w:val="left" w:pos="1495"/>
        </w:tabs>
        <w:jc w:val="both"/>
        <w:rPr>
          <w:rFonts w:eastAsiaTheme="minorEastAsia"/>
        </w:rPr>
      </w:pPr>
    </w:p>
    <w:p w14:paraId="6133F314" w14:textId="77777777" w:rsidR="00A2305D" w:rsidRPr="00734121" w:rsidRDefault="00A2305D" w:rsidP="00A2305D">
      <w:pPr>
        <w:pStyle w:val="ListParagraph"/>
        <w:numPr>
          <w:ilvl w:val="0"/>
          <w:numId w:val="6"/>
        </w:numPr>
        <w:tabs>
          <w:tab w:val="left" w:pos="1495"/>
        </w:tabs>
        <w:spacing w:line="259" w:lineRule="auto"/>
        <w:jc w:val="both"/>
        <w:rPr>
          <w:rFonts w:eastAsiaTheme="minorEastAsia"/>
        </w:rPr>
      </w:pPr>
      <w:r w:rsidRPr="00734121">
        <w:rPr>
          <w:rFonts w:eastAsiaTheme="minorEastAsia"/>
          <w:b/>
          <w:bCs/>
        </w:rPr>
        <w:t xml:space="preserve">If </w:t>
      </w:r>
      <m:oMath>
        <m:r>
          <m:rPr>
            <m:sty m:val="bi"/>
          </m:rPr>
          <w:rPr>
            <w:rFonts w:ascii="Cambria Math" w:eastAsiaTheme="minorEastAsia" w:hAnsi="Cambria Math"/>
          </w:rPr>
          <m:t>∆</m:t>
        </m:r>
        <m:sSub>
          <m:sSubPr>
            <m:ctrlPr>
              <w:rPr>
                <w:rFonts w:ascii="Cambria Math" w:eastAsiaTheme="minorEastAsia" w:hAnsi="Cambria Math"/>
                <w:b/>
                <w:i/>
              </w:rPr>
            </m:ctrlPr>
          </m:sSubPr>
          <m:e>
            <m:r>
              <m:rPr>
                <m:sty m:val="bi"/>
              </m:rPr>
              <w:rPr>
                <w:rFonts w:ascii="Cambria Math" w:eastAsiaTheme="minorEastAsia" w:hAnsi="Cambria Math"/>
              </w:rPr>
              <m:t>V</m:t>
            </m:r>
          </m:e>
          <m:sub>
            <m:r>
              <m:rPr>
                <m:sty m:val="bi"/>
              </m:rPr>
              <w:rPr>
                <w:rFonts w:ascii="Cambria Math" w:eastAsiaTheme="minorEastAsia" w:hAnsi="Cambria Math"/>
              </w:rPr>
              <m:t>shell</m:t>
            </m:r>
          </m:sub>
        </m:sSub>
        <m:d>
          <m:dPr>
            <m:ctrlPr>
              <w:rPr>
                <w:rFonts w:ascii="Cambria Math" w:eastAsiaTheme="minorEastAsia" w:hAnsi="Cambria Math"/>
                <w:b/>
                <w:i/>
              </w:rPr>
            </m:ctrlPr>
          </m:dPr>
          <m:e>
            <m:r>
              <m:rPr>
                <m:sty m:val="bi"/>
              </m:rPr>
              <w:rPr>
                <w:rFonts w:ascii="Cambria Math" w:eastAsiaTheme="minorEastAsia" w:hAnsi="Cambria Math"/>
              </w:rPr>
              <m:t>t+dt</m:t>
            </m:r>
          </m:e>
        </m:d>
        <m:r>
          <m:rPr>
            <m:sty m:val="bi"/>
          </m:rPr>
          <w:rPr>
            <w:rFonts w:ascii="Cambria Math" w:eastAsiaTheme="minorEastAsia" w:hAnsi="Cambria Math"/>
          </w:rPr>
          <m:t xml:space="preserve">&gt;0 </m:t>
        </m:r>
        <m:r>
          <m:rPr>
            <m:nor/>
          </m:rPr>
          <w:rPr>
            <w:rFonts w:ascii="Cambria Math" w:eastAsiaTheme="minorEastAsia" w:hAnsi="Cambria Math"/>
            <w:b/>
          </w:rPr>
          <m:t xml:space="preserve">and </m:t>
        </m:r>
        <m:sSub>
          <m:sSubPr>
            <m:ctrlPr>
              <w:rPr>
                <w:rFonts w:ascii="Cambria Math" w:eastAsiaTheme="minorEastAsia" w:hAnsi="Cambria Math"/>
                <w:b/>
                <w:i/>
              </w:rPr>
            </m:ctrlPr>
          </m:sSubPr>
          <m:e>
            <m:r>
              <m:rPr>
                <m:sty m:val="bi"/>
              </m:rPr>
              <w:rPr>
                <w:rFonts w:ascii="Cambria Math" w:eastAsiaTheme="minorEastAsia" w:hAnsi="Cambria Math"/>
              </w:rPr>
              <m:t>r</m:t>
            </m:r>
          </m:e>
          <m:sub>
            <m:r>
              <m:rPr>
                <m:sty m:val="bi"/>
              </m:rPr>
              <w:rPr>
                <w:rFonts w:ascii="Cambria Math" w:eastAsiaTheme="minorEastAsia" w:hAnsi="Cambria Math"/>
              </w:rPr>
              <m:t>shell</m:t>
            </m:r>
          </m:sub>
        </m:sSub>
        <m:d>
          <m:dPr>
            <m:ctrlPr>
              <w:rPr>
                <w:rFonts w:ascii="Cambria Math" w:eastAsiaTheme="minorEastAsia" w:hAnsi="Cambria Math"/>
                <w:b/>
                <w:i/>
              </w:rPr>
            </m:ctrlPr>
          </m:dPr>
          <m:e>
            <m:r>
              <m:rPr>
                <m:sty m:val="bi"/>
              </m:rPr>
              <w:rPr>
                <w:rFonts w:ascii="Cambria Math" w:eastAsiaTheme="minorEastAsia" w:hAnsi="Cambria Math"/>
              </w:rPr>
              <m:t>t+dt</m:t>
            </m:r>
          </m:e>
        </m:d>
        <m:r>
          <m:rPr>
            <m:sty m:val="bi"/>
          </m:rPr>
          <w:rPr>
            <w:rFonts w:ascii="Cambria Math" w:eastAsiaTheme="minorEastAsia" w:hAnsi="Cambria Math"/>
          </w:rPr>
          <m:t>&gt;</m:t>
        </m:r>
        <m:sSubSup>
          <m:sSubSupPr>
            <m:ctrlPr>
              <w:rPr>
                <w:rFonts w:ascii="Cambria Math" w:hAnsi="Cambria Math"/>
                <w:b/>
                <w:i/>
              </w:rPr>
            </m:ctrlPr>
          </m:sSubSupPr>
          <m:e>
            <m:r>
              <m:rPr>
                <m:sty m:val="bi"/>
              </m:rPr>
              <w:rPr>
                <w:rFonts w:ascii="Cambria Math" w:hAnsi="Cambria Math"/>
              </w:rPr>
              <m:t>r</m:t>
            </m:r>
          </m:e>
          <m:sub>
            <m:r>
              <m:rPr>
                <m:sty m:val="bi"/>
              </m:rPr>
              <w:rPr>
                <w:rFonts w:ascii="Cambria Math" w:hAnsi="Cambria Math"/>
              </w:rPr>
              <m:t>shell</m:t>
            </m:r>
          </m:sub>
          <m:sup>
            <m:r>
              <m:rPr>
                <m:sty m:val="bi"/>
              </m:rPr>
              <w:rPr>
                <w:rFonts w:ascii="Cambria Math" w:hAnsi="Cambria Math"/>
              </w:rPr>
              <m:t>MAX</m:t>
            </m:r>
          </m:sup>
        </m:sSubSup>
      </m:oMath>
    </w:p>
    <w:p w14:paraId="21011DEF" w14:textId="77777777" w:rsidR="00A2305D" w:rsidRDefault="00A2305D" w:rsidP="00A2305D">
      <w:pPr>
        <w:tabs>
          <w:tab w:val="left" w:pos="1495"/>
        </w:tabs>
        <w:jc w:val="both"/>
        <w:rPr>
          <w:rFonts w:eastAsiaTheme="minorEastAsia"/>
        </w:rPr>
      </w:pPr>
      <w:r w:rsidRPr="00734121">
        <w:rPr>
          <w:rFonts w:eastAsiaTheme="minorEastAsia"/>
        </w:rPr>
        <w:t>When the shell is growing beyond its maximal thickness</w:t>
      </w:r>
      <w:r w:rsidRPr="00734121">
        <w:rPr>
          <w:rFonts w:eastAsiaTheme="minorEastAsia"/>
          <w:bCs/>
        </w:rPr>
        <w:t>,</w:t>
      </w:r>
      <w:r w:rsidRPr="00734121">
        <w:rPr>
          <w:rFonts w:eastAsiaTheme="minorEastAsia"/>
        </w:rPr>
        <w:t xml:space="preserve"> a portion of live cancer cells is transferred from the shell to the core to maintain </w:t>
      </w:r>
      <m:oMath>
        <m:sSubSup>
          <m:sSubSupPr>
            <m:ctrlPr>
              <w:rPr>
                <w:rFonts w:ascii="Cambria Math" w:hAnsi="Cambria Math"/>
                <w:i/>
              </w:rPr>
            </m:ctrlPr>
          </m:sSubSupPr>
          <m:e>
            <m:r>
              <w:rPr>
                <w:rFonts w:ascii="Cambria Math" w:hAnsi="Cambria Math"/>
              </w:rPr>
              <m:t>r</m:t>
            </m:r>
          </m:e>
          <m:sub>
            <m:r>
              <w:rPr>
                <w:rFonts w:ascii="Cambria Math" w:hAnsi="Cambria Math"/>
              </w:rPr>
              <m:t>shell</m:t>
            </m:r>
          </m:sub>
          <m:sup>
            <m:r>
              <w:rPr>
                <w:rFonts w:ascii="Cambria Math" w:hAnsi="Cambria Math"/>
              </w:rPr>
              <m:t>MAX</m:t>
            </m:r>
          </m:sup>
        </m:sSubSup>
      </m:oMath>
      <w:r w:rsidRPr="00734121">
        <w:rPr>
          <w:rFonts w:eastAsiaTheme="minorEastAsia"/>
        </w:rPr>
        <w:t xml:space="preserve"> and the total tumour volume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tumour</m:t>
            </m:r>
          </m:sub>
        </m:sSub>
        <m:d>
          <m:dPr>
            <m:ctrlPr>
              <w:rPr>
                <w:rFonts w:ascii="Cambria Math" w:eastAsiaTheme="minorEastAsia" w:hAnsi="Cambria Math"/>
                <w:i/>
              </w:rPr>
            </m:ctrlPr>
          </m:dPr>
          <m:e>
            <m:r>
              <w:rPr>
                <w:rFonts w:ascii="Cambria Math" w:eastAsiaTheme="minorEastAsia" w:hAnsi="Cambria Math"/>
              </w:rPr>
              <m:t>t+dt</m:t>
            </m:r>
          </m:e>
        </m:d>
      </m:oMath>
      <w:r w:rsidRPr="00734121">
        <w:rPr>
          <w:rFonts w:eastAsiaTheme="minorEastAsia"/>
        </w:rPr>
        <w:t>, leading to an increase in core volume:</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EA7DD2" w:rsidRPr="00734121" w14:paraId="08DA069E" w14:textId="77777777" w:rsidTr="001E2DA7">
        <w:tc>
          <w:tcPr>
            <w:tcW w:w="17" w:type="pct"/>
            <w:vAlign w:val="center"/>
          </w:tcPr>
          <w:p w14:paraId="59A61AFB" w14:textId="77777777" w:rsidR="00EA7DD2" w:rsidRPr="00734121" w:rsidRDefault="00EA7DD2" w:rsidP="00EA7DD2">
            <w:pPr>
              <w:pStyle w:val="BodyText"/>
              <w:spacing w:before="0" w:line="360" w:lineRule="auto"/>
              <w:jc w:val="center"/>
              <w:rPr>
                <w:lang w:val="en-GB"/>
              </w:rPr>
            </w:pPr>
          </w:p>
        </w:tc>
        <w:tc>
          <w:tcPr>
            <w:tcW w:w="4617" w:type="pct"/>
            <w:vAlign w:val="center"/>
          </w:tcPr>
          <w:p w14:paraId="546601AC" w14:textId="3D2DF352" w:rsidR="00EA7DD2" w:rsidRPr="00EA7DD2" w:rsidRDefault="004F1A48" w:rsidP="00EA7DD2">
            <w:pPr>
              <w:tabs>
                <w:tab w:val="left" w:pos="1495"/>
              </w:tabs>
              <w:spacing w:line="360" w:lineRule="auto"/>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core</m:t>
                    </m:r>
                  </m:sub>
                </m:sSub>
                <m:d>
                  <m:dPr>
                    <m:ctrlPr>
                      <w:rPr>
                        <w:rFonts w:ascii="Cambria Math" w:eastAsiaTheme="minorEastAsia" w:hAnsi="Cambria Math"/>
                        <w:i/>
                      </w:rPr>
                    </m:ctrlPr>
                  </m:dPr>
                  <m:e>
                    <m:r>
                      <w:rPr>
                        <w:rFonts w:ascii="Cambria Math" w:eastAsiaTheme="minorEastAsia" w:hAnsi="Cambria Math"/>
                      </w:rPr>
                      <m:t>t+dt</m:t>
                    </m:r>
                  </m:e>
                </m:d>
                <m:r>
                  <m:rPr>
                    <m:aln/>
                  </m:rP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tumour</m:t>
                    </m:r>
                  </m:sub>
                </m:sSub>
                <m:d>
                  <m:dPr>
                    <m:ctrlPr>
                      <w:rPr>
                        <w:rFonts w:ascii="Cambria Math" w:eastAsiaTheme="minorEastAsia" w:hAnsi="Cambria Math"/>
                        <w:i/>
                      </w:rPr>
                    </m:ctrlPr>
                  </m:dPr>
                  <m:e>
                    <m:r>
                      <w:rPr>
                        <w:rFonts w:ascii="Cambria Math" w:eastAsiaTheme="minorEastAsia" w:hAnsi="Cambria Math"/>
                      </w:rPr>
                      <m:t>t+dt</m:t>
                    </m:r>
                  </m:e>
                </m:d>
                <m:r>
                  <w:rPr>
                    <w:rFonts w:ascii="Cambria Math" w:eastAsiaTheme="minorEastAsia" w:hAnsi="Cambria Math"/>
                  </w:rPr>
                  <m:t>-</m:t>
                </m:r>
                <m:sSubSup>
                  <m:sSubSupPr>
                    <m:ctrlPr>
                      <w:rPr>
                        <w:rFonts w:ascii="Cambria Math" w:hAnsi="Cambria Math"/>
                        <w:i/>
                      </w:rPr>
                    </m:ctrlPr>
                  </m:sSubSupPr>
                  <m:e>
                    <m:r>
                      <w:rPr>
                        <w:rFonts w:ascii="Cambria Math" w:hAnsi="Cambria Math"/>
                      </w:rPr>
                      <m:t>r</m:t>
                    </m:r>
                  </m:e>
                  <m:sub>
                    <m:r>
                      <w:rPr>
                        <w:rFonts w:ascii="Cambria Math" w:hAnsi="Cambria Math"/>
                      </w:rPr>
                      <m:t>shell</m:t>
                    </m:r>
                  </m:sub>
                  <m:sup>
                    <m:r>
                      <w:rPr>
                        <w:rFonts w:ascii="Cambria Math" w:hAnsi="Cambria Math"/>
                      </w:rPr>
                      <m:t>MAX</m:t>
                    </m:r>
                  </m:sup>
                </m:sSubSup>
                <m:r>
                  <m:rPr>
                    <m:sty m:val="p"/>
                  </m:rPr>
                  <w:rPr>
                    <w:rFonts w:ascii="Cambria Math" w:hAnsi="Cambria Math"/>
                  </w:rPr>
                  <w:br/>
                </m:r>
              </m:oMath>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core</m:t>
                    </m:r>
                  </m:sub>
                </m:sSub>
                <m:r>
                  <w:rPr>
                    <w:rFonts w:ascii="Cambria Math" w:eastAsiaTheme="minorEastAsia" w:hAnsi="Cambria Math"/>
                  </w:rPr>
                  <m:t>(t+dt)</m:t>
                </m:r>
                <m:r>
                  <m:rPr>
                    <m:aln/>
                  </m:rP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m:t>
                    </m:r>
                  </m:num>
                  <m:den>
                    <m:r>
                      <w:rPr>
                        <w:rFonts w:ascii="Cambria Math" w:eastAsiaTheme="minorEastAsia" w:hAnsi="Cambria Math"/>
                      </w:rPr>
                      <m:t>3</m:t>
                    </m:r>
                  </m:den>
                </m:f>
                <m:r>
                  <w:rPr>
                    <w:rFonts w:ascii="Cambria Math" w:eastAsiaTheme="minorEastAsia" w:hAnsi="Cambria Math"/>
                  </w:rPr>
                  <m:t>π</m:t>
                </m:r>
                <m:sSup>
                  <m:sSupPr>
                    <m:ctrlPr>
                      <w:rPr>
                        <w:rFonts w:ascii="Cambria Math" w:eastAsiaTheme="minorEastAsia" w:hAnsi="Cambria Math"/>
                        <w:i/>
                      </w:rPr>
                    </m:ctrlPr>
                  </m:sSupPr>
                  <m:e>
                    <m:r>
                      <m:rPr>
                        <m:sty m:val="p"/>
                      </m:rP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core</m:t>
                        </m:r>
                      </m:sub>
                    </m:sSub>
                    <m:d>
                      <m:dPr>
                        <m:ctrlPr>
                          <w:rPr>
                            <w:rFonts w:ascii="Cambria Math" w:eastAsiaTheme="minorEastAsia" w:hAnsi="Cambria Math"/>
                            <w:i/>
                          </w:rPr>
                        </m:ctrlPr>
                      </m:dPr>
                      <m:e>
                        <m:r>
                          <w:rPr>
                            <w:rFonts w:ascii="Cambria Math" w:eastAsiaTheme="minorEastAsia" w:hAnsi="Cambria Math"/>
                          </w:rPr>
                          <m:t>t+dt</m:t>
                        </m:r>
                      </m:e>
                    </m:d>
                    <m:r>
                      <w:rPr>
                        <w:rFonts w:ascii="Cambria Math" w:eastAsiaTheme="minorEastAsia" w:hAnsi="Cambria Math"/>
                      </w:rPr>
                      <m:t>)</m:t>
                    </m:r>
                  </m:e>
                  <m:sup>
                    <m:r>
                      <w:rPr>
                        <w:rFonts w:ascii="Cambria Math" w:eastAsiaTheme="minorEastAsia" w:hAnsi="Cambria Math"/>
                      </w:rPr>
                      <m:t>3</m:t>
                    </m:r>
                  </m:sup>
                </m:sSup>
              </m:oMath>
            </m:oMathPara>
          </w:p>
        </w:tc>
        <w:tc>
          <w:tcPr>
            <w:tcW w:w="367" w:type="pct"/>
            <w:vAlign w:val="center"/>
          </w:tcPr>
          <w:p w14:paraId="685B124D" w14:textId="3A1DE30B" w:rsidR="00EA7DD2" w:rsidRPr="00734121" w:rsidRDefault="00EA7DD2" w:rsidP="00EA7DD2">
            <w:pPr>
              <w:pStyle w:val="Caption"/>
              <w:spacing w:before="0" w:after="0" w:line="360" w:lineRule="auto"/>
              <w:ind w:left="2019" w:hanging="2019"/>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9C6E64">
              <w:rPr>
                <w:rFonts w:asciiTheme="minorHAnsi" w:hAnsiTheme="minorHAnsi" w:cstheme="minorHAnsi"/>
                <w:b w:val="0"/>
                <w:bCs/>
                <w:sz w:val="22"/>
                <w:szCs w:val="22"/>
                <w:lang w:val="en-GB"/>
              </w:rPr>
              <w:t>4</w:t>
            </w:r>
            <w:r>
              <w:rPr>
                <w:rFonts w:asciiTheme="minorHAnsi" w:hAnsiTheme="minorHAnsi" w:cstheme="minorHAnsi"/>
                <w:b w:val="0"/>
                <w:bCs/>
                <w:sz w:val="22"/>
                <w:szCs w:val="22"/>
                <w:lang w:val="en-GB"/>
              </w:rPr>
              <w:t>.6</w:t>
            </w:r>
            <w:r w:rsidRPr="00734121">
              <w:rPr>
                <w:rFonts w:asciiTheme="minorHAnsi" w:hAnsiTheme="minorHAnsi" w:cstheme="minorHAnsi"/>
                <w:b w:val="0"/>
                <w:bCs/>
                <w:sz w:val="22"/>
                <w:szCs w:val="22"/>
                <w:lang w:val="en-GB"/>
              </w:rPr>
              <w:t>)</w:t>
            </w:r>
          </w:p>
        </w:tc>
      </w:tr>
    </w:tbl>
    <w:p w14:paraId="1195B23F" w14:textId="77777777" w:rsidR="00A2305D" w:rsidRDefault="00A2305D" w:rsidP="00A2305D">
      <w:pPr>
        <w:tabs>
          <w:tab w:val="left" w:pos="709"/>
          <w:tab w:val="left" w:pos="1495"/>
        </w:tabs>
        <w:jc w:val="both"/>
        <w:rPr>
          <w:rFonts w:eastAsiaTheme="minorEastAsia"/>
        </w:rPr>
      </w:pPr>
      <w:r w:rsidRPr="00734121">
        <w:rPr>
          <w:rFonts w:eastAsiaTheme="minorEastAsia"/>
        </w:rPr>
        <w:t>The final volume of the proliferating shell is simply the difference between total and core volumes:</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EA7DD2" w:rsidRPr="00734121" w14:paraId="5756D039" w14:textId="77777777" w:rsidTr="001E2DA7">
        <w:tc>
          <w:tcPr>
            <w:tcW w:w="17" w:type="pct"/>
            <w:vAlign w:val="center"/>
          </w:tcPr>
          <w:p w14:paraId="54297316" w14:textId="77777777" w:rsidR="00EA7DD2" w:rsidRPr="00734121" w:rsidRDefault="00EA7DD2" w:rsidP="001E2DA7">
            <w:pPr>
              <w:pStyle w:val="BodyText"/>
              <w:spacing w:before="0" w:line="360" w:lineRule="auto"/>
              <w:jc w:val="center"/>
              <w:rPr>
                <w:lang w:val="en-GB"/>
              </w:rPr>
            </w:pPr>
          </w:p>
        </w:tc>
        <w:tc>
          <w:tcPr>
            <w:tcW w:w="4617" w:type="pct"/>
            <w:vAlign w:val="center"/>
          </w:tcPr>
          <w:p w14:paraId="5530F18D" w14:textId="57D36589" w:rsidR="00EA7DD2" w:rsidRPr="00EA7DD2" w:rsidRDefault="004F1A48" w:rsidP="001E2DA7">
            <w:pPr>
              <w:tabs>
                <w:tab w:val="left" w:pos="1495"/>
              </w:tabs>
              <w:spacing w:line="360" w:lineRule="auto"/>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shell</m:t>
                    </m:r>
                  </m:sub>
                </m:sSub>
                <m:d>
                  <m:dPr>
                    <m:ctrlPr>
                      <w:rPr>
                        <w:rFonts w:ascii="Cambria Math" w:eastAsiaTheme="minorEastAsia" w:hAnsi="Cambria Math"/>
                        <w:i/>
                      </w:rPr>
                    </m:ctrlPr>
                  </m:dPr>
                  <m:e>
                    <m:r>
                      <w:rPr>
                        <w:rFonts w:ascii="Cambria Math" w:eastAsiaTheme="minorEastAsia" w:hAnsi="Cambria Math"/>
                      </w:rPr>
                      <m:t>t+dt</m:t>
                    </m:r>
                  </m:e>
                </m:d>
                <m:r>
                  <m:rPr>
                    <m:aln/>
                  </m:rP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tumour</m:t>
                    </m:r>
                  </m:sub>
                </m:sSub>
                <m:d>
                  <m:dPr>
                    <m:ctrlPr>
                      <w:rPr>
                        <w:rFonts w:ascii="Cambria Math" w:eastAsiaTheme="minorEastAsia" w:hAnsi="Cambria Math"/>
                        <w:i/>
                      </w:rPr>
                    </m:ctrlPr>
                  </m:dPr>
                  <m:e>
                    <m:r>
                      <w:rPr>
                        <w:rFonts w:ascii="Cambria Math" w:eastAsiaTheme="minorEastAsia" w:hAnsi="Cambria Math"/>
                      </w:rPr>
                      <m:t>t+dt</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core</m:t>
                    </m:r>
                  </m:sub>
                </m:sSub>
                <m:r>
                  <w:rPr>
                    <w:rFonts w:ascii="Cambria Math" w:eastAsiaTheme="minorEastAsia" w:hAnsi="Cambria Math"/>
                  </w:rPr>
                  <m:t>(t+dt)</m:t>
                </m:r>
              </m:oMath>
            </m:oMathPara>
          </w:p>
        </w:tc>
        <w:tc>
          <w:tcPr>
            <w:tcW w:w="367" w:type="pct"/>
            <w:vAlign w:val="center"/>
          </w:tcPr>
          <w:p w14:paraId="51AF90E7" w14:textId="22C9DEE7" w:rsidR="00EA7DD2" w:rsidRPr="00734121" w:rsidRDefault="00EA7DD2" w:rsidP="001E2DA7">
            <w:pPr>
              <w:pStyle w:val="Caption"/>
              <w:spacing w:before="0" w:after="0" w:line="360" w:lineRule="auto"/>
              <w:ind w:left="2019" w:hanging="2019"/>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9C6E64">
              <w:rPr>
                <w:rFonts w:asciiTheme="minorHAnsi" w:hAnsiTheme="minorHAnsi" w:cstheme="minorHAnsi"/>
                <w:b w:val="0"/>
                <w:bCs/>
                <w:sz w:val="22"/>
                <w:szCs w:val="22"/>
                <w:lang w:val="en-GB"/>
              </w:rPr>
              <w:t>4</w:t>
            </w:r>
            <w:r>
              <w:rPr>
                <w:rFonts w:asciiTheme="minorHAnsi" w:hAnsiTheme="minorHAnsi" w:cstheme="minorHAnsi"/>
                <w:b w:val="0"/>
                <w:bCs/>
                <w:sz w:val="22"/>
                <w:szCs w:val="22"/>
                <w:lang w:val="en-GB"/>
              </w:rPr>
              <w:t>.7</w:t>
            </w:r>
            <w:r w:rsidRPr="00734121">
              <w:rPr>
                <w:rFonts w:asciiTheme="minorHAnsi" w:hAnsiTheme="minorHAnsi" w:cstheme="minorHAnsi"/>
                <w:b w:val="0"/>
                <w:bCs/>
                <w:sz w:val="22"/>
                <w:szCs w:val="22"/>
                <w:lang w:val="en-GB"/>
              </w:rPr>
              <w:t>)</w:t>
            </w:r>
          </w:p>
        </w:tc>
      </w:tr>
    </w:tbl>
    <w:p w14:paraId="1636ECDC" w14:textId="77777777" w:rsidR="00EA7DD2" w:rsidRPr="00734121" w:rsidRDefault="00EA7DD2" w:rsidP="00A2305D">
      <w:pPr>
        <w:tabs>
          <w:tab w:val="left" w:pos="709"/>
          <w:tab w:val="left" w:pos="1495"/>
        </w:tabs>
        <w:jc w:val="both"/>
        <w:rPr>
          <w:rFonts w:eastAsiaTheme="minorEastAsia"/>
        </w:rPr>
      </w:pPr>
    </w:p>
    <w:p w14:paraId="5ED1FC0A" w14:textId="77777777" w:rsidR="00A2305D" w:rsidRPr="00734121" w:rsidRDefault="00A2305D" w:rsidP="00A2305D">
      <w:pPr>
        <w:pStyle w:val="ListParagraph"/>
        <w:numPr>
          <w:ilvl w:val="0"/>
          <w:numId w:val="6"/>
        </w:numPr>
        <w:tabs>
          <w:tab w:val="left" w:pos="1495"/>
        </w:tabs>
        <w:spacing w:line="259" w:lineRule="auto"/>
        <w:jc w:val="both"/>
        <w:rPr>
          <w:rFonts w:eastAsiaTheme="minorEastAsia"/>
        </w:rPr>
      </w:pPr>
      <w:r w:rsidRPr="00734121">
        <w:rPr>
          <w:rFonts w:eastAsiaTheme="minorEastAsia"/>
          <w:b/>
        </w:rPr>
        <w:t xml:space="preserve">If </w:t>
      </w:r>
      <m:oMath>
        <m:sSub>
          <m:sSubPr>
            <m:ctrlPr>
              <w:rPr>
                <w:rFonts w:ascii="Cambria Math" w:eastAsiaTheme="minorEastAsia" w:hAnsi="Cambria Math"/>
                <w:b/>
                <w:i/>
              </w:rPr>
            </m:ctrlPr>
          </m:sSubPr>
          <m:e>
            <m:r>
              <m:rPr>
                <m:sty m:val="bi"/>
              </m:rPr>
              <w:rPr>
                <w:rFonts w:ascii="Cambria Math" w:eastAsiaTheme="minorEastAsia" w:hAnsi="Cambria Math"/>
              </w:rPr>
              <m:t>r</m:t>
            </m:r>
          </m:e>
          <m:sub>
            <m:r>
              <m:rPr>
                <m:sty m:val="bi"/>
              </m:rPr>
              <w:rPr>
                <w:rFonts w:ascii="Cambria Math" w:eastAsiaTheme="minorEastAsia" w:hAnsi="Cambria Math"/>
              </w:rPr>
              <m:t>shell</m:t>
            </m:r>
          </m:sub>
        </m:sSub>
        <m:d>
          <m:dPr>
            <m:ctrlPr>
              <w:rPr>
                <w:rFonts w:ascii="Cambria Math" w:eastAsiaTheme="minorEastAsia" w:hAnsi="Cambria Math"/>
                <w:b/>
                <w:i/>
              </w:rPr>
            </m:ctrlPr>
          </m:dPr>
          <m:e>
            <m:r>
              <m:rPr>
                <m:sty m:val="bi"/>
              </m:rPr>
              <w:rPr>
                <w:rFonts w:ascii="Cambria Math" w:eastAsiaTheme="minorEastAsia" w:hAnsi="Cambria Math"/>
              </w:rPr>
              <m:t>t+dt</m:t>
            </m:r>
          </m:e>
        </m:d>
        <m:r>
          <m:rPr>
            <m:sty m:val="bi"/>
          </m:rPr>
          <w:rPr>
            <w:rFonts w:ascii="Cambria Math" w:eastAsiaTheme="minorEastAsia" w:hAnsi="Cambria Math"/>
          </w:rPr>
          <m:t>&lt;</m:t>
        </m:r>
        <m:sSubSup>
          <m:sSubSupPr>
            <m:ctrlPr>
              <w:rPr>
                <w:rFonts w:ascii="Cambria Math" w:hAnsi="Cambria Math"/>
                <w:b/>
                <w:i/>
              </w:rPr>
            </m:ctrlPr>
          </m:sSubSupPr>
          <m:e>
            <m:r>
              <m:rPr>
                <m:sty m:val="bi"/>
              </m:rPr>
              <w:rPr>
                <w:rFonts w:ascii="Cambria Math" w:hAnsi="Cambria Math"/>
              </w:rPr>
              <m:t>r</m:t>
            </m:r>
          </m:e>
          <m:sub>
            <m:r>
              <m:rPr>
                <m:sty m:val="bi"/>
              </m:rPr>
              <w:rPr>
                <w:rFonts w:ascii="Cambria Math" w:hAnsi="Cambria Math"/>
              </w:rPr>
              <m:t>shell</m:t>
            </m:r>
          </m:sub>
          <m:sup>
            <m:r>
              <m:rPr>
                <m:sty m:val="bi"/>
              </m:rPr>
              <w:rPr>
                <w:rFonts w:ascii="Cambria Math" w:hAnsi="Cambria Math"/>
              </w:rPr>
              <m:t>MAX</m:t>
            </m:r>
          </m:sup>
        </m:sSubSup>
      </m:oMath>
    </w:p>
    <w:p w14:paraId="38BEEDB7" w14:textId="0D4204AE" w:rsidR="00A2305D" w:rsidRDefault="00A2305D" w:rsidP="00A2305D">
      <w:pPr>
        <w:tabs>
          <w:tab w:val="left" w:pos="1495"/>
        </w:tabs>
        <w:jc w:val="both"/>
        <w:rPr>
          <w:rFonts w:eastAsiaTheme="minorEastAsia"/>
        </w:rPr>
      </w:pPr>
      <w:r w:rsidRPr="00734121">
        <w:t xml:space="preserve">When the shell is at least partially depleted, it is assumed that the core may shrink over time at maximal rate </w:t>
      </w:r>
      <w:r w:rsidRPr="00734121">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core</m:t>
            </m:r>
          </m:sub>
        </m:sSub>
      </m:oMath>
      <w:r w:rsidR="002C487E">
        <w:rPr>
          <w:rFonts w:eastAsiaTheme="minorEastAsia"/>
        </w:rPr>
        <w:t xml:space="preserve">. </w:t>
      </w:r>
      <w:r w:rsidRPr="00734121">
        <w:t xml:space="preserve">The </w:t>
      </w:r>
      <w:r w:rsidRPr="00734121">
        <w:rPr>
          <w:rFonts w:eastAsiaTheme="minorEastAsia"/>
        </w:rPr>
        <w:t>rate of core shrinkage is impacted by the rate of depletion of the shell:</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991476" w:rsidRPr="00734121" w14:paraId="614C989F" w14:textId="77777777" w:rsidTr="001E2DA7">
        <w:tc>
          <w:tcPr>
            <w:tcW w:w="17" w:type="pct"/>
            <w:vAlign w:val="center"/>
          </w:tcPr>
          <w:p w14:paraId="0B3098F3" w14:textId="77777777" w:rsidR="00991476" w:rsidRPr="00734121" w:rsidRDefault="00991476" w:rsidP="001E2DA7">
            <w:pPr>
              <w:pStyle w:val="BodyText"/>
              <w:spacing w:before="0" w:line="360" w:lineRule="auto"/>
              <w:jc w:val="center"/>
              <w:rPr>
                <w:lang w:val="en-GB"/>
              </w:rPr>
            </w:pPr>
          </w:p>
        </w:tc>
        <w:tc>
          <w:tcPr>
            <w:tcW w:w="4617" w:type="pct"/>
            <w:vAlign w:val="center"/>
          </w:tcPr>
          <w:p w14:paraId="62684C03" w14:textId="4A7FF53C" w:rsidR="00991476" w:rsidRPr="00EA7DD2" w:rsidRDefault="004F1A48" w:rsidP="001E2DA7">
            <w:pPr>
              <w:tabs>
                <w:tab w:val="left" w:pos="1495"/>
              </w:tabs>
              <w:spacing w:line="360" w:lineRule="auto"/>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core</m:t>
                    </m:r>
                  </m:sub>
                </m:sSub>
                <m:d>
                  <m:dPr>
                    <m:ctrlPr>
                      <w:rPr>
                        <w:rFonts w:ascii="Cambria Math" w:eastAsiaTheme="minorEastAsia" w:hAnsi="Cambria Math"/>
                        <w:i/>
                      </w:rPr>
                    </m:ctrlPr>
                  </m:dPr>
                  <m:e>
                    <m:r>
                      <w:rPr>
                        <w:rFonts w:ascii="Cambria Math" w:eastAsiaTheme="minorEastAsia" w:hAnsi="Cambria Math"/>
                      </w:rPr>
                      <m:t>t+dt</m:t>
                    </m:r>
                  </m:e>
                </m:d>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core</m:t>
                    </m:r>
                  </m:sub>
                </m:sSub>
                <m:d>
                  <m:dPr>
                    <m:ctrlPr>
                      <w:rPr>
                        <w:rFonts w:ascii="Cambria Math" w:eastAsiaTheme="minorEastAsia" w:hAnsi="Cambria Math"/>
                        <w:i/>
                      </w:rPr>
                    </m:ctrlPr>
                  </m:dPr>
                  <m:e>
                    <m:r>
                      <w:rPr>
                        <w:rFonts w:ascii="Cambria Math" w:eastAsiaTheme="minorEastAsia" w:hAnsi="Cambria Math"/>
                      </w:rPr>
                      <m:t>t+dt</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core</m:t>
                        </m:r>
                      </m:sub>
                    </m:sSub>
                    <m:d>
                      <m:dPr>
                        <m:ctrlPr>
                          <w:rPr>
                            <w:rFonts w:ascii="Cambria Math" w:eastAsiaTheme="minorEastAsia" w:hAnsi="Cambria Math"/>
                            <w:i/>
                          </w:rPr>
                        </m:ctrlPr>
                      </m:dPr>
                      <m:e>
                        <m:f>
                          <m:fPr>
                            <m:ctrlPr>
                              <w:rPr>
                                <w:rFonts w:ascii="Cambria Math" w:eastAsiaTheme="minorEastAsia" w:hAnsi="Cambria Math"/>
                                <w:i/>
                              </w:rPr>
                            </m:ctrlPr>
                          </m:fPr>
                          <m:num>
                            <m:sSubSup>
                              <m:sSubSupPr>
                                <m:ctrlPr>
                                  <w:rPr>
                                    <w:rFonts w:ascii="Cambria Math" w:hAnsi="Cambria Math"/>
                                    <w:bCs/>
                                    <w:i/>
                                  </w:rPr>
                                </m:ctrlPr>
                              </m:sSubSupPr>
                              <m:e>
                                <m:r>
                                  <w:rPr>
                                    <w:rFonts w:ascii="Cambria Math" w:hAnsi="Cambria Math"/>
                                  </w:rPr>
                                  <m:t>r</m:t>
                                </m:r>
                              </m:e>
                              <m:sub>
                                <m:r>
                                  <w:rPr>
                                    <w:rFonts w:ascii="Cambria Math" w:hAnsi="Cambria Math"/>
                                  </w:rPr>
                                  <m:t>shell</m:t>
                                </m:r>
                              </m:sub>
                              <m:sup>
                                <m:r>
                                  <w:rPr>
                                    <w:rFonts w:ascii="Cambria Math" w:hAnsi="Cambria Math"/>
                                  </w:rPr>
                                  <m:t>MAX</m:t>
                                </m:r>
                              </m:sup>
                            </m:sSubSup>
                            <m:r>
                              <w:rPr>
                                <w:rFonts w:ascii="Cambria Math" w:eastAsiaTheme="minorEastAsia" w:hAnsi="Cambria Math"/>
                              </w:rPr>
                              <m:t>-</m:t>
                            </m:r>
                            <m:sSub>
                              <m:sSubPr>
                                <m:ctrlPr>
                                  <w:rPr>
                                    <w:rFonts w:ascii="Cambria Math" w:eastAsiaTheme="minorEastAsia" w:hAnsi="Cambria Math"/>
                                    <w:bCs/>
                                    <w:i/>
                                  </w:rPr>
                                </m:ctrlPr>
                              </m:sSubPr>
                              <m:e>
                                <m:r>
                                  <w:rPr>
                                    <w:rFonts w:ascii="Cambria Math" w:eastAsiaTheme="minorEastAsia" w:hAnsi="Cambria Math"/>
                                  </w:rPr>
                                  <m:t>r</m:t>
                                </m:r>
                              </m:e>
                              <m:sub>
                                <m:r>
                                  <w:rPr>
                                    <w:rFonts w:ascii="Cambria Math" w:eastAsiaTheme="minorEastAsia" w:hAnsi="Cambria Math"/>
                                  </w:rPr>
                                  <m:t>shell</m:t>
                                </m:r>
                              </m:sub>
                            </m:sSub>
                            <m:d>
                              <m:dPr>
                                <m:ctrlPr>
                                  <w:rPr>
                                    <w:rFonts w:ascii="Cambria Math" w:eastAsiaTheme="minorEastAsia" w:hAnsi="Cambria Math"/>
                                    <w:bCs/>
                                    <w:i/>
                                  </w:rPr>
                                </m:ctrlPr>
                              </m:dPr>
                              <m:e>
                                <m:r>
                                  <w:rPr>
                                    <w:rFonts w:ascii="Cambria Math" w:eastAsiaTheme="minorEastAsia" w:hAnsi="Cambria Math"/>
                                  </w:rPr>
                                  <m:t>t+dt</m:t>
                                </m:r>
                              </m:e>
                            </m:d>
                          </m:num>
                          <m:den>
                            <m:sSubSup>
                              <m:sSubSupPr>
                                <m:ctrlPr>
                                  <w:rPr>
                                    <w:rFonts w:ascii="Cambria Math" w:hAnsi="Cambria Math"/>
                                    <w:bCs/>
                                    <w:i/>
                                  </w:rPr>
                                </m:ctrlPr>
                              </m:sSubSupPr>
                              <m:e>
                                <m:r>
                                  <w:rPr>
                                    <w:rFonts w:ascii="Cambria Math" w:hAnsi="Cambria Math"/>
                                  </w:rPr>
                                  <m:t>r</m:t>
                                </m:r>
                              </m:e>
                              <m:sub>
                                <m:r>
                                  <w:rPr>
                                    <w:rFonts w:ascii="Cambria Math" w:hAnsi="Cambria Math"/>
                                  </w:rPr>
                                  <m:t>shell</m:t>
                                </m:r>
                              </m:sub>
                              <m:sup>
                                <m:r>
                                  <w:rPr>
                                    <w:rFonts w:ascii="Cambria Math" w:hAnsi="Cambria Math"/>
                                  </w:rPr>
                                  <m:t>MAX</m:t>
                                </m:r>
                              </m:sup>
                            </m:sSubSup>
                          </m:den>
                        </m:f>
                      </m:e>
                    </m:d>
                    <m:r>
                      <w:rPr>
                        <w:rFonts w:ascii="Cambria Math" w:eastAsiaTheme="minorEastAsia" w:hAnsi="Cambria Math"/>
                      </w:rPr>
                      <m:t>*dt</m:t>
                    </m:r>
                  </m:e>
                </m:d>
              </m:oMath>
            </m:oMathPara>
          </w:p>
        </w:tc>
        <w:tc>
          <w:tcPr>
            <w:tcW w:w="367" w:type="pct"/>
            <w:vAlign w:val="center"/>
          </w:tcPr>
          <w:p w14:paraId="5638EF99" w14:textId="32650A88" w:rsidR="00991476" w:rsidRPr="00734121" w:rsidRDefault="00991476" w:rsidP="001E2DA7">
            <w:pPr>
              <w:pStyle w:val="Caption"/>
              <w:spacing w:before="0" w:after="0" w:line="360" w:lineRule="auto"/>
              <w:ind w:left="2019" w:hanging="2019"/>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9C6E64">
              <w:rPr>
                <w:rFonts w:asciiTheme="minorHAnsi" w:hAnsiTheme="minorHAnsi" w:cstheme="minorHAnsi"/>
                <w:b w:val="0"/>
                <w:bCs/>
                <w:sz w:val="22"/>
                <w:szCs w:val="22"/>
                <w:lang w:val="en-GB"/>
              </w:rPr>
              <w:t>4</w:t>
            </w:r>
            <w:r>
              <w:rPr>
                <w:rFonts w:asciiTheme="minorHAnsi" w:hAnsiTheme="minorHAnsi" w:cstheme="minorHAnsi"/>
                <w:b w:val="0"/>
                <w:bCs/>
                <w:sz w:val="22"/>
                <w:szCs w:val="22"/>
                <w:lang w:val="en-GB"/>
              </w:rPr>
              <w:t>.8</w:t>
            </w:r>
            <w:r w:rsidRPr="00734121">
              <w:rPr>
                <w:rFonts w:asciiTheme="minorHAnsi" w:hAnsiTheme="minorHAnsi" w:cstheme="minorHAnsi"/>
                <w:b w:val="0"/>
                <w:bCs/>
                <w:sz w:val="22"/>
                <w:szCs w:val="22"/>
                <w:lang w:val="en-GB"/>
              </w:rPr>
              <w:t>)</w:t>
            </w:r>
          </w:p>
        </w:tc>
      </w:tr>
    </w:tbl>
    <w:p w14:paraId="47A98DDA" w14:textId="77777777" w:rsidR="00A2305D" w:rsidRDefault="00A2305D" w:rsidP="00A2305D">
      <w:pPr>
        <w:pStyle w:val="ListParagraph"/>
        <w:tabs>
          <w:tab w:val="left" w:pos="1495"/>
        </w:tabs>
        <w:ind w:left="0"/>
        <w:jc w:val="both"/>
        <w:rPr>
          <w:rFonts w:eastAsiaTheme="minorEastAsia"/>
        </w:rPr>
      </w:pPr>
      <w:r w:rsidRPr="00734121">
        <w:rPr>
          <w:rFonts w:eastAsiaTheme="minorEastAsia"/>
        </w:rPr>
        <w:t>The final core volume and total tumour volume are then updated as follows:</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96178F" w:rsidRPr="00734121" w14:paraId="519193E5" w14:textId="77777777" w:rsidTr="001E2DA7">
        <w:tc>
          <w:tcPr>
            <w:tcW w:w="17" w:type="pct"/>
            <w:vAlign w:val="center"/>
          </w:tcPr>
          <w:p w14:paraId="0A6044A1" w14:textId="77777777" w:rsidR="0096178F" w:rsidRPr="00734121" w:rsidRDefault="0096178F" w:rsidP="004B03F2">
            <w:pPr>
              <w:pStyle w:val="BodyText"/>
              <w:spacing w:before="0" w:line="360" w:lineRule="auto"/>
              <w:jc w:val="center"/>
              <w:rPr>
                <w:lang w:val="en-GB"/>
              </w:rPr>
            </w:pPr>
          </w:p>
        </w:tc>
        <w:tc>
          <w:tcPr>
            <w:tcW w:w="4617" w:type="pct"/>
            <w:vAlign w:val="center"/>
          </w:tcPr>
          <w:p w14:paraId="2A357DA0" w14:textId="5AF95BAE" w:rsidR="0096178F" w:rsidRPr="00EA7DD2" w:rsidRDefault="004F1A48" w:rsidP="004B03F2">
            <w:pPr>
              <w:tabs>
                <w:tab w:val="left" w:pos="1495"/>
              </w:tabs>
              <w:spacing w:line="360" w:lineRule="auto"/>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core</m:t>
                    </m:r>
                  </m:sub>
                </m:sSub>
                <m:r>
                  <w:rPr>
                    <w:rFonts w:ascii="Cambria Math" w:eastAsiaTheme="minorEastAsia" w:hAnsi="Cambria Math"/>
                  </w:rPr>
                  <m:t>(t+dt)</m:t>
                </m:r>
                <m:r>
                  <m:rPr>
                    <m:aln/>
                  </m:rP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m:t>
                    </m:r>
                  </m:num>
                  <m:den>
                    <m:r>
                      <w:rPr>
                        <w:rFonts w:ascii="Cambria Math" w:eastAsiaTheme="minorEastAsia" w:hAnsi="Cambria Math"/>
                      </w:rPr>
                      <m:t>3</m:t>
                    </m:r>
                  </m:den>
                </m:f>
                <m:r>
                  <w:rPr>
                    <w:rFonts w:ascii="Cambria Math" w:eastAsiaTheme="minorEastAsia" w:hAnsi="Cambria Math"/>
                  </w:rPr>
                  <m:t>π</m:t>
                </m:r>
                <m:sSup>
                  <m:sSupPr>
                    <m:ctrlPr>
                      <w:rPr>
                        <w:rFonts w:ascii="Cambria Math" w:eastAsiaTheme="minorEastAsia" w:hAnsi="Cambria Math"/>
                        <w:i/>
                      </w:rPr>
                    </m:ctrlPr>
                  </m:sSupPr>
                  <m:e>
                    <m:r>
                      <m:rPr>
                        <m:sty m:val="p"/>
                      </m:rP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core</m:t>
                        </m:r>
                      </m:sub>
                    </m:sSub>
                    <m:d>
                      <m:dPr>
                        <m:ctrlPr>
                          <w:rPr>
                            <w:rFonts w:ascii="Cambria Math" w:eastAsiaTheme="minorEastAsia" w:hAnsi="Cambria Math"/>
                            <w:i/>
                          </w:rPr>
                        </m:ctrlPr>
                      </m:dPr>
                      <m:e>
                        <m:r>
                          <w:rPr>
                            <w:rFonts w:ascii="Cambria Math" w:eastAsiaTheme="minorEastAsia" w:hAnsi="Cambria Math"/>
                          </w:rPr>
                          <m:t>t+dt</m:t>
                        </m:r>
                      </m:e>
                    </m:d>
                    <m:r>
                      <w:rPr>
                        <w:rFonts w:ascii="Cambria Math" w:eastAsiaTheme="minorEastAsia" w:hAnsi="Cambria Math"/>
                      </w:rPr>
                      <m:t>)</m:t>
                    </m:r>
                  </m:e>
                  <m:sup>
                    <m:r>
                      <w:rPr>
                        <w:rFonts w:ascii="Cambria Math" w:eastAsiaTheme="minorEastAsia" w:hAnsi="Cambria Math"/>
                      </w:rPr>
                      <m:t>3</m:t>
                    </m:r>
                  </m:sup>
                </m:sSup>
                <m:r>
                  <m:rPr>
                    <m:sty m:val="p"/>
                  </m:rPr>
                  <w:rPr>
                    <w:rFonts w:ascii="Cambria Math" w:eastAsiaTheme="minorEastAsia" w:hAnsi="Cambria Math"/>
                  </w:rPr>
                  <w:br/>
                </m:r>
              </m:oMath>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tumour</m:t>
                    </m:r>
                  </m:sub>
                </m:sSub>
                <m:d>
                  <m:dPr>
                    <m:ctrlPr>
                      <w:rPr>
                        <w:rFonts w:ascii="Cambria Math" w:eastAsiaTheme="minorEastAsia" w:hAnsi="Cambria Math"/>
                        <w:i/>
                      </w:rPr>
                    </m:ctrlPr>
                  </m:dPr>
                  <m:e>
                    <m:r>
                      <w:rPr>
                        <w:rFonts w:ascii="Cambria Math" w:eastAsiaTheme="minorEastAsia" w:hAnsi="Cambria Math"/>
                      </w:rPr>
                      <m:t>t+dt</m:t>
                    </m:r>
                  </m:e>
                </m:d>
                <m:r>
                  <m:rPr>
                    <m:aln/>
                  </m:rP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core</m:t>
                    </m:r>
                  </m:sub>
                </m:sSub>
                <m:d>
                  <m:dPr>
                    <m:ctrlPr>
                      <w:rPr>
                        <w:rFonts w:ascii="Cambria Math" w:eastAsiaTheme="minorEastAsia" w:hAnsi="Cambria Math"/>
                        <w:i/>
                      </w:rPr>
                    </m:ctrlPr>
                  </m:dPr>
                  <m:e>
                    <m:r>
                      <w:rPr>
                        <w:rFonts w:ascii="Cambria Math" w:eastAsiaTheme="minorEastAsia" w:hAnsi="Cambria Math"/>
                      </w:rPr>
                      <m:t>t+dt</m:t>
                    </m:r>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shell</m:t>
                    </m:r>
                  </m:sub>
                </m:sSub>
                <m:d>
                  <m:dPr>
                    <m:ctrlPr>
                      <w:rPr>
                        <w:rFonts w:ascii="Cambria Math" w:eastAsiaTheme="minorEastAsia" w:hAnsi="Cambria Math"/>
                        <w:i/>
                      </w:rPr>
                    </m:ctrlPr>
                  </m:dPr>
                  <m:e>
                    <m:r>
                      <w:rPr>
                        <w:rFonts w:ascii="Cambria Math" w:eastAsiaTheme="minorEastAsia" w:hAnsi="Cambria Math"/>
                      </w:rPr>
                      <m:t>t+dt</m:t>
                    </m:r>
                  </m:e>
                </m:d>
              </m:oMath>
            </m:oMathPara>
          </w:p>
        </w:tc>
        <w:tc>
          <w:tcPr>
            <w:tcW w:w="367" w:type="pct"/>
            <w:vAlign w:val="center"/>
          </w:tcPr>
          <w:p w14:paraId="6121323F" w14:textId="7F7ACF8C" w:rsidR="0096178F" w:rsidRPr="00734121" w:rsidRDefault="0096178F" w:rsidP="004B03F2">
            <w:pPr>
              <w:pStyle w:val="Caption"/>
              <w:spacing w:before="0" w:after="0" w:line="360" w:lineRule="auto"/>
              <w:ind w:left="2019" w:hanging="2019"/>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9C6E64">
              <w:rPr>
                <w:rFonts w:asciiTheme="minorHAnsi" w:hAnsiTheme="minorHAnsi" w:cstheme="minorHAnsi"/>
                <w:b w:val="0"/>
                <w:bCs/>
                <w:sz w:val="22"/>
                <w:szCs w:val="22"/>
                <w:lang w:val="en-GB"/>
              </w:rPr>
              <w:t>4</w:t>
            </w:r>
            <w:r>
              <w:rPr>
                <w:rFonts w:asciiTheme="minorHAnsi" w:hAnsiTheme="minorHAnsi" w:cstheme="minorHAnsi"/>
                <w:b w:val="0"/>
                <w:bCs/>
                <w:sz w:val="22"/>
                <w:szCs w:val="22"/>
                <w:lang w:val="en-GB"/>
              </w:rPr>
              <w:t>.9)</w:t>
            </w:r>
          </w:p>
        </w:tc>
      </w:tr>
    </w:tbl>
    <w:p w14:paraId="1A52326C" w14:textId="77777777" w:rsidR="0096178F" w:rsidRPr="00734121" w:rsidRDefault="0096178F" w:rsidP="00A2305D">
      <w:pPr>
        <w:pStyle w:val="ListParagraph"/>
        <w:tabs>
          <w:tab w:val="left" w:pos="1495"/>
        </w:tabs>
        <w:ind w:left="0"/>
        <w:jc w:val="both"/>
        <w:rPr>
          <w:rFonts w:eastAsiaTheme="minorEastAsia"/>
        </w:rPr>
      </w:pPr>
    </w:p>
    <w:p w14:paraId="63CA01BB" w14:textId="77777777" w:rsidR="00A2305D" w:rsidRPr="00734121" w:rsidRDefault="00A2305D" w:rsidP="00A2305D">
      <w:pPr>
        <w:pStyle w:val="ListParagraph"/>
        <w:numPr>
          <w:ilvl w:val="0"/>
          <w:numId w:val="6"/>
        </w:numPr>
        <w:tabs>
          <w:tab w:val="left" w:pos="1495"/>
        </w:tabs>
        <w:spacing w:line="259" w:lineRule="auto"/>
        <w:jc w:val="both"/>
      </w:pPr>
      <w:r w:rsidRPr="00734121">
        <w:rPr>
          <w:b/>
          <w:bCs/>
        </w:rPr>
        <w:t>Initialisation</w:t>
      </w:r>
    </w:p>
    <w:p w14:paraId="57B1520D" w14:textId="462E61B0" w:rsidR="00A2305D" w:rsidRDefault="00A2305D" w:rsidP="00A2305D">
      <w:pPr>
        <w:tabs>
          <w:tab w:val="left" w:pos="1495"/>
        </w:tabs>
        <w:jc w:val="both"/>
      </w:pPr>
      <w:r w:rsidRPr="00734121">
        <w:t>The total tumour volume</w:t>
      </w:r>
      <w:r w:rsidRPr="00734121">
        <w:rPr>
          <w:rFonts w:eastAsiaTheme="minorEastAsia"/>
        </w:rPr>
        <w:t xml:space="preserve"> </w:t>
      </w:r>
      <m:oMath>
        <m:sSub>
          <m:sSubPr>
            <m:ctrlPr>
              <w:rPr>
                <w:rFonts w:ascii="Cambria Math" w:hAnsi="Cambria Math"/>
                <w:i/>
              </w:rPr>
            </m:ctrlPr>
          </m:sSubPr>
          <m:e>
            <m:r>
              <w:rPr>
                <w:rFonts w:ascii="Cambria Math" w:hAnsi="Cambria Math"/>
              </w:rPr>
              <m:t>V</m:t>
            </m:r>
          </m:e>
          <m:sub>
            <m:r>
              <w:rPr>
                <w:rFonts w:ascii="Cambria Math" w:hAnsi="Cambria Math"/>
              </w:rPr>
              <m:t>tumor</m:t>
            </m:r>
          </m:sub>
        </m:sSub>
        <m:d>
          <m:dPr>
            <m:ctrlPr>
              <w:rPr>
                <w:rFonts w:ascii="Cambria Math" w:hAnsi="Cambria Math"/>
                <w:i/>
              </w:rPr>
            </m:ctrlPr>
          </m:dPr>
          <m:e>
            <m:r>
              <w:rPr>
                <w:rFonts w:ascii="Cambria Math" w:hAnsi="Cambria Math"/>
              </w:rPr>
              <m:t>0</m:t>
            </m:r>
          </m:e>
        </m:d>
      </m:oMath>
      <w:r w:rsidRPr="00734121">
        <w:t xml:space="preserve"> is initialised to the average tumour volume across animals at day 0 for each experimental arm. The shell is assumed to be at maximal thickness </w:t>
      </w:r>
      <m:oMath>
        <m:sSub>
          <m:sSubPr>
            <m:ctrlPr>
              <w:rPr>
                <w:rFonts w:ascii="Cambria Math" w:eastAsiaTheme="minorEastAsia" w:hAnsi="Cambria Math"/>
                <w:bCs/>
                <w:i/>
              </w:rPr>
            </m:ctrlPr>
          </m:sSubPr>
          <m:e>
            <m:r>
              <w:rPr>
                <w:rFonts w:ascii="Cambria Math" w:eastAsiaTheme="minorEastAsia" w:hAnsi="Cambria Math"/>
              </w:rPr>
              <m:t>r</m:t>
            </m:r>
          </m:e>
          <m:sub>
            <m:r>
              <w:rPr>
                <w:rFonts w:ascii="Cambria Math" w:eastAsiaTheme="minorEastAsia" w:hAnsi="Cambria Math"/>
              </w:rPr>
              <m:t>shell</m:t>
            </m:r>
          </m:sub>
        </m:sSub>
        <m:d>
          <m:dPr>
            <m:ctrlPr>
              <w:rPr>
                <w:rFonts w:ascii="Cambria Math" w:eastAsiaTheme="minorEastAsia" w:hAnsi="Cambria Math"/>
                <w:bCs/>
                <w:i/>
              </w:rPr>
            </m:ctrlPr>
          </m:dPr>
          <m:e>
            <m:r>
              <w:rPr>
                <w:rFonts w:ascii="Cambria Math" w:eastAsiaTheme="minorEastAsia" w:hAnsi="Cambria Math"/>
              </w:rPr>
              <m:t>0</m:t>
            </m:r>
          </m:e>
        </m:d>
        <m:r>
          <w:rPr>
            <w:rFonts w:ascii="Cambria Math" w:eastAsiaTheme="minorEastAsia" w:hAnsi="Cambria Math"/>
          </w:rPr>
          <m:t>=</m:t>
        </m:r>
        <m:sSubSup>
          <m:sSubSupPr>
            <m:ctrlPr>
              <w:rPr>
                <w:rFonts w:ascii="Cambria Math" w:hAnsi="Cambria Math"/>
                <w:bCs/>
                <w:i/>
              </w:rPr>
            </m:ctrlPr>
          </m:sSubSupPr>
          <m:e>
            <m:r>
              <w:rPr>
                <w:rFonts w:ascii="Cambria Math" w:hAnsi="Cambria Math"/>
              </w:rPr>
              <m:t>r</m:t>
            </m:r>
          </m:e>
          <m:sub>
            <m:r>
              <w:rPr>
                <w:rFonts w:ascii="Cambria Math" w:hAnsi="Cambria Math"/>
              </w:rPr>
              <m:t>shell</m:t>
            </m:r>
          </m:sub>
          <m:sup>
            <m:r>
              <w:rPr>
                <w:rFonts w:ascii="Cambria Math" w:hAnsi="Cambria Math"/>
              </w:rPr>
              <m:t>MAX</m:t>
            </m:r>
          </m:sup>
        </m:sSubSup>
      </m:oMath>
      <w:r w:rsidRPr="00734121">
        <w:rPr>
          <w:rFonts w:eastAsiaTheme="minorEastAsia"/>
        </w:rPr>
        <w:t>.</w:t>
      </w:r>
      <w:r w:rsidRPr="00734121">
        <w:tab/>
      </w:r>
    </w:p>
    <w:p w14:paraId="021B1444" w14:textId="77777777" w:rsidR="00F218DF" w:rsidRPr="00734121" w:rsidRDefault="00F218DF" w:rsidP="00A2305D">
      <w:pPr>
        <w:tabs>
          <w:tab w:val="left" w:pos="1495"/>
        </w:tabs>
        <w:jc w:val="both"/>
        <w:rPr>
          <w:rFonts w:eastAsiaTheme="minorEastAsia"/>
        </w:rPr>
      </w:pPr>
    </w:p>
    <w:p w14:paraId="15B2EB49" w14:textId="0F17CA05" w:rsidR="00A2305D" w:rsidRPr="00734121" w:rsidRDefault="00A2305D" w:rsidP="009C6E64">
      <w:pPr>
        <w:pStyle w:val="Heading2"/>
        <w:numPr>
          <w:ilvl w:val="0"/>
          <w:numId w:val="10"/>
        </w:numPr>
        <w:rPr>
          <w:b/>
          <w:bCs/>
          <w:color w:val="auto"/>
        </w:rPr>
      </w:pPr>
      <w:r w:rsidRPr="00734121">
        <w:rPr>
          <w:b/>
          <w:bCs/>
          <w:color w:val="auto"/>
        </w:rPr>
        <w:t>Cellular volume calculation</w:t>
      </w:r>
      <w:r w:rsidR="004B22D9" w:rsidRPr="00734121">
        <w:rPr>
          <w:b/>
          <w:bCs/>
          <w:color w:val="auto"/>
        </w:rPr>
        <w:t xml:space="preserve"> in the outer tumour shell</w:t>
      </w:r>
    </w:p>
    <w:p w14:paraId="1B18D9BE" w14:textId="3D7C5CA2" w:rsidR="00A2305D" w:rsidRDefault="002D35E7" w:rsidP="00A2305D">
      <w:pPr>
        <w:tabs>
          <w:tab w:val="left" w:pos="1495"/>
        </w:tabs>
        <w:jc w:val="both"/>
      </w:pPr>
      <w:r w:rsidRPr="00734121">
        <w:t xml:space="preserve">A sub-population </w:t>
      </w:r>
      <w:r w:rsidRPr="00734121">
        <w:rPr>
          <w:i/>
          <w:iCs/>
        </w:rPr>
        <w:t xml:space="preserve">S </w:t>
      </w:r>
      <w:r w:rsidRPr="00734121">
        <w:t xml:space="preserve">of cancer cells (see </w:t>
      </w:r>
      <w:r w:rsidR="00BE068A" w:rsidRPr="000F41FF">
        <w:rPr>
          <w:b/>
          <w:bCs/>
          <w:i/>
          <w:iCs/>
        </w:rPr>
        <w:t xml:space="preserve">Supplementary Methods </w:t>
      </w:r>
      <w:r w:rsidR="00BE068A">
        <w:rPr>
          <w:b/>
          <w:bCs/>
          <w:i/>
          <w:iCs/>
        </w:rPr>
        <w:t>3</w:t>
      </w:r>
      <w:r w:rsidR="00BE068A" w:rsidRPr="000F41FF">
        <w:rPr>
          <w:b/>
          <w:bCs/>
          <w:i/>
          <w:iCs/>
        </w:rPr>
        <w:t>:</w:t>
      </w:r>
      <w:r w:rsidR="00BE068A">
        <w:rPr>
          <w:b/>
          <w:bCs/>
          <w:i/>
          <w:iCs/>
        </w:rPr>
        <w:t xml:space="preserve"> </w:t>
      </w:r>
      <w:r w:rsidR="003B081D" w:rsidRPr="00734121">
        <w:rPr>
          <w:b/>
          <w:bCs/>
          <w:i/>
          <w:iCs/>
        </w:rPr>
        <w:t>Cell population</w:t>
      </w:r>
      <w:r w:rsidR="00D0414A">
        <w:rPr>
          <w:b/>
          <w:bCs/>
          <w:i/>
          <w:iCs/>
        </w:rPr>
        <w:t xml:space="preserve"> PD</w:t>
      </w:r>
      <w:r w:rsidR="00D850E9" w:rsidRPr="00734121">
        <w:rPr>
          <w:b/>
          <w:bCs/>
          <w:i/>
          <w:iCs/>
        </w:rPr>
        <w:t xml:space="preserve"> model</w:t>
      </w:r>
      <w:r w:rsidRPr="00734121">
        <w:t xml:space="preserve">) has a total cellular volume </w:t>
      </w:r>
      <m:oMath>
        <m:sSubSup>
          <m:sSubSupPr>
            <m:ctrlPr>
              <w:rPr>
                <w:rFonts w:ascii="Cambria Math" w:hAnsi="Cambria Math"/>
                <w:i/>
              </w:rPr>
            </m:ctrlPr>
          </m:sSubSupPr>
          <m:e>
            <m:r>
              <w:rPr>
                <w:rFonts w:ascii="Cambria Math" w:hAnsi="Cambria Math"/>
              </w:rPr>
              <m:t>V</m:t>
            </m:r>
          </m:e>
          <m:sub>
            <m:r>
              <w:rPr>
                <w:rFonts w:ascii="Cambria Math" w:hAnsi="Cambria Math"/>
              </w:rPr>
              <m:t>cells.pop</m:t>
            </m:r>
          </m:sub>
          <m:sup>
            <m:d>
              <m:dPr>
                <m:ctrlPr>
                  <w:rPr>
                    <w:rFonts w:ascii="Cambria Math" w:hAnsi="Cambria Math"/>
                    <w:i/>
                  </w:rPr>
                </m:ctrlPr>
              </m:dPr>
              <m:e>
                <m:r>
                  <w:rPr>
                    <w:rFonts w:ascii="Cambria Math" w:hAnsi="Cambria Math"/>
                  </w:rPr>
                  <m:t>S</m:t>
                </m:r>
              </m:e>
            </m:d>
          </m:sup>
        </m:sSubSup>
      </m:oMath>
      <w:r w:rsidRPr="00734121">
        <w:rPr>
          <w:rFonts w:eastAsiaTheme="minorEastAsia"/>
        </w:rPr>
        <w:t>.</w:t>
      </w:r>
      <w:r w:rsidRPr="00734121">
        <w:rPr>
          <w:i/>
          <w:iCs/>
        </w:rPr>
        <w:t xml:space="preserve"> </w:t>
      </w:r>
      <w:r w:rsidR="00A2305D" w:rsidRPr="00734121">
        <w:t xml:space="preserve">In the absence of cell death, </w:t>
      </w:r>
      <w:r w:rsidRPr="00734121">
        <w:t xml:space="preserve">this volume would double every </w:t>
      </w:r>
      <m:oMath>
        <m:sSub>
          <m:sSubPr>
            <m:ctrlPr>
              <w:rPr>
                <w:rFonts w:ascii="Cambria Math" w:hAnsi="Cambria Math"/>
                <w:i/>
              </w:rPr>
            </m:ctrlPr>
          </m:sSubPr>
          <m:e>
            <m:r>
              <w:rPr>
                <w:rFonts w:ascii="Cambria Math" w:hAnsi="Cambria Math"/>
              </w:rPr>
              <m:t>t</m:t>
            </m:r>
          </m:e>
          <m:sub>
            <m:r>
              <w:rPr>
                <w:rFonts w:ascii="Cambria Math" w:hAnsi="Cambria Math"/>
              </w:rPr>
              <m:t>d</m:t>
            </m:r>
          </m:sub>
        </m:sSub>
      </m:oMath>
      <w:r w:rsidRPr="00734121">
        <w:rPr>
          <w:rFonts w:eastAsiaTheme="minorEastAsia"/>
        </w:rPr>
        <w:t xml:space="preserve"> hour</w:t>
      </w:r>
      <w:r w:rsidR="003B081D" w:rsidRPr="00734121">
        <w:t xml:space="preserve">, </w:t>
      </w:r>
      <w:r w:rsidR="00A2305D" w:rsidRPr="00734121">
        <w:rPr>
          <w:rFonts w:eastAsiaTheme="minorEastAsia"/>
        </w:rPr>
        <w:t xml:space="preserve">which </w:t>
      </w:r>
      <w:r w:rsidR="00A2305D" w:rsidRPr="00734121">
        <w:t>can be expressed as an exponential growth</w:t>
      </w:r>
      <w:r w:rsidR="003B081D" w:rsidRPr="00734121">
        <w:t xml:space="preserve"> </w:t>
      </w:r>
      <w:r w:rsidR="00015CFA">
        <w:t>from</w:t>
      </w:r>
      <w:r w:rsidR="003B081D" w:rsidRPr="00734121">
        <w:t xml:space="preserve"> t=0 with initial volume </w:t>
      </w:r>
      <m:oMath>
        <m:sSub>
          <m:sSubPr>
            <m:ctrlPr>
              <w:rPr>
                <w:rFonts w:ascii="Cambria Math" w:hAnsi="Cambria Math"/>
                <w:i/>
              </w:rPr>
            </m:ctrlPr>
          </m:sSubPr>
          <m:e>
            <m:r>
              <m:rPr>
                <m:sty m:val="p"/>
              </m:rPr>
              <w:rPr>
                <w:rFonts w:ascii="Cambria Math" w:hAnsi="Cambria Math"/>
              </w:rPr>
              <m:t>Ψ</m:t>
            </m:r>
          </m:e>
          <m:sub>
            <m:r>
              <w:rPr>
                <w:rFonts w:ascii="Cambria Math" w:hAnsi="Cambria Math"/>
              </w:rPr>
              <m:t>cell.0</m:t>
            </m:r>
          </m:sub>
        </m:sSub>
      </m:oMath>
      <w:r w:rsidR="00A2305D" w:rsidRPr="00734121">
        <w:t>:</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4B03F2" w:rsidRPr="00734121" w14:paraId="7991806F" w14:textId="77777777" w:rsidTr="001E2DA7">
        <w:tc>
          <w:tcPr>
            <w:tcW w:w="17" w:type="pct"/>
            <w:vAlign w:val="center"/>
          </w:tcPr>
          <w:p w14:paraId="41529582" w14:textId="77777777" w:rsidR="004B03F2" w:rsidRPr="00734121" w:rsidRDefault="004B03F2" w:rsidP="004B03F2">
            <w:pPr>
              <w:pStyle w:val="BodyText"/>
              <w:spacing w:before="0" w:after="120" w:line="360" w:lineRule="auto"/>
              <w:jc w:val="center"/>
              <w:rPr>
                <w:lang w:val="en-GB"/>
              </w:rPr>
            </w:pPr>
          </w:p>
        </w:tc>
        <w:tc>
          <w:tcPr>
            <w:tcW w:w="4617" w:type="pct"/>
            <w:vAlign w:val="center"/>
          </w:tcPr>
          <w:p w14:paraId="183E7120" w14:textId="1731A32C" w:rsidR="004B03F2" w:rsidRPr="00EA7DD2" w:rsidRDefault="004F1A48" w:rsidP="004B03F2">
            <w:pPr>
              <w:tabs>
                <w:tab w:val="left" w:pos="1495"/>
              </w:tabs>
              <w:spacing w:after="120" w:line="360" w:lineRule="auto"/>
              <w:jc w:val="both"/>
              <w:rPr>
                <w:rFonts w:eastAsiaTheme="minorEastAsia"/>
              </w:rPr>
            </w:pPr>
            <m:oMathPara>
              <m:oMath>
                <m:sSubSup>
                  <m:sSubSupPr>
                    <m:ctrlPr>
                      <w:rPr>
                        <w:rFonts w:ascii="Cambria Math" w:hAnsi="Cambria Math"/>
                        <w:i/>
                      </w:rPr>
                    </m:ctrlPr>
                  </m:sSubSupPr>
                  <m:e>
                    <m:r>
                      <w:rPr>
                        <w:rFonts w:ascii="Cambria Math" w:hAnsi="Cambria Math"/>
                      </w:rPr>
                      <m:t>V</m:t>
                    </m:r>
                  </m:e>
                  <m:sub>
                    <m:r>
                      <w:rPr>
                        <w:rFonts w:ascii="Cambria Math" w:hAnsi="Cambria Math"/>
                      </w:rPr>
                      <m:t>cells.pop</m:t>
                    </m:r>
                  </m:sub>
                  <m:sup>
                    <m:d>
                      <m:dPr>
                        <m:ctrlPr>
                          <w:rPr>
                            <w:rFonts w:ascii="Cambria Math" w:hAnsi="Cambria Math"/>
                            <w:i/>
                          </w:rPr>
                        </m:ctrlPr>
                      </m:dPr>
                      <m:e>
                        <m:r>
                          <w:rPr>
                            <w:rFonts w:ascii="Cambria Math" w:hAnsi="Cambria Math"/>
                          </w:rPr>
                          <m:t>S</m:t>
                        </m:r>
                      </m:e>
                    </m:d>
                  </m:sup>
                </m:sSubSup>
                <m:r>
                  <w:rPr>
                    <w:rFonts w:ascii="Cambria Math" w:eastAsiaTheme="minorEastAsia" w:hAnsi="Cambria Math"/>
                  </w:rPr>
                  <m:t>(t)</m:t>
                </m:r>
                <m:r>
                  <w:rPr>
                    <w:rFonts w:ascii="Cambria Math" w:hAnsi="Cambria Math"/>
                  </w:rPr>
                  <m:t>=</m:t>
                </m:r>
                <m:sSub>
                  <m:sSubPr>
                    <m:ctrlPr>
                      <w:rPr>
                        <w:rFonts w:ascii="Cambria Math" w:hAnsi="Cambria Math"/>
                        <w:i/>
                      </w:rPr>
                    </m:ctrlPr>
                  </m:sSubPr>
                  <m:e>
                    <m:r>
                      <m:rPr>
                        <m:sty m:val="p"/>
                      </m:rPr>
                      <w:rPr>
                        <w:rFonts w:ascii="Cambria Math" w:hAnsi="Cambria Math"/>
                      </w:rPr>
                      <m:t>Ψ</m:t>
                    </m:r>
                  </m:e>
                  <m:sub>
                    <m:r>
                      <w:rPr>
                        <w:rFonts w:ascii="Cambria Math" w:hAnsi="Cambria Math"/>
                      </w:rPr>
                      <m:t>cell.0</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t*</m:t>
                    </m:r>
                    <m:f>
                      <m:fPr>
                        <m:type m:val="lin"/>
                        <m:ctrlPr>
                          <w:rPr>
                            <w:rFonts w:ascii="Cambria Math" w:hAnsi="Cambria Math"/>
                            <w:i/>
                          </w:rPr>
                        </m:ctrlPr>
                      </m:fPr>
                      <m:num>
                        <m:r>
                          <m:rPr>
                            <m:sty m:val="p"/>
                          </m:rPr>
                          <w:rPr>
                            <w:rFonts w:ascii="Cambria Math" w:hAnsi="Cambria Math"/>
                          </w:rPr>
                          <m:t>ln⁡</m:t>
                        </m:r>
                        <m:r>
                          <w:rPr>
                            <w:rFonts w:ascii="Cambria Math" w:hAnsi="Cambria Math"/>
                          </w:rPr>
                          <m:t>(2)</m:t>
                        </m:r>
                      </m:num>
                      <m:den>
                        <m:sSub>
                          <m:sSubPr>
                            <m:ctrlPr>
                              <w:rPr>
                                <w:rFonts w:ascii="Cambria Math" w:hAnsi="Cambria Math"/>
                                <w:i/>
                              </w:rPr>
                            </m:ctrlPr>
                          </m:sSubPr>
                          <m:e>
                            <m:r>
                              <w:rPr>
                                <w:rFonts w:ascii="Cambria Math" w:hAnsi="Cambria Math"/>
                              </w:rPr>
                              <m:t>t</m:t>
                            </m:r>
                          </m:e>
                          <m:sub>
                            <m:r>
                              <w:rPr>
                                <w:rFonts w:ascii="Cambria Math" w:hAnsi="Cambria Math"/>
                              </w:rPr>
                              <m:t>d</m:t>
                            </m:r>
                          </m:sub>
                        </m:sSub>
                      </m:den>
                    </m:f>
                  </m:sup>
                </m:sSup>
              </m:oMath>
            </m:oMathPara>
          </w:p>
        </w:tc>
        <w:tc>
          <w:tcPr>
            <w:tcW w:w="367" w:type="pct"/>
            <w:vAlign w:val="center"/>
          </w:tcPr>
          <w:p w14:paraId="2E868462" w14:textId="768D70DA" w:rsidR="004B03F2" w:rsidRPr="00734121" w:rsidRDefault="004B03F2" w:rsidP="004B03F2">
            <w:pPr>
              <w:pStyle w:val="Caption"/>
              <w:spacing w:before="0" w:after="120" w:line="360" w:lineRule="auto"/>
              <w:ind w:left="2019" w:hanging="2019"/>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3730E2">
              <w:rPr>
                <w:rFonts w:asciiTheme="minorHAnsi" w:hAnsiTheme="minorHAnsi" w:cstheme="minorHAnsi"/>
                <w:b w:val="0"/>
                <w:bCs/>
                <w:sz w:val="22"/>
                <w:szCs w:val="22"/>
                <w:lang w:val="en-GB"/>
              </w:rPr>
              <w:t>5</w:t>
            </w:r>
            <w:r>
              <w:rPr>
                <w:rFonts w:asciiTheme="minorHAnsi" w:hAnsiTheme="minorHAnsi" w:cstheme="minorHAnsi"/>
                <w:b w:val="0"/>
                <w:bCs/>
                <w:sz w:val="22"/>
                <w:szCs w:val="22"/>
                <w:lang w:val="en-GB"/>
              </w:rPr>
              <w:t>.1)</w:t>
            </w:r>
          </w:p>
        </w:tc>
      </w:tr>
    </w:tbl>
    <w:p w14:paraId="1BA4D98E" w14:textId="7D3807AF" w:rsidR="00A2305D" w:rsidRDefault="00A2305D" w:rsidP="00A2305D">
      <w:pPr>
        <w:tabs>
          <w:tab w:val="left" w:pos="1495"/>
        </w:tabs>
        <w:jc w:val="both"/>
      </w:pPr>
      <w:r w:rsidRPr="00734121">
        <w:rPr>
          <w:rFonts w:eastAsiaTheme="minorEastAsia"/>
        </w:rPr>
        <w:t xml:space="preserve">However, in the current DDR model not all cells will divide as </w:t>
      </w:r>
      <w:r w:rsidRPr="00734121">
        <w:t xml:space="preserve">they may die </w:t>
      </w:r>
      <w:r w:rsidR="002A5D88" w:rsidRPr="00734121">
        <w:t>due to</w:t>
      </w:r>
      <w:r w:rsidRPr="00734121">
        <w:t xml:space="preserve"> </w:t>
      </w:r>
      <w:r w:rsidR="002A5D88" w:rsidRPr="00734121">
        <w:t xml:space="preserve">DNA </w:t>
      </w:r>
      <w:r w:rsidRPr="00734121">
        <w:t>damage, and thus</w:t>
      </w:r>
      <w:r w:rsidR="004B03F2" w:rsidRPr="00637EDC">
        <w:t xml:space="preserve"> Eq</w:t>
      </w:r>
      <w:r w:rsidR="00637EDC">
        <w:t>.</w:t>
      </w:r>
      <w:r w:rsidR="004B03F2" w:rsidRPr="00637EDC">
        <w:t xml:space="preserve"> </w:t>
      </w:r>
      <w:r w:rsidR="004B03F2" w:rsidRPr="00637EDC">
        <w:rPr>
          <w:rFonts w:cstheme="minorHAnsi"/>
        </w:rPr>
        <w:t>S</w:t>
      </w:r>
      <w:r w:rsidR="002C5F3F">
        <w:rPr>
          <w:rFonts w:cstheme="minorHAnsi"/>
        </w:rPr>
        <w:t>5</w:t>
      </w:r>
      <w:r w:rsidR="004B03F2" w:rsidRPr="00637EDC">
        <w:rPr>
          <w:rFonts w:cstheme="minorHAnsi"/>
        </w:rPr>
        <w:t>.1</w:t>
      </w:r>
      <w:r w:rsidR="00637EDC" w:rsidRPr="00637EDC">
        <w:rPr>
          <w:rFonts w:cstheme="minorHAnsi"/>
        </w:rPr>
        <w:t xml:space="preserve"> </w:t>
      </w:r>
      <w:r w:rsidRPr="00734121">
        <w:t xml:space="preserve">cannot be directly applied to compute the population cellular volume. Instead, this volume can be derived from the individual cell volume </w:t>
      </w:r>
      <m:oMath>
        <m:sSubSup>
          <m:sSubSupPr>
            <m:ctrlPr>
              <w:rPr>
                <w:rFonts w:ascii="Cambria Math" w:hAnsi="Cambria Math"/>
                <w:i/>
              </w:rPr>
            </m:ctrlPr>
          </m:sSubSupPr>
          <m:e>
            <m:r>
              <w:rPr>
                <w:rFonts w:ascii="Cambria Math" w:hAnsi="Cambria Math"/>
              </w:rPr>
              <m:t>V</m:t>
            </m:r>
          </m:e>
          <m:sub>
            <m:r>
              <w:rPr>
                <w:rFonts w:ascii="Cambria Math" w:hAnsi="Cambria Math"/>
              </w:rPr>
              <m:t xml:space="preserve">cell </m:t>
            </m:r>
          </m:sub>
          <m:sup>
            <m:d>
              <m:dPr>
                <m:ctrlPr>
                  <w:rPr>
                    <w:rFonts w:ascii="Cambria Math" w:hAnsi="Cambria Math"/>
                    <w:i/>
                  </w:rPr>
                </m:ctrlPr>
              </m:dPr>
              <m:e>
                <m:r>
                  <w:rPr>
                    <w:rFonts w:ascii="Cambria Math" w:hAnsi="Cambria Math"/>
                  </w:rPr>
                  <m:t>S</m:t>
                </m:r>
              </m:e>
            </m:d>
          </m:sup>
        </m:sSubSup>
      </m:oMath>
      <w:r w:rsidRPr="00734121">
        <w:rPr>
          <w:rFonts w:eastAsiaTheme="minorEastAsia"/>
        </w:rPr>
        <w:t xml:space="preserve">, which is identical for all cells in </w:t>
      </w:r>
      <w:r w:rsidRPr="00734121">
        <w:t xml:space="preserve">sub-population </w:t>
      </w:r>
      <w:r w:rsidRPr="00734121">
        <w:rPr>
          <w:i/>
          <w:iCs/>
        </w:rPr>
        <w:t>S</w:t>
      </w:r>
      <w:r w:rsidRPr="00734121">
        <w:t xml:space="preserve">, and the actual number of cancer cells </w:t>
      </w:r>
      <m:oMath>
        <m:sSubSup>
          <m:sSubSupPr>
            <m:ctrlPr>
              <w:rPr>
                <w:rFonts w:ascii="Cambria Math" w:hAnsi="Cambria Math"/>
                <w:i/>
              </w:rPr>
            </m:ctrlPr>
          </m:sSubSupPr>
          <m:e>
            <m:r>
              <w:rPr>
                <w:rFonts w:ascii="Cambria Math" w:hAnsi="Cambria Math"/>
              </w:rPr>
              <m:t>N</m:t>
            </m:r>
          </m:e>
          <m:sub>
            <m:r>
              <w:rPr>
                <w:rFonts w:ascii="Cambria Math" w:hAnsi="Cambria Math"/>
              </w:rPr>
              <m:t>cells</m:t>
            </m:r>
          </m:sub>
          <m:sup>
            <m:d>
              <m:dPr>
                <m:ctrlPr>
                  <w:rPr>
                    <w:rFonts w:ascii="Cambria Math" w:hAnsi="Cambria Math"/>
                    <w:i/>
                  </w:rPr>
                </m:ctrlPr>
              </m:dPr>
              <m:e>
                <m:r>
                  <w:rPr>
                    <w:rFonts w:ascii="Cambria Math" w:hAnsi="Cambria Math"/>
                  </w:rPr>
                  <m:t>S</m:t>
                </m:r>
              </m:e>
            </m:d>
          </m:sup>
        </m:sSubSup>
      </m:oMath>
      <w:r w:rsidRPr="00734121">
        <w:rPr>
          <w:rFonts w:eastAsiaTheme="minorEastAsia"/>
        </w:rPr>
        <w:t xml:space="preserve"> </w:t>
      </w:r>
      <w:r w:rsidRPr="00734121">
        <w:t>that remain in the pool (described in the next section</w:t>
      </w:r>
      <w:r w:rsidR="00637EDC">
        <w:t xml:space="preserve"> </w:t>
      </w:r>
      <w:r w:rsidR="00862FC3" w:rsidRPr="000F41FF">
        <w:rPr>
          <w:b/>
          <w:bCs/>
          <w:i/>
          <w:iCs/>
        </w:rPr>
        <w:t xml:space="preserve">Supplementary Methods </w:t>
      </w:r>
      <w:r w:rsidR="00862FC3">
        <w:rPr>
          <w:b/>
          <w:bCs/>
          <w:i/>
          <w:iCs/>
        </w:rPr>
        <w:t>6</w:t>
      </w:r>
      <w:r w:rsidR="00862FC3" w:rsidRPr="000F41FF">
        <w:rPr>
          <w:b/>
          <w:bCs/>
          <w:i/>
          <w:iCs/>
        </w:rPr>
        <w:t>:</w:t>
      </w:r>
      <w:r w:rsidR="00862FC3">
        <w:rPr>
          <w:b/>
          <w:bCs/>
          <w:i/>
          <w:iCs/>
        </w:rPr>
        <w:t xml:space="preserve"> </w:t>
      </w:r>
      <w:r w:rsidR="00637EDC" w:rsidRPr="00734121">
        <w:rPr>
          <w:b/>
          <w:bCs/>
          <w:i/>
          <w:iCs/>
        </w:rPr>
        <w:t xml:space="preserve">Cell </w:t>
      </w:r>
      <w:r w:rsidR="00637EDC">
        <w:rPr>
          <w:b/>
          <w:bCs/>
          <w:i/>
          <w:iCs/>
        </w:rPr>
        <w:t>number calculation</w:t>
      </w:r>
      <w:r w:rsidRPr="00734121">
        <w:t>):</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E471F3" w:rsidRPr="00734121" w14:paraId="2BD4B69B" w14:textId="77777777" w:rsidTr="001E2DA7">
        <w:tc>
          <w:tcPr>
            <w:tcW w:w="17" w:type="pct"/>
            <w:vAlign w:val="center"/>
          </w:tcPr>
          <w:p w14:paraId="2E42D365" w14:textId="77777777" w:rsidR="00E471F3" w:rsidRPr="00734121" w:rsidRDefault="00E471F3" w:rsidP="001E2DA7">
            <w:pPr>
              <w:pStyle w:val="BodyText"/>
              <w:spacing w:before="0" w:after="120" w:line="360" w:lineRule="auto"/>
              <w:jc w:val="center"/>
              <w:rPr>
                <w:lang w:val="en-GB"/>
              </w:rPr>
            </w:pPr>
          </w:p>
        </w:tc>
        <w:tc>
          <w:tcPr>
            <w:tcW w:w="4617" w:type="pct"/>
            <w:vAlign w:val="center"/>
          </w:tcPr>
          <w:p w14:paraId="54B49CB6" w14:textId="68A6178F" w:rsidR="00E471F3" w:rsidRPr="00EA7DD2" w:rsidRDefault="004F1A48" w:rsidP="001E2DA7">
            <w:pPr>
              <w:tabs>
                <w:tab w:val="left" w:pos="1495"/>
              </w:tabs>
              <w:spacing w:after="120" w:line="360" w:lineRule="auto"/>
              <w:jc w:val="both"/>
              <w:rPr>
                <w:rFonts w:eastAsiaTheme="minorEastAsia"/>
              </w:rPr>
            </w:pPr>
            <m:oMathPara>
              <m:oMath>
                <m:sSubSup>
                  <m:sSubSupPr>
                    <m:ctrlPr>
                      <w:rPr>
                        <w:rFonts w:ascii="Cambria Math" w:hAnsi="Cambria Math"/>
                        <w:i/>
                      </w:rPr>
                    </m:ctrlPr>
                  </m:sSubSupPr>
                  <m:e>
                    <m:r>
                      <w:rPr>
                        <w:rFonts w:ascii="Cambria Math" w:hAnsi="Cambria Math"/>
                      </w:rPr>
                      <m:t>V</m:t>
                    </m:r>
                  </m:e>
                  <m:sub>
                    <m:r>
                      <w:rPr>
                        <w:rFonts w:ascii="Cambria Math" w:hAnsi="Cambria Math"/>
                      </w:rPr>
                      <m:t>cells.pop</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t+dt</m:t>
                    </m:r>
                  </m:e>
                </m:d>
                <m:r>
                  <w:rPr>
                    <w:rFonts w:ascii="Cambria Math" w:hAnsi="Cambria Math"/>
                  </w:rPr>
                  <m:t>=</m:t>
                </m:r>
                <m:sSubSup>
                  <m:sSubSupPr>
                    <m:ctrlPr>
                      <w:rPr>
                        <w:rFonts w:ascii="Cambria Math" w:hAnsi="Cambria Math"/>
                        <w:i/>
                      </w:rPr>
                    </m:ctrlPr>
                  </m:sSubSupPr>
                  <m:e>
                    <m:r>
                      <w:rPr>
                        <w:rFonts w:ascii="Cambria Math" w:hAnsi="Cambria Math"/>
                      </w:rPr>
                      <m:t>V</m:t>
                    </m:r>
                  </m:e>
                  <m:sub>
                    <m:r>
                      <w:rPr>
                        <w:rFonts w:ascii="Cambria Math" w:hAnsi="Cambria Math"/>
                      </w:rPr>
                      <m:t xml:space="preserve">cell </m:t>
                    </m:r>
                  </m:sub>
                  <m:sup>
                    <m:d>
                      <m:dPr>
                        <m:ctrlPr>
                          <w:rPr>
                            <w:rFonts w:ascii="Cambria Math" w:hAnsi="Cambria Math"/>
                            <w:i/>
                          </w:rPr>
                        </m:ctrlPr>
                      </m:dPr>
                      <m:e>
                        <m:r>
                          <w:rPr>
                            <w:rFonts w:ascii="Cambria Math" w:hAnsi="Cambria Math"/>
                          </w:rPr>
                          <m:t>S</m:t>
                        </m:r>
                      </m:e>
                    </m:d>
                  </m:sup>
                </m:sSubSup>
                <m:r>
                  <w:rPr>
                    <w:rFonts w:ascii="Cambria Math" w:eastAsiaTheme="minorEastAsia" w:hAnsi="Cambria Math"/>
                  </w:rPr>
                  <m:t>(t+dt)</m:t>
                </m:r>
                <m:r>
                  <w:rPr>
                    <w:rFonts w:ascii="Cambria Math" w:hAnsi="Cambria Math"/>
                  </w:rPr>
                  <m:t>*</m:t>
                </m:r>
                <m:sSubSup>
                  <m:sSubSupPr>
                    <m:ctrlPr>
                      <w:rPr>
                        <w:rFonts w:ascii="Cambria Math" w:hAnsi="Cambria Math"/>
                        <w:i/>
                      </w:rPr>
                    </m:ctrlPr>
                  </m:sSubSupPr>
                  <m:e>
                    <m:r>
                      <w:rPr>
                        <w:rFonts w:ascii="Cambria Math" w:hAnsi="Cambria Math"/>
                      </w:rPr>
                      <m:t>N</m:t>
                    </m:r>
                  </m:e>
                  <m:sub>
                    <m:r>
                      <w:rPr>
                        <w:rFonts w:ascii="Cambria Math" w:hAnsi="Cambria Math"/>
                      </w:rPr>
                      <m:t>cells</m:t>
                    </m:r>
                  </m:sub>
                  <m:sup>
                    <m:d>
                      <m:dPr>
                        <m:ctrlPr>
                          <w:rPr>
                            <w:rFonts w:ascii="Cambria Math" w:hAnsi="Cambria Math"/>
                            <w:i/>
                          </w:rPr>
                        </m:ctrlPr>
                      </m:dPr>
                      <m:e>
                        <m:r>
                          <w:rPr>
                            <w:rFonts w:ascii="Cambria Math" w:hAnsi="Cambria Math"/>
                          </w:rPr>
                          <m:t>S</m:t>
                        </m:r>
                      </m:e>
                    </m:d>
                  </m:sup>
                </m:sSubSup>
                <m:r>
                  <w:rPr>
                    <w:rFonts w:ascii="Cambria Math" w:eastAsiaTheme="minorEastAsia" w:hAnsi="Cambria Math"/>
                  </w:rPr>
                  <m:t>(t+dt)</m:t>
                </m:r>
              </m:oMath>
            </m:oMathPara>
          </w:p>
        </w:tc>
        <w:tc>
          <w:tcPr>
            <w:tcW w:w="367" w:type="pct"/>
            <w:vAlign w:val="center"/>
          </w:tcPr>
          <w:p w14:paraId="2FECD5D9" w14:textId="52427044" w:rsidR="00E471F3" w:rsidRPr="00734121" w:rsidRDefault="00E471F3" w:rsidP="001E2DA7">
            <w:pPr>
              <w:pStyle w:val="Caption"/>
              <w:spacing w:before="0" w:after="120" w:line="360" w:lineRule="auto"/>
              <w:ind w:left="2019" w:hanging="2019"/>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3730E2">
              <w:rPr>
                <w:rFonts w:asciiTheme="minorHAnsi" w:hAnsiTheme="minorHAnsi" w:cstheme="minorHAnsi"/>
                <w:b w:val="0"/>
                <w:bCs/>
                <w:sz w:val="22"/>
                <w:szCs w:val="22"/>
                <w:lang w:val="en-GB"/>
              </w:rPr>
              <w:t>5</w:t>
            </w:r>
            <w:r>
              <w:rPr>
                <w:rFonts w:asciiTheme="minorHAnsi" w:hAnsiTheme="minorHAnsi" w:cstheme="minorHAnsi"/>
                <w:b w:val="0"/>
                <w:bCs/>
                <w:sz w:val="22"/>
                <w:szCs w:val="22"/>
                <w:lang w:val="en-GB"/>
              </w:rPr>
              <w:t>.2)</w:t>
            </w:r>
          </w:p>
        </w:tc>
      </w:tr>
    </w:tbl>
    <w:p w14:paraId="513008C7" w14:textId="158B8FEC" w:rsidR="00A2305D" w:rsidRDefault="00A2305D" w:rsidP="00A2305D">
      <w:pPr>
        <w:tabs>
          <w:tab w:val="left" w:pos="1495"/>
        </w:tabs>
        <w:jc w:val="both"/>
        <w:rPr>
          <w:rFonts w:eastAsiaTheme="minorEastAsia"/>
        </w:rPr>
      </w:pPr>
      <w:r w:rsidRPr="00734121">
        <w:t xml:space="preserve">The volume </w:t>
      </w:r>
      <m:oMath>
        <m:sSubSup>
          <m:sSubSupPr>
            <m:ctrlPr>
              <w:rPr>
                <w:rFonts w:ascii="Cambria Math" w:hAnsi="Cambria Math"/>
                <w:i/>
              </w:rPr>
            </m:ctrlPr>
          </m:sSubSupPr>
          <m:e>
            <m:r>
              <w:rPr>
                <w:rFonts w:ascii="Cambria Math" w:hAnsi="Cambria Math"/>
              </w:rPr>
              <m:t>V</m:t>
            </m:r>
          </m:e>
          <m:sub>
            <m:r>
              <w:rPr>
                <w:rFonts w:ascii="Cambria Math" w:hAnsi="Cambria Math"/>
              </w:rPr>
              <m:t xml:space="preserve">cell </m:t>
            </m:r>
          </m:sub>
          <m:sup>
            <m:d>
              <m:dPr>
                <m:ctrlPr>
                  <w:rPr>
                    <w:rFonts w:ascii="Cambria Math" w:hAnsi="Cambria Math"/>
                    <w:i/>
                  </w:rPr>
                </m:ctrlPr>
              </m:dPr>
              <m:e>
                <m:r>
                  <w:rPr>
                    <w:rFonts w:ascii="Cambria Math" w:hAnsi="Cambria Math"/>
                  </w:rPr>
                  <m:t>S</m:t>
                </m:r>
              </m:e>
            </m:d>
          </m:sup>
        </m:sSubSup>
      </m:oMath>
      <w:r w:rsidRPr="00734121">
        <w:t xml:space="preserve"> of a single cell in sub-population </w:t>
      </w:r>
      <w:r w:rsidRPr="00734121">
        <w:rPr>
          <w:i/>
          <w:iCs/>
        </w:rPr>
        <w:t>S</w:t>
      </w:r>
      <w:r w:rsidRPr="00734121">
        <w:t xml:space="preserve"> increases during the cell cycle from time 0 to</w:t>
      </w:r>
      <w:r w:rsidR="00385EED">
        <w:t xml:space="preserve"> time</w:t>
      </w:r>
      <w:r w:rsidRPr="00734121">
        <w:t xml:space="preserve"> </w:t>
      </w:r>
      <m:oMath>
        <m:sSub>
          <m:sSubPr>
            <m:ctrlPr>
              <w:rPr>
                <w:rFonts w:ascii="Cambria Math" w:hAnsi="Cambria Math"/>
                <w:i/>
              </w:rPr>
            </m:ctrlPr>
          </m:sSubPr>
          <m:e>
            <m:r>
              <w:rPr>
                <w:rFonts w:ascii="Cambria Math" w:hAnsi="Cambria Math"/>
              </w:rPr>
              <m:t>t</m:t>
            </m:r>
          </m:e>
          <m:sub>
            <m:r>
              <w:rPr>
                <w:rFonts w:ascii="Cambria Math" w:hAnsi="Cambria Math"/>
              </w:rPr>
              <m:t>d</m:t>
            </m:r>
          </m:sub>
        </m:sSub>
        <m:r>
          <w:rPr>
            <w:rFonts w:ascii="Cambria Math" w:hAnsi="Cambria Math"/>
          </w:rPr>
          <m:t>-dt</m:t>
        </m:r>
      </m:oMath>
      <w:r w:rsidRPr="00734121">
        <w:t xml:space="preserve">  following </w:t>
      </w:r>
      <w:r w:rsidRPr="004E0033">
        <w:t xml:space="preserve">the equation </w:t>
      </w:r>
      <w:r w:rsidR="004E0033" w:rsidRPr="004E0033">
        <w:rPr>
          <w:rFonts w:cstheme="minorHAnsi"/>
        </w:rPr>
        <w:t>S</w:t>
      </w:r>
      <w:r w:rsidR="003730E2">
        <w:rPr>
          <w:rFonts w:cstheme="minorHAnsi"/>
        </w:rPr>
        <w:t>5</w:t>
      </w:r>
      <w:r w:rsidR="004E0033" w:rsidRPr="004E0033">
        <w:rPr>
          <w:rFonts w:cstheme="minorHAnsi"/>
        </w:rPr>
        <w:t>.</w:t>
      </w:r>
      <w:r w:rsidR="004E0033">
        <w:rPr>
          <w:rFonts w:cstheme="minorHAnsi"/>
        </w:rPr>
        <w:t>3</w:t>
      </w:r>
      <w:r w:rsidR="004E0033" w:rsidRPr="004E0033">
        <w:rPr>
          <w:rFonts w:cstheme="minorHAnsi"/>
        </w:rPr>
        <w:t xml:space="preserve"> </w:t>
      </w:r>
      <w:r w:rsidRPr="004E0033">
        <w:t xml:space="preserve">derived from </w:t>
      </w:r>
      <w:r w:rsidR="004E0033" w:rsidRPr="004E0033">
        <w:t xml:space="preserve">Eq. </w:t>
      </w:r>
      <w:r w:rsidR="004E0033" w:rsidRPr="004E0033">
        <w:rPr>
          <w:rFonts w:cstheme="minorHAnsi"/>
        </w:rPr>
        <w:t>S</w:t>
      </w:r>
      <w:r w:rsidR="003730E2">
        <w:rPr>
          <w:rFonts w:cstheme="minorHAnsi"/>
        </w:rPr>
        <w:t>5</w:t>
      </w:r>
      <w:r w:rsidR="004E0033" w:rsidRPr="004E0033">
        <w:rPr>
          <w:rFonts w:cstheme="minorHAnsi"/>
        </w:rPr>
        <w:t xml:space="preserve">.1 </w:t>
      </w:r>
      <w:r w:rsidRPr="004E0033">
        <w:t>above</w:t>
      </w:r>
      <w:r w:rsidRPr="00734121">
        <w:rPr>
          <w:rFonts w:eastAsiaTheme="minorEastAsia"/>
        </w:rPr>
        <w:t>:</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0250EE" w:rsidRPr="00734121" w14:paraId="015AD7A7" w14:textId="77777777" w:rsidTr="001E2DA7">
        <w:tc>
          <w:tcPr>
            <w:tcW w:w="17" w:type="pct"/>
            <w:vAlign w:val="center"/>
          </w:tcPr>
          <w:p w14:paraId="4B4905EA" w14:textId="77777777" w:rsidR="000250EE" w:rsidRPr="00734121" w:rsidRDefault="000250EE" w:rsidP="001E2DA7">
            <w:pPr>
              <w:pStyle w:val="BodyText"/>
              <w:spacing w:before="0" w:after="120" w:line="360" w:lineRule="auto"/>
              <w:jc w:val="center"/>
              <w:rPr>
                <w:lang w:val="en-GB"/>
              </w:rPr>
            </w:pPr>
          </w:p>
        </w:tc>
        <w:tc>
          <w:tcPr>
            <w:tcW w:w="4617" w:type="pct"/>
            <w:vAlign w:val="center"/>
          </w:tcPr>
          <w:p w14:paraId="4B74C7E9" w14:textId="120FCC02" w:rsidR="000250EE" w:rsidRPr="00EA7DD2" w:rsidRDefault="004F1A48" w:rsidP="001E2DA7">
            <w:pPr>
              <w:tabs>
                <w:tab w:val="left" w:pos="1495"/>
              </w:tabs>
              <w:spacing w:after="120" w:line="360" w:lineRule="auto"/>
              <w:jc w:val="both"/>
              <w:rPr>
                <w:rFonts w:eastAsiaTheme="minorEastAsia"/>
              </w:rPr>
            </w:pPr>
            <m:oMathPara>
              <m:oMath>
                <m:sSubSup>
                  <m:sSubSupPr>
                    <m:ctrlPr>
                      <w:rPr>
                        <w:rFonts w:ascii="Cambria Math" w:hAnsi="Cambria Math"/>
                        <w:i/>
                      </w:rPr>
                    </m:ctrlPr>
                  </m:sSubSupPr>
                  <m:e>
                    <m:r>
                      <w:rPr>
                        <w:rFonts w:ascii="Cambria Math" w:hAnsi="Cambria Math"/>
                      </w:rPr>
                      <m:t>V</m:t>
                    </m:r>
                  </m:e>
                  <m:sub>
                    <m:r>
                      <w:rPr>
                        <w:rFonts w:ascii="Cambria Math" w:hAnsi="Cambria Math"/>
                      </w:rPr>
                      <m:t>cell</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t+dt</m:t>
                    </m:r>
                  </m:e>
                </m:d>
                <m:r>
                  <w:rPr>
                    <w:rFonts w:ascii="Cambria Math" w:hAnsi="Cambria Math"/>
                  </w:rPr>
                  <m:t>=</m:t>
                </m:r>
                <m:sSubSup>
                  <m:sSubSupPr>
                    <m:ctrlPr>
                      <w:rPr>
                        <w:rFonts w:ascii="Cambria Math" w:hAnsi="Cambria Math"/>
                        <w:i/>
                      </w:rPr>
                    </m:ctrlPr>
                  </m:sSubSupPr>
                  <m:e>
                    <m:r>
                      <w:rPr>
                        <w:rFonts w:ascii="Cambria Math" w:hAnsi="Cambria Math"/>
                      </w:rPr>
                      <m:t>V</m:t>
                    </m:r>
                  </m:e>
                  <m:sub>
                    <m:r>
                      <w:rPr>
                        <w:rFonts w:ascii="Cambria Math" w:hAnsi="Cambria Math"/>
                      </w:rPr>
                      <m:t>cell</m:t>
                    </m:r>
                  </m:sub>
                  <m:sup>
                    <m:d>
                      <m:dPr>
                        <m:ctrlPr>
                          <w:rPr>
                            <w:rFonts w:ascii="Cambria Math" w:hAnsi="Cambria Math"/>
                            <w:i/>
                          </w:rPr>
                        </m:ctrlPr>
                      </m:dPr>
                      <m:e>
                        <m:r>
                          <w:rPr>
                            <w:rFonts w:ascii="Cambria Math" w:hAnsi="Cambria Math"/>
                          </w:rPr>
                          <m:t>S</m:t>
                        </m:r>
                      </m:e>
                    </m:d>
                  </m:sup>
                </m:sSubSup>
                <m:d>
                  <m:dPr>
                    <m:ctrlPr>
                      <w:rPr>
                        <w:rFonts w:ascii="Cambria Math" w:hAnsi="Cambria Math"/>
                        <w:i/>
                      </w:rPr>
                    </m:ctrlPr>
                  </m:dPr>
                  <m:e>
                    <m:r>
                      <w:rPr>
                        <w:rFonts w:ascii="Cambria Math" w:hAnsi="Cambria Math"/>
                      </w:rPr>
                      <m:t>t</m:t>
                    </m:r>
                  </m:e>
                </m:d>
                <m:r>
                  <w:rPr>
                    <w:rFonts w:ascii="Cambria Math" w:hAnsi="Cambria Math"/>
                  </w:rPr>
                  <m:t>*</m:t>
                </m:r>
                <m:d>
                  <m:dPr>
                    <m:ctrlPr>
                      <w:rPr>
                        <w:rFonts w:ascii="Cambria Math" w:hAnsi="Cambria Math"/>
                        <w:i/>
                      </w:rPr>
                    </m:ctrlPr>
                  </m:dPr>
                  <m:e>
                    <m:r>
                      <w:rPr>
                        <w:rFonts w:ascii="Cambria Math" w:hAnsi="Cambria Math"/>
                      </w:rPr>
                      <m:t>1+dt*</m:t>
                    </m:r>
                    <m:f>
                      <m:fPr>
                        <m:ctrlPr>
                          <w:rPr>
                            <w:rFonts w:ascii="Cambria Math" w:hAnsi="Cambria Math"/>
                            <w:i/>
                          </w:rPr>
                        </m:ctrlPr>
                      </m:fPr>
                      <m:num>
                        <m:func>
                          <m:funcPr>
                            <m:ctrlPr>
                              <w:rPr>
                                <w:rFonts w:ascii="Cambria Math" w:hAnsi="Cambria Math"/>
                              </w:rPr>
                            </m:ctrlPr>
                          </m:funcPr>
                          <m:fName>
                            <m:r>
                              <m:rPr>
                                <m:sty m:val="p"/>
                              </m:rPr>
                              <w:rPr>
                                <w:rFonts w:ascii="Cambria Math" w:hAnsi="Cambria Math"/>
                              </w:rPr>
                              <m:t>ln</m:t>
                            </m:r>
                          </m:fName>
                          <m:e>
                            <m:d>
                              <m:dPr>
                                <m:ctrlPr>
                                  <w:rPr>
                                    <w:rFonts w:ascii="Cambria Math" w:hAnsi="Cambria Math"/>
                                    <w:i/>
                                  </w:rPr>
                                </m:ctrlPr>
                              </m:dPr>
                              <m:e>
                                <m:r>
                                  <w:rPr>
                                    <w:rFonts w:ascii="Cambria Math" w:hAnsi="Cambria Math"/>
                                  </w:rPr>
                                  <m:t>2</m:t>
                                </m:r>
                              </m:e>
                            </m:d>
                          </m:e>
                        </m:func>
                      </m:num>
                      <m:den>
                        <m:sSub>
                          <m:sSubPr>
                            <m:ctrlPr>
                              <w:rPr>
                                <w:rFonts w:ascii="Cambria Math" w:hAnsi="Cambria Math"/>
                                <w:i/>
                              </w:rPr>
                            </m:ctrlPr>
                          </m:sSubPr>
                          <m:e>
                            <m:r>
                              <w:rPr>
                                <w:rFonts w:ascii="Cambria Math" w:hAnsi="Cambria Math"/>
                              </w:rPr>
                              <m:t>t</m:t>
                            </m:r>
                          </m:e>
                          <m:sub>
                            <m:r>
                              <w:rPr>
                                <w:rFonts w:ascii="Cambria Math" w:hAnsi="Cambria Math"/>
                              </w:rPr>
                              <m:t>d</m:t>
                            </m:r>
                          </m:sub>
                        </m:sSub>
                      </m:den>
                    </m:f>
                  </m:e>
                </m:d>
              </m:oMath>
            </m:oMathPara>
          </w:p>
        </w:tc>
        <w:tc>
          <w:tcPr>
            <w:tcW w:w="367" w:type="pct"/>
            <w:vAlign w:val="center"/>
          </w:tcPr>
          <w:p w14:paraId="5A2610AE" w14:textId="13F27459" w:rsidR="000250EE" w:rsidRPr="00734121" w:rsidRDefault="000250EE" w:rsidP="001E2DA7">
            <w:pPr>
              <w:pStyle w:val="Caption"/>
              <w:spacing w:before="0" w:after="120" w:line="360" w:lineRule="auto"/>
              <w:ind w:left="2019" w:hanging="2019"/>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3730E2">
              <w:rPr>
                <w:rFonts w:asciiTheme="minorHAnsi" w:hAnsiTheme="minorHAnsi" w:cstheme="minorHAnsi"/>
                <w:b w:val="0"/>
                <w:bCs/>
                <w:sz w:val="22"/>
                <w:szCs w:val="22"/>
                <w:lang w:val="en-GB"/>
              </w:rPr>
              <w:t>5</w:t>
            </w:r>
            <w:r>
              <w:rPr>
                <w:rFonts w:asciiTheme="minorHAnsi" w:hAnsiTheme="minorHAnsi" w:cstheme="minorHAnsi"/>
                <w:b w:val="0"/>
                <w:bCs/>
                <w:sz w:val="22"/>
                <w:szCs w:val="22"/>
                <w:lang w:val="en-GB"/>
              </w:rPr>
              <w:t>.3)</w:t>
            </w:r>
          </w:p>
        </w:tc>
      </w:tr>
    </w:tbl>
    <w:p w14:paraId="7C14A9E2" w14:textId="0E48F3F2" w:rsidR="00A2305D" w:rsidRDefault="00A2305D" w:rsidP="00A2305D">
      <w:pPr>
        <w:tabs>
          <w:tab w:val="left" w:pos="1495"/>
        </w:tabs>
        <w:jc w:val="both"/>
      </w:pPr>
      <w:r w:rsidRPr="00734121">
        <w:t>The total volume of cancer cells</w:t>
      </w:r>
      <w:r w:rsidR="00001A67">
        <w:t xml:space="preserve"> </w:t>
      </w:r>
      <w:r w:rsidRPr="00734121">
        <w:t xml:space="preserve">in the proliferating shell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cells.shell</m:t>
            </m:r>
          </m:sub>
        </m:sSub>
      </m:oMath>
      <w:r w:rsidRPr="00734121">
        <w:t xml:space="preserve"> </w:t>
      </w:r>
      <w:r w:rsidR="00A3079B">
        <w:t xml:space="preserve">(Eq. </w:t>
      </w:r>
      <w:r w:rsidR="00A3079B" w:rsidRPr="004E0033">
        <w:rPr>
          <w:rFonts w:cstheme="minorHAnsi"/>
        </w:rPr>
        <w:t>S</w:t>
      </w:r>
      <w:r w:rsidR="00E81BE1">
        <w:rPr>
          <w:rFonts w:cstheme="minorHAnsi"/>
        </w:rPr>
        <w:t>5</w:t>
      </w:r>
      <w:r w:rsidR="00A3079B" w:rsidRPr="004E0033">
        <w:rPr>
          <w:rFonts w:cstheme="minorHAnsi"/>
        </w:rPr>
        <w:t>.</w:t>
      </w:r>
      <w:r w:rsidR="00A3079B">
        <w:rPr>
          <w:rFonts w:cstheme="minorHAnsi"/>
        </w:rPr>
        <w:t>4)</w:t>
      </w:r>
      <w:r w:rsidR="00A3079B" w:rsidRPr="00734121">
        <w:t xml:space="preserve"> </w:t>
      </w:r>
      <w:r w:rsidRPr="00734121">
        <w:t xml:space="preserve">is the sum of the volumes of all the sub-populations </w:t>
      </w:r>
      <w:r w:rsidR="00A514C0">
        <w:t xml:space="preserve">(Eq. </w:t>
      </w:r>
      <w:r w:rsidR="00A514C0" w:rsidRPr="004E0033">
        <w:rPr>
          <w:rFonts w:cstheme="minorHAnsi"/>
        </w:rPr>
        <w:t>S</w:t>
      </w:r>
      <w:r w:rsidR="00E81BE1">
        <w:rPr>
          <w:rFonts w:cstheme="minorHAnsi"/>
        </w:rPr>
        <w:t>5</w:t>
      </w:r>
      <w:r w:rsidR="00A514C0" w:rsidRPr="004E0033">
        <w:rPr>
          <w:rFonts w:cstheme="minorHAnsi"/>
        </w:rPr>
        <w:t>.</w:t>
      </w:r>
      <w:r w:rsidR="00A514C0">
        <w:rPr>
          <w:rFonts w:cstheme="minorHAnsi"/>
        </w:rPr>
        <w:t>2)</w:t>
      </w:r>
      <w:r w:rsidRPr="00734121">
        <w:t>:</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A3079B" w:rsidRPr="00734121" w14:paraId="5327C47F" w14:textId="77777777" w:rsidTr="001E2DA7">
        <w:tc>
          <w:tcPr>
            <w:tcW w:w="17" w:type="pct"/>
            <w:vAlign w:val="center"/>
          </w:tcPr>
          <w:p w14:paraId="6D102CE4" w14:textId="77777777" w:rsidR="00A3079B" w:rsidRPr="00734121" w:rsidRDefault="00A3079B" w:rsidP="001E2DA7">
            <w:pPr>
              <w:pStyle w:val="BodyText"/>
              <w:spacing w:before="0" w:after="120" w:line="360" w:lineRule="auto"/>
              <w:jc w:val="center"/>
              <w:rPr>
                <w:lang w:val="en-GB"/>
              </w:rPr>
            </w:pPr>
          </w:p>
        </w:tc>
        <w:tc>
          <w:tcPr>
            <w:tcW w:w="4617" w:type="pct"/>
            <w:vAlign w:val="center"/>
          </w:tcPr>
          <w:p w14:paraId="20972815" w14:textId="66426C3A" w:rsidR="00A3079B" w:rsidRPr="00EA7DD2" w:rsidRDefault="004F1A48" w:rsidP="001E2DA7">
            <w:pPr>
              <w:tabs>
                <w:tab w:val="left" w:pos="1495"/>
              </w:tabs>
              <w:spacing w:after="120" w:line="360" w:lineRule="auto"/>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cells.shell</m:t>
                    </m:r>
                  </m:sub>
                </m:sSub>
                <m:d>
                  <m:dPr>
                    <m:ctrlPr>
                      <w:rPr>
                        <w:rFonts w:ascii="Cambria Math" w:eastAsiaTheme="minorEastAsia" w:hAnsi="Cambria Math"/>
                        <w:i/>
                      </w:rPr>
                    </m:ctrlPr>
                  </m:dPr>
                  <m:e>
                    <m:r>
                      <w:rPr>
                        <w:rFonts w:ascii="Cambria Math" w:eastAsiaTheme="minorEastAsia" w:hAnsi="Cambria Math"/>
                      </w:rPr>
                      <m:t>t+dt</m:t>
                    </m:r>
                  </m:e>
                </m:d>
                <m:r>
                  <w:rPr>
                    <w:rFonts w:ascii="Cambria Math" w:hAnsi="Cambria Math"/>
                  </w:rPr>
                  <m:t>=</m:t>
                </m:r>
                <m:nary>
                  <m:naryPr>
                    <m:chr m:val="∑"/>
                    <m:limLoc m:val="subSup"/>
                    <m:supHide m:val="1"/>
                    <m:ctrlPr>
                      <w:rPr>
                        <w:rFonts w:ascii="Cambria Math" w:hAnsi="Cambria Math"/>
                        <w:i/>
                      </w:rPr>
                    </m:ctrlPr>
                  </m:naryPr>
                  <m:sub>
                    <m:r>
                      <w:rPr>
                        <w:rFonts w:ascii="Cambria Math" w:hAnsi="Cambria Math"/>
                      </w:rPr>
                      <m:t>S</m:t>
                    </m:r>
                  </m:sub>
                  <m:sup/>
                  <m:e>
                    <m:sSubSup>
                      <m:sSubSupPr>
                        <m:ctrlPr>
                          <w:rPr>
                            <w:rFonts w:ascii="Cambria Math" w:hAnsi="Cambria Math"/>
                            <w:i/>
                          </w:rPr>
                        </m:ctrlPr>
                      </m:sSubSupPr>
                      <m:e>
                        <m:r>
                          <w:rPr>
                            <w:rFonts w:ascii="Cambria Math" w:hAnsi="Cambria Math"/>
                          </w:rPr>
                          <m:t>V</m:t>
                        </m:r>
                      </m:e>
                      <m:sub>
                        <m:r>
                          <w:rPr>
                            <w:rFonts w:ascii="Cambria Math" w:hAnsi="Cambria Math"/>
                          </w:rPr>
                          <m:t>cells.pop</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t+dt</m:t>
                        </m:r>
                      </m:e>
                    </m:d>
                  </m:e>
                </m:nary>
              </m:oMath>
            </m:oMathPara>
          </w:p>
        </w:tc>
        <w:tc>
          <w:tcPr>
            <w:tcW w:w="367" w:type="pct"/>
            <w:vAlign w:val="center"/>
          </w:tcPr>
          <w:p w14:paraId="61E96DD7" w14:textId="074E407C" w:rsidR="00A3079B" w:rsidRPr="00734121" w:rsidRDefault="00A3079B" w:rsidP="001E2DA7">
            <w:pPr>
              <w:pStyle w:val="Caption"/>
              <w:spacing w:before="0" w:after="120" w:line="360" w:lineRule="auto"/>
              <w:ind w:left="2019" w:hanging="2019"/>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3730E2">
              <w:rPr>
                <w:rFonts w:asciiTheme="minorHAnsi" w:hAnsiTheme="minorHAnsi" w:cstheme="minorHAnsi"/>
                <w:b w:val="0"/>
                <w:bCs/>
                <w:sz w:val="22"/>
                <w:szCs w:val="22"/>
                <w:lang w:val="en-GB"/>
              </w:rPr>
              <w:t>5</w:t>
            </w:r>
            <w:r>
              <w:rPr>
                <w:rFonts w:asciiTheme="minorHAnsi" w:hAnsiTheme="minorHAnsi" w:cstheme="minorHAnsi"/>
                <w:b w:val="0"/>
                <w:bCs/>
                <w:sz w:val="22"/>
                <w:szCs w:val="22"/>
                <w:lang w:val="en-GB"/>
              </w:rPr>
              <w:t>.</w:t>
            </w:r>
            <w:r w:rsidR="00A95441">
              <w:rPr>
                <w:rFonts w:asciiTheme="minorHAnsi" w:hAnsiTheme="minorHAnsi" w:cstheme="minorHAnsi"/>
                <w:b w:val="0"/>
                <w:bCs/>
                <w:sz w:val="22"/>
                <w:szCs w:val="22"/>
                <w:lang w:val="en-GB"/>
              </w:rPr>
              <w:t>4</w:t>
            </w:r>
            <w:r>
              <w:rPr>
                <w:rFonts w:asciiTheme="minorHAnsi" w:hAnsiTheme="minorHAnsi" w:cstheme="minorHAnsi"/>
                <w:b w:val="0"/>
                <w:bCs/>
                <w:sz w:val="22"/>
                <w:szCs w:val="22"/>
                <w:lang w:val="en-GB"/>
              </w:rPr>
              <w:t>)</w:t>
            </w:r>
          </w:p>
        </w:tc>
      </w:tr>
    </w:tbl>
    <w:p w14:paraId="7221B822" w14:textId="178C5178" w:rsidR="00A2305D" w:rsidRPr="008854D8" w:rsidRDefault="00A2305D" w:rsidP="00A2305D">
      <w:pPr>
        <w:tabs>
          <w:tab w:val="left" w:pos="1495"/>
        </w:tabs>
        <w:jc w:val="both"/>
      </w:pPr>
      <w:r w:rsidRPr="00734121">
        <w:t xml:space="preserve">The relative change in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cells.shell</m:t>
            </m:r>
          </m:sub>
        </m:sSub>
      </m:oMath>
      <w:r w:rsidRPr="00734121">
        <w:rPr>
          <w:rFonts w:eastAsiaTheme="minorEastAsia"/>
        </w:rPr>
        <w:t xml:space="preserve"> </w:t>
      </w:r>
      <w:r w:rsidRPr="00734121">
        <w:t>defines the growth rate of the shell as shown</w:t>
      </w:r>
      <w:r w:rsidR="001070A3">
        <w:t xml:space="preserve"> in Eq. S</w:t>
      </w:r>
      <w:r w:rsidR="00A63B5B">
        <w:t>4</w:t>
      </w:r>
      <w:r w:rsidR="001070A3">
        <w:t>.2</w:t>
      </w:r>
      <w:r w:rsidRPr="00734121">
        <w:t xml:space="preserve">. Ultimately, only the relative change is considered and thus the initial volume </w:t>
      </w:r>
      <m:oMath>
        <m:sSub>
          <m:sSubPr>
            <m:ctrlPr>
              <w:rPr>
                <w:rFonts w:ascii="Cambria Math" w:hAnsi="Cambria Math"/>
                <w:i/>
              </w:rPr>
            </m:ctrlPr>
          </m:sSubPr>
          <m:e>
            <m:r>
              <m:rPr>
                <m:sty m:val="p"/>
              </m:rPr>
              <w:rPr>
                <w:rFonts w:ascii="Cambria Math" w:hAnsi="Cambria Math"/>
              </w:rPr>
              <m:t>Ψ</m:t>
            </m:r>
          </m:e>
          <m:sub>
            <m:r>
              <w:rPr>
                <w:rFonts w:ascii="Cambria Math" w:hAnsi="Cambria Math"/>
              </w:rPr>
              <m:t>cell.0</m:t>
            </m:r>
          </m:sub>
        </m:sSub>
      </m:oMath>
      <w:r w:rsidRPr="00734121">
        <w:rPr>
          <w:rFonts w:eastAsiaTheme="minorEastAsia"/>
        </w:rPr>
        <w:t xml:space="preserve"> can be set to an arbitrary value of 1.</w:t>
      </w:r>
    </w:p>
    <w:p w14:paraId="12A1D762" w14:textId="294A0D34" w:rsidR="00A2305D" w:rsidRPr="00734121" w:rsidRDefault="00A2305D" w:rsidP="009C6E64">
      <w:pPr>
        <w:pStyle w:val="Heading2"/>
        <w:numPr>
          <w:ilvl w:val="0"/>
          <w:numId w:val="10"/>
        </w:numPr>
        <w:rPr>
          <w:b/>
          <w:bCs/>
          <w:color w:val="auto"/>
        </w:rPr>
      </w:pPr>
      <w:r w:rsidRPr="00734121">
        <w:rPr>
          <w:b/>
          <w:bCs/>
          <w:color w:val="auto"/>
        </w:rPr>
        <w:t>Cell number calculation</w:t>
      </w:r>
      <w:r w:rsidR="003B081D" w:rsidRPr="00734121">
        <w:rPr>
          <w:b/>
          <w:bCs/>
          <w:color w:val="auto"/>
        </w:rPr>
        <w:t xml:space="preserve"> in the outer tumour shell</w:t>
      </w:r>
    </w:p>
    <w:p w14:paraId="091D26FA" w14:textId="419406CC" w:rsidR="00A2305D" w:rsidRDefault="00A2305D" w:rsidP="00A2305D">
      <w:pPr>
        <w:jc w:val="both"/>
      </w:pPr>
      <w:r w:rsidRPr="00734121">
        <w:t xml:space="preserve">The model tracks the number of live cancer cells </w:t>
      </w:r>
      <m:oMath>
        <m:sSubSup>
          <m:sSubSupPr>
            <m:ctrlPr>
              <w:rPr>
                <w:rFonts w:ascii="Cambria Math" w:hAnsi="Cambria Math"/>
                <w:i/>
              </w:rPr>
            </m:ctrlPr>
          </m:sSubSupPr>
          <m:e>
            <m:r>
              <w:rPr>
                <w:rFonts w:ascii="Cambria Math" w:hAnsi="Cambria Math"/>
              </w:rPr>
              <m:t>N</m:t>
            </m:r>
          </m:e>
          <m:sub>
            <m:r>
              <w:rPr>
                <w:rFonts w:ascii="Cambria Math" w:hAnsi="Cambria Math"/>
              </w:rPr>
              <m:t>cells</m:t>
            </m:r>
          </m:sub>
          <m:sup>
            <m:d>
              <m:dPr>
                <m:ctrlPr>
                  <w:rPr>
                    <w:rFonts w:ascii="Cambria Math" w:hAnsi="Cambria Math"/>
                    <w:i/>
                  </w:rPr>
                </m:ctrlPr>
              </m:dPr>
              <m:e>
                <m:r>
                  <w:rPr>
                    <w:rFonts w:ascii="Cambria Math" w:hAnsi="Cambria Math"/>
                  </w:rPr>
                  <m:t>S</m:t>
                </m:r>
              </m:e>
            </m:d>
          </m:sup>
        </m:sSubSup>
      </m:oMath>
      <w:r w:rsidRPr="62180955">
        <w:rPr>
          <w:rFonts w:eastAsiaTheme="minorEastAsia"/>
        </w:rPr>
        <w:t xml:space="preserve"> </w:t>
      </w:r>
      <w:r w:rsidR="00B0320F">
        <w:t>relative to time 0</w:t>
      </w:r>
      <w:r w:rsidR="00B0320F" w:rsidRPr="62180955">
        <w:rPr>
          <w:i/>
          <w:iCs/>
        </w:rPr>
        <w:t xml:space="preserve"> </w:t>
      </w:r>
      <w:r w:rsidRPr="00734121">
        <w:t xml:space="preserve">in each sub-population </w:t>
      </w:r>
      <w:r w:rsidRPr="62180955">
        <w:rPr>
          <w:i/>
          <w:iCs/>
        </w:rPr>
        <w:t>S</w:t>
      </w:r>
      <w:r w:rsidR="004C020A">
        <w:t xml:space="preserve"> </w:t>
      </w:r>
      <w:r w:rsidR="00EC6367" w:rsidRPr="00734121">
        <w:t xml:space="preserve">(see </w:t>
      </w:r>
      <w:r w:rsidR="00862FC3" w:rsidRPr="000F41FF">
        <w:rPr>
          <w:b/>
          <w:bCs/>
          <w:i/>
          <w:iCs/>
        </w:rPr>
        <w:t xml:space="preserve">Supplementary Methods </w:t>
      </w:r>
      <w:r w:rsidR="00862FC3">
        <w:rPr>
          <w:b/>
          <w:bCs/>
          <w:i/>
          <w:iCs/>
        </w:rPr>
        <w:t>3</w:t>
      </w:r>
      <w:r w:rsidR="00862FC3" w:rsidRPr="000F41FF">
        <w:rPr>
          <w:b/>
          <w:bCs/>
          <w:i/>
          <w:iCs/>
        </w:rPr>
        <w:t>:</w:t>
      </w:r>
      <w:r w:rsidR="00862FC3">
        <w:rPr>
          <w:b/>
          <w:bCs/>
          <w:i/>
          <w:iCs/>
        </w:rPr>
        <w:t xml:space="preserve"> </w:t>
      </w:r>
      <w:r w:rsidR="00EC6367" w:rsidRPr="62180955">
        <w:rPr>
          <w:b/>
          <w:bCs/>
          <w:i/>
          <w:iCs/>
        </w:rPr>
        <w:t>Cell population</w:t>
      </w:r>
      <w:r w:rsidR="00AE3E63" w:rsidRPr="62180955">
        <w:rPr>
          <w:b/>
          <w:bCs/>
          <w:i/>
          <w:iCs/>
        </w:rPr>
        <w:t xml:space="preserve"> PD</w:t>
      </w:r>
      <w:r w:rsidR="00EC6367" w:rsidRPr="62180955">
        <w:rPr>
          <w:b/>
          <w:bCs/>
          <w:i/>
          <w:iCs/>
        </w:rPr>
        <w:t xml:space="preserve"> </w:t>
      </w:r>
      <w:r w:rsidR="00D850E9" w:rsidRPr="62180955">
        <w:rPr>
          <w:b/>
          <w:bCs/>
          <w:i/>
          <w:iCs/>
        </w:rPr>
        <w:t>model</w:t>
      </w:r>
      <w:r w:rsidR="00EC6367" w:rsidRPr="00734121">
        <w:t>)</w:t>
      </w:r>
      <w:r w:rsidRPr="00734121">
        <w:t xml:space="preserve">, which is the sum of the cells normally proliferating </w:t>
      </w:r>
      <m:oMath>
        <m:sSubSup>
          <m:sSubSupPr>
            <m:ctrlPr>
              <w:rPr>
                <w:rFonts w:ascii="Cambria Math" w:hAnsi="Cambria Math"/>
                <w:i/>
              </w:rPr>
            </m:ctrlPr>
          </m:sSubSupPr>
          <m:e>
            <m:r>
              <w:rPr>
                <w:rFonts w:ascii="Cambria Math" w:hAnsi="Cambria Math"/>
              </w:rPr>
              <m:t>N</m:t>
            </m:r>
          </m:e>
          <m:sub>
            <m:r>
              <w:rPr>
                <w:rFonts w:ascii="Cambria Math" w:hAnsi="Cambria Math"/>
              </w:rPr>
              <m:t>cells.prolif</m:t>
            </m:r>
          </m:sub>
          <m:sup>
            <m:d>
              <m:dPr>
                <m:ctrlPr>
                  <w:rPr>
                    <w:rFonts w:ascii="Cambria Math" w:hAnsi="Cambria Math"/>
                    <w:i/>
                  </w:rPr>
                </m:ctrlPr>
              </m:dPr>
              <m:e>
                <m:r>
                  <w:rPr>
                    <w:rFonts w:ascii="Cambria Math" w:hAnsi="Cambria Math"/>
                  </w:rPr>
                  <m:t>S</m:t>
                </m:r>
              </m:e>
            </m:d>
          </m:sup>
        </m:sSubSup>
      </m:oMath>
      <w:r w:rsidRPr="62180955">
        <w:rPr>
          <w:rFonts w:eastAsiaTheme="minorEastAsia"/>
        </w:rPr>
        <w:t xml:space="preserve"> </w:t>
      </w:r>
      <w:r w:rsidRPr="00734121">
        <w:t>and the cells destined to delayed cell death</w:t>
      </w:r>
      <w:r w:rsidR="001E67B7" w:rsidRPr="00734121">
        <w:t xml:space="preserve"> </w:t>
      </w:r>
      <m:oMath>
        <m:sSubSup>
          <m:sSubSupPr>
            <m:ctrlPr>
              <w:rPr>
                <w:rFonts w:ascii="Cambria Math" w:hAnsi="Cambria Math"/>
                <w:i/>
              </w:rPr>
            </m:ctrlPr>
          </m:sSubSupPr>
          <m:e>
            <m:r>
              <w:rPr>
                <w:rFonts w:ascii="Cambria Math" w:hAnsi="Cambria Math"/>
              </w:rPr>
              <m:t>N</m:t>
            </m:r>
          </m:e>
          <m:sub>
            <m:r>
              <w:rPr>
                <w:rFonts w:ascii="Cambria Math" w:hAnsi="Cambria Math"/>
              </w:rPr>
              <m:t>cells.fated</m:t>
            </m:r>
          </m:sub>
          <m:sup>
            <m:d>
              <m:dPr>
                <m:ctrlPr>
                  <w:rPr>
                    <w:rFonts w:ascii="Cambria Math" w:hAnsi="Cambria Math"/>
                    <w:i/>
                  </w:rPr>
                </m:ctrlPr>
              </m:dPr>
              <m:e>
                <m:r>
                  <w:rPr>
                    <w:rFonts w:ascii="Cambria Math" w:hAnsi="Cambria Math"/>
                  </w:rPr>
                  <m:t>S</m:t>
                </m:r>
              </m:e>
            </m:d>
          </m:sup>
        </m:sSubSup>
      </m:oMath>
      <w:r w:rsidRPr="00734121">
        <w:t>:</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8513E0" w:rsidRPr="00734121" w14:paraId="6EB920A4" w14:textId="77777777" w:rsidTr="001E2DA7">
        <w:tc>
          <w:tcPr>
            <w:tcW w:w="17" w:type="pct"/>
            <w:vAlign w:val="center"/>
          </w:tcPr>
          <w:p w14:paraId="55288366" w14:textId="77777777" w:rsidR="008513E0" w:rsidRPr="00734121" w:rsidRDefault="008513E0" w:rsidP="001E2DA7">
            <w:pPr>
              <w:pStyle w:val="BodyText"/>
              <w:spacing w:before="0" w:after="120" w:line="360" w:lineRule="auto"/>
              <w:jc w:val="center"/>
              <w:rPr>
                <w:lang w:val="en-GB"/>
              </w:rPr>
            </w:pPr>
          </w:p>
        </w:tc>
        <w:tc>
          <w:tcPr>
            <w:tcW w:w="4617" w:type="pct"/>
            <w:vAlign w:val="center"/>
          </w:tcPr>
          <w:p w14:paraId="0E45B88C" w14:textId="2FE8456F" w:rsidR="008513E0" w:rsidRPr="00EA7DD2" w:rsidRDefault="004F1A48" w:rsidP="001E2DA7">
            <w:pPr>
              <w:tabs>
                <w:tab w:val="left" w:pos="1495"/>
              </w:tabs>
              <w:spacing w:after="120" w:line="360" w:lineRule="auto"/>
              <w:jc w:val="both"/>
              <w:rPr>
                <w:rFonts w:eastAsiaTheme="minorEastAsia"/>
              </w:rPr>
            </w:pPr>
            <m:oMathPara>
              <m:oMath>
                <m:sSubSup>
                  <m:sSubSupPr>
                    <m:ctrlPr>
                      <w:rPr>
                        <w:rFonts w:ascii="Cambria Math" w:hAnsi="Cambria Math"/>
                        <w:i/>
                      </w:rPr>
                    </m:ctrlPr>
                  </m:sSubSupPr>
                  <m:e>
                    <m:r>
                      <w:rPr>
                        <w:rFonts w:ascii="Cambria Math" w:hAnsi="Cambria Math"/>
                      </w:rPr>
                      <m:t>N</m:t>
                    </m:r>
                  </m:e>
                  <m:sub>
                    <m:r>
                      <w:rPr>
                        <w:rFonts w:ascii="Cambria Math" w:hAnsi="Cambria Math"/>
                      </w:rPr>
                      <m:t>cells</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t+dt</m:t>
                    </m:r>
                  </m:e>
                </m:d>
                <m:r>
                  <w:rPr>
                    <w:rFonts w:ascii="Cambria Math" w:hAnsi="Cambria Math"/>
                  </w:rPr>
                  <m:t>=</m:t>
                </m:r>
                <m:sSubSup>
                  <m:sSubSupPr>
                    <m:ctrlPr>
                      <w:rPr>
                        <w:rFonts w:ascii="Cambria Math" w:hAnsi="Cambria Math"/>
                        <w:i/>
                      </w:rPr>
                    </m:ctrlPr>
                  </m:sSubSupPr>
                  <m:e>
                    <m:r>
                      <w:rPr>
                        <w:rFonts w:ascii="Cambria Math" w:hAnsi="Cambria Math"/>
                      </w:rPr>
                      <m:t>N</m:t>
                    </m:r>
                  </m:e>
                  <m:sub>
                    <m:r>
                      <w:rPr>
                        <w:rFonts w:ascii="Cambria Math" w:hAnsi="Cambria Math"/>
                      </w:rPr>
                      <m:t>cells.prolif</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t+dt</m:t>
                    </m:r>
                  </m:e>
                </m:d>
                <m:r>
                  <w:rPr>
                    <w:rFonts w:ascii="Cambria Math" w:eastAsiaTheme="minorEastAsia" w:hAnsi="Cambria Math"/>
                  </w:rPr>
                  <m:t>+</m:t>
                </m:r>
                <m:sSubSup>
                  <m:sSubSupPr>
                    <m:ctrlPr>
                      <w:rPr>
                        <w:rFonts w:ascii="Cambria Math" w:hAnsi="Cambria Math"/>
                        <w:i/>
                      </w:rPr>
                    </m:ctrlPr>
                  </m:sSubSupPr>
                  <m:e>
                    <m:r>
                      <w:rPr>
                        <w:rFonts w:ascii="Cambria Math" w:hAnsi="Cambria Math"/>
                      </w:rPr>
                      <m:t>N</m:t>
                    </m:r>
                  </m:e>
                  <m:sub>
                    <m:r>
                      <w:rPr>
                        <w:rFonts w:ascii="Cambria Math" w:hAnsi="Cambria Math"/>
                      </w:rPr>
                      <m:t>cells.fated</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t+dt</m:t>
                    </m:r>
                  </m:e>
                </m:d>
              </m:oMath>
            </m:oMathPara>
          </w:p>
        </w:tc>
        <w:tc>
          <w:tcPr>
            <w:tcW w:w="367" w:type="pct"/>
            <w:vAlign w:val="center"/>
          </w:tcPr>
          <w:p w14:paraId="23C59A31" w14:textId="755D1767" w:rsidR="008513E0" w:rsidRPr="00734121" w:rsidRDefault="008513E0" w:rsidP="001E2DA7">
            <w:pPr>
              <w:pStyle w:val="Caption"/>
              <w:spacing w:before="0" w:after="120" w:line="360" w:lineRule="auto"/>
              <w:ind w:left="2019" w:hanging="2019"/>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071F4F">
              <w:rPr>
                <w:rFonts w:asciiTheme="minorHAnsi" w:hAnsiTheme="minorHAnsi" w:cstheme="minorHAnsi"/>
                <w:b w:val="0"/>
                <w:bCs/>
                <w:sz w:val="22"/>
                <w:szCs w:val="22"/>
                <w:lang w:val="en-GB"/>
              </w:rPr>
              <w:t>6</w:t>
            </w:r>
            <w:r>
              <w:rPr>
                <w:rFonts w:asciiTheme="minorHAnsi" w:hAnsiTheme="minorHAnsi" w:cstheme="minorHAnsi"/>
                <w:b w:val="0"/>
                <w:bCs/>
                <w:sz w:val="22"/>
                <w:szCs w:val="22"/>
                <w:lang w:val="en-GB"/>
              </w:rPr>
              <w:t>.1)</w:t>
            </w:r>
          </w:p>
        </w:tc>
      </w:tr>
    </w:tbl>
    <w:p w14:paraId="774478D8" w14:textId="37D92E4D" w:rsidR="00A2305D" w:rsidRDefault="00A2305D" w:rsidP="00A2305D">
      <w:pPr>
        <w:jc w:val="both"/>
      </w:pPr>
      <w:r w:rsidRPr="00734121">
        <w:rPr>
          <w:rFonts w:eastAsiaTheme="minorEastAsia"/>
        </w:rPr>
        <w:t xml:space="preserve">DNA </w:t>
      </w:r>
      <w:r w:rsidRPr="00734121">
        <w:t xml:space="preserve">damage may cause normally proliferating cells to undergo either immediate cell death at rate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kill</m:t>
            </m:r>
          </m:sub>
        </m:sSub>
        <m:d>
          <m:dPr>
            <m:ctrlPr>
              <w:rPr>
                <w:rFonts w:ascii="Cambria Math" w:eastAsiaTheme="minorEastAsia" w:hAnsi="Cambria Math"/>
                <w:i/>
              </w:rPr>
            </m:ctrlPr>
          </m:dPr>
          <m:e>
            <m:r>
              <w:rPr>
                <w:rFonts w:ascii="Cambria Math" w:eastAsiaTheme="minorEastAsia" w:hAnsi="Cambria Math"/>
              </w:rPr>
              <m:t>t</m:t>
            </m:r>
          </m:e>
        </m:d>
      </m:oMath>
      <w:r w:rsidRPr="00734121">
        <w:t xml:space="preserve"> (Eq. 6 in main text) or delayed cell death at rate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delay_kill</m:t>
            </m:r>
          </m:sub>
        </m:sSub>
        <m:d>
          <m:dPr>
            <m:ctrlPr>
              <w:rPr>
                <w:rFonts w:ascii="Cambria Math" w:eastAsiaTheme="minorEastAsia" w:hAnsi="Cambria Math"/>
                <w:i/>
              </w:rPr>
            </m:ctrlPr>
          </m:dPr>
          <m:e>
            <m:r>
              <w:rPr>
                <w:rFonts w:ascii="Cambria Math" w:eastAsiaTheme="minorEastAsia" w:hAnsi="Cambria Math"/>
              </w:rPr>
              <m:t>t</m:t>
            </m:r>
          </m:e>
        </m:d>
      </m:oMath>
      <w:r w:rsidRPr="00734121">
        <w:rPr>
          <w:color w:val="FF0000"/>
        </w:rPr>
        <w:t xml:space="preserve"> </w:t>
      </w:r>
      <w:r w:rsidRPr="00734121">
        <w:t xml:space="preserve">(Eq. </w:t>
      </w:r>
      <w:r w:rsidR="002B3D8D" w:rsidRPr="00734121">
        <w:t>7</w:t>
      </w:r>
      <w:r w:rsidRPr="00734121">
        <w:t xml:space="preserve"> in main text). In the latter case, the cells are </w:t>
      </w:r>
      <w:r w:rsidRPr="00734121">
        <w:rPr>
          <w:rFonts w:eastAsiaTheme="minorEastAsia"/>
        </w:rPr>
        <w:t xml:space="preserve">transferred to the fated population. </w:t>
      </w:r>
      <w:r w:rsidRPr="00734121">
        <w:t xml:space="preserve">Therefore, the remaining number of normally proliferating cells at time </w:t>
      </w:r>
      <m:oMath>
        <m:r>
          <w:rPr>
            <w:rFonts w:ascii="Cambria Math" w:eastAsiaTheme="minorEastAsia" w:hAnsi="Cambria Math"/>
          </w:rPr>
          <m:t>t+dt</m:t>
        </m:r>
      </m:oMath>
      <w:r w:rsidRPr="00734121">
        <w:t xml:space="preserve"> is:</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8513E0" w:rsidRPr="00734121" w14:paraId="0456E612" w14:textId="77777777" w:rsidTr="001E2DA7">
        <w:tc>
          <w:tcPr>
            <w:tcW w:w="17" w:type="pct"/>
            <w:vAlign w:val="center"/>
          </w:tcPr>
          <w:p w14:paraId="2DDC2C87" w14:textId="77777777" w:rsidR="008513E0" w:rsidRPr="00734121" w:rsidRDefault="008513E0" w:rsidP="001E2DA7">
            <w:pPr>
              <w:pStyle w:val="BodyText"/>
              <w:spacing w:before="0" w:after="120" w:line="360" w:lineRule="auto"/>
              <w:jc w:val="center"/>
              <w:rPr>
                <w:lang w:val="en-GB"/>
              </w:rPr>
            </w:pPr>
          </w:p>
        </w:tc>
        <w:tc>
          <w:tcPr>
            <w:tcW w:w="4617" w:type="pct"/>
            <w:vAlign w:val="center"/>
          </w:tcPr>
          <w:p w14:paraId="72A5111B" w14:textId="7E4597B1" w:rsidR="008513E0" w:rsidRPr="00EA7DD2" w:rsidRDefault="004F1A48" w:rsidP="001E2DA7">
            <w:pPr>
              <w:tabs>
                <w:tab w:val="left" w:pos="1495"/>
              </w:tabs>
              <w:spacing w:after="120" w:line="360" w:lineRule="auto"/>
              <w:jc w:val="both"/>
              <w:rPr>
                <w:rFonts w:eastAsiaTheme="minorEastAsia"/>
              </w:rPr>
            </w:pPr>
            <m:oMathPara>
              <m:oMath>
                <m:sSubSup>
                  <m:sSubSupPr>
                    <m:ctrlPr>
                      <w:rPr>
                        <w:rFonts w:ascii="Cambria Math" w:hAnsi="Cambria Math"/>
                        <w:i/>
                      </w:rPr>
                    </m:ctrlPr>
                  </m:sSubSupPr>
                  <m:e>
                    <m:r>
                      <w:rPr>
                        <w:rFonts w:ascii="Cambria Math" w:hAnsi="Cambria Math"/>
                      </w:rPr>
                      <m:t>N</m:t>
                    </m:r>
                  </m:e>
                  <m:sub>
                    <m:r>
                      <w:rPr>
                        <w:rFonts w:ascii="Cambria Math" w:hAnsi="Cambria Math"/>
                      </w:rPr>
                      <m:t>cells.prolif</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t+dt</m:t>
                    </m:r>
                  </m:e>
                </m:d>
                <m:r>
                  <w:rPr>
                    <w:rFonts w:ascii="Cambria Math" w:hAnsi="Cambria Math"/>
                  </w:rPr>
                  <m:t>=</m:t>
                </m:r>
                <m:sSubSup>
                  <m:sSubSupPr>
                    <m:ctrlPr>
                      <w:rPr>
                        <w:rFonts w:ascii="Cambria Math" w:hAnsi="Cambria Math"/>
                        <w:i/>
                      </w:rPr>
                    </m:ctrlPr>
                  </m:sSubSupPr>
                  <m:e>
                    <m:r>
                      <w:rPr>
                        <w:rFonts w:ascii="Cambria Math" w:hAnsi="Cambria Math"/>
                      </w:rPr>
                      <m:t>N</m:t>
                    </m:r>
                  </m:e>
                  <m:sub>
                    <m:r>
                      <w:rPr>
                        <w:rFonts w:ascii="Cambria Math" w:hAnsi="Cambria Math"/>
                      </w:rPr>
                      <m:t>cells.prolif</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1-dt*</m:t>
                    </m:r>
                    <m:sSub>
                      <m:sSubPr>
                        <m:ctrlPr>
                          <w:rPr>
                            <w:rFonts w:ascii="Cambria Math" w:hAnsi="Cambria Math"/>
                            <w:i/>
                          </w:rPr>
                        </m:ctrlPr>
                      </m:sSubPr>
                      <m:e>
                        <m:r>
                          <w:rPr>
                            <w:rFonts w:ascii="Cambria Math" w:hAnsi="Cambria Math"/>
                          </w:rPr>
                          <m:t>R</m:t>
                        </m:r>
                      </m:e>
                      <m:sub>
                        <m:r>
                          <w:rPr>
                            <w:rFonts w:ascii="Cambria Math" w:hAnsi="Cambria Math"/>
                          </w:rPr>
                          <m:t>kill</m:t>
                        </m:r>
                      </m:sub>
                    </m:sSub>
                    <m:d>
                      <m:dPr>
                        <m:ctrlPr>
                          <w:rPr>
                            <w:rFonts w:ascii="Cambria Math" w:hAnsi="Cambria Math"/>
                            <w:i/>
                          </w:rPr>
                        </m:ctrlPr>
                      </m:dPr>
                      <m:e>
                        <m:r>
                          <w:rPr>
                            <w:rFonts w:ascii="Cambria Math" w:hAnsi="Cambria Math"/>
                          </w:rPr>
                          <m:t>t+dt</m:t>
                        </m:r>
                      </m:e>
                    </m:d>
                    <m:r>
                      <w:rPr>
                        <w:rFonts w:ascii="Cambria Math" w:hAnsi="Cambria Math"/>
                      </w:rPr>
                      <m:t>-dt*</m:t>
                    </m:r>
                    <m:sSub>
                      <m:sSubPr>
                        <m:ctrlPr>
                          <w:rPr>
                            <w:rFonts w:ascii="Cambria Math" w:hAnsi="Cambria Math"/>
                            <w:i/>
                          </w:rPr>
                        </m:ctrlPr>
                      </m:sSubPr>
                      <m:e>
                        <m:r>
                          <w:rPr>
                            <w:rFonts w:ascii="Cambria Math" w:hAnsi="Cambria Math"/>
                          </w:rPr>
                          <m:t>R</m:t>
                        </m:r>
                      </m:e>
                      <m:sub>
                        <m:r>
                          <w:rPr>
                            <w:rFonts w:ascii="Cambria Math" w:hAnsi="Cambria Math"/>
                          </w:rPr>
                          <m:t>delay_kill</m:t>
                        </m:r>
                      </m:sub>
                    </m:sSub>
                    <m:r>
                      <w:rPr>
                        <w:rFonts w:ascii="Cambria Math" w:hAnsi="Cambria Math"/>
                      </w:rPr>
                      <m:t>(t+dt)</m:t>
                    </m:r>
                  </m:e>
                </m:d>
              </m:oMath>
            </m:oMathPara>
          </w:p>
        </w:tc>
        <w:tc>
          <w:tcPr>
            <w:tcW w:w="367" w:type="pct"/>
            <w:vAlign w:val="center"/>
          </w:tcPr>
          <w:p w14:paraId="418E1F63" w14:textId="3566EE8C" w:rsidR="008513E0" w:rsidRPr="00734121" w:rsidRDefault="008513E0" w:rsidP="001E2DA7">
            <w:pPr>
              <w:pStyle w:val="Caption"/>
              <w:spacing w:before="0" w:after="120" w:line="360" w:lineRule="auto"/>
              <w:ind w:left="2019" w:hanging="2019"/>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071F4F">
              <w:rPr>
                <w:rFonts w:asciiTheme="minorHAnsi" w:hAnsiTheme="minorHAnsi" w:cstheme="minorHAnsi"/>
                <w:b w:val="0"/>
                <w:bCs/>
                <w:sz w:val="22"/>
                <w:szCs w:val="22"/>
                <w:lang w:val="en-GB"/>
              </w:rPr>
              <w:t>6</w:t>
            </w:r>
            <w:r>
              <w:rPr>
                <w:rFonts w:asciiTheme="minorHAnsi" w:hAnsiTheme="minorHAnsi" w:cstheme="minorHAnsi"/>
                <w:b w:val="0"/>
                <w:bCs/>
                <w:sz w:val="22"/>
                <w:szCs w:val="22"/>
                <w:lang w:val="en-GB"/>
              </w:rPr>
              <w:t>.2)</w:t>
            </w:r>
          </w:p>
        </w:tc>
      </w:tr>
    </w:tbl>
    <w:p w14:paraId="07690A08" w14:textId="48671D94" w:rsidR="00BF1AAC" w:rsidRPr="00734121" w:rsidRDefault="00726AB7" w:rsidP="00A2305D">
      <w:pPr>
        <w:jc w:val="both"/>
      </w:pPr>
      <w:r w:rsidRPr="00734121">
        <w:t xml:space="preserve">The </w:t>
      </w:r>
      <w:r w:rsidR="00C13663" w:rsidRPr="00734121">
        <w:t xml:space="preserve">cells that were </w:t>
      </w:r>
      <w:r w:rsidR="00C13663" w:rsidRPr="00734121">
        <w:rPr>
          <w:rFonts w:eastAsiaTheme="minorEastAsia"/>
        </w:rPr>
        <w:t>transferred to the fated population</w:t>
      </w:r>
      <w:r w:rsidR="007403E0" w:rsidRPr="00734121">
        <w:rPr>
          <w:rFonts w:eastAsiaTheme="minorEastAsia"/>
        </w:rPr>
        <w:t xml:space="preserve"> (generation 0)</w:t>
      </w:r>
      <w:r w:rsidR="00C13663" w:rsidRPr="00734121">
        <w:t xml:space="preserve"> </w:t>
      </w:r>
      <w:r w:rsidRPr="00734121">
        <w:t xml:space="preserve">lose their ability to form a colony as </w:t>
      </w:r>
      <w:r w:rsidR="00C13663" w:rsidRPr="00734121">
        <w:t xml:space="preserve">they may only </w:t>
      </w:r>
      <w:r w:rsidR="00C13663" w:rsidRPr="00734121">
        <w:rPr>
          <w:rFonts w:eastAsiaTheme="minorEastAsia"/>
        </w:rPr>
        <w:t>proliferate up to seven divisions</w:t>
      </w:r>
      <w:r w:rsidR="007403E0" w:rsidRPr="00734121">
        <w:rPr>
          <w:rFonts w:eastAsiaTheme="minorEastAsia"/>
        </w:rPr>
        <w:t xml:space="preserve"> (generations 1 to 7)</w:t>
      </w:r>
      <w:r w:rsidR="00C13663" w:rsidRPr="00734121">
        <w:rPr>
          <w:rFonts w:eastAsiaTheme="minorEastAsia"/>
        </w:rPr>
        <w:t>, and t</w:t>
      </w:r>
      <w:r w:rsidR="002B3D8D" w:rsidRPr="00734121">
        <w:t>heir progeny</w:t>
      </w:r>
      <w:r w:rsidRPr="00734121">
        <w:t xml:space="preserve"> </w:t>
      </w:r>
      <w:r w:rsidR="002B3D8D" w:rsidRPr="00734121">
        <w:t>ultimately</w:t>
      </w:r>
      <w:r w:rsidRPr="00734121">
        <w:t xml:space="preserve"> die or become senescent</w:t>
      </w:r>
      <w:r w:rsidR="00BF1AAC" w:rsidRPr="00734121">
        <w:t>,</w:t>
      </w:r>
      <w:r w:rsidR="00C13663" w:rsidRPr="00734121">
        <w:t xml:space="preserve"> with increasing likelihood at every generation.</w:t>
      </w:r>
      <w:r w:rsidR="00BF1AAC" w:rsidRPr="00734121">
        <w:t xml:space="preserve"> At any time, the total number of fated cells in sub-population </w:t>
      </w:r>
      <w:r w:rsidR="00BF1AAC" w:rsidRPr="00734121">
        <w:rPr>
          <w:i/>
          <w:iCs/>
        </w:rPr>
        <w:t xml:space="preserve">S </w:t>
      </w:r>
      <w:r w:rsidR="00BF1AAC" w:rsidRPr="00734121">
        <w:t>is the sum of all generations and the senescent cells:</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BF1AAC" w:rsidRPr="00734121" w14:paraId="6219E1AD" w14:textId="77777777" w:rsidTr="0038570D">
        <w:tc>
          <w:tcPr>
            <w:tcW w:w="17" w:type="pct"/>
            <w:vAlign w:val="center"/>
          </w:tcPr>
          <w:p w14:paraId="6AF6D773" w14:textId="77777777" w:rsidR="00BF1AAC" w:rsidRPr="00734121" w:rsidRDefault="00BF1AAC" w:rsidP="006B6C8C">
            <w:pPr>
              <w:pStyle w:val="BodyText"/>
              <w:spacing w:before="0" w:after="160" w:line="360" w:lineRule="auto"/>
              <w:contextualSpacing/>
              <w:jc w:val="center"/>
              <w:rPr>
                <w:lang w:val="en-GB"/>
              </w:rPr>
            </w:pPr>
          </w:p>
        </w:tc>
        <w:tc>
          <w:tcPr>
            <w:tcW w:w="4617" w:type="pct"/>
            <w:vAlign w:val="center"/>
          </w:tcPr>
          <w:p w14:paraId="1AB4399C" w14:textId="144584A6" w:rsidR="00BF1AAC" w:rsidRPr="00734121" w:rsidRDefault="004F1A48" w:rsidP="006B6C8C">
            <w:pPr>
              <w:tabs>
                <w:tab w:val="left" w:pos="1495"/>
              </w:tabs>
              <w:spacing w:after="160" w:line="360" w:lineRule="auto"/>
              <w:contextualSpacing/>
              <w:jc w:val="center"/>
            </w:pPr>
            <m:oMathPara>
              <m:oMath>
                <m:sSubSup>
                  <m:sSubSupPr>
                    <m:ctrlPr>
                      <w:rPr>
                        <w:rFonts w:ascii="Cambria Math" w:hAnsi="Cambria Math"/>
                        <w:i/>
                      </w:rPr>
                    </m:ctrlPr>
                  </m:sSubSupPr>
                  <m:e>
                    <m:r>
                      <w:rPr>
                        <w:rFonts w:ascii="Cambria Math" w:hAnsi="Cambria Math"/>
                      </w:rPr>
                      <m:t>N</m:t>
                    </m:r>
                  </m:e>
                  <m:sub>
                    <m:r>
                      <w:rPr>
                        <w:rFonts w:ascii="Cambria Math" w:hAnsi="Cambria Math"/>
                      </w:rPr>
                      <m:t>cells.fated</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m:t>
                    </m:r>
                  </m:e>
                </m:d>
                <m:r>
                  <w:rPr>
                    <w:rFonts w:ascii="Cambria Math" w:hAnsi="Cambria Math"/>
                  </w:rPr>
                  <m:t xml:space="preserve">= </m:t>
                </m:r>
                <m:sSubSup>
                  <m:sSubSupPr>
                    <m:ctrlPr>
                      <w:rPr>
                        <w:rFonts w:ascii="Cambria Math" w:hAnsi="Cambria Math"/>
                        <w:i/>
                      </w:rPr>
                    </m:ctrlPr>
                  </m:sSubSupPr>
                  <m:e>
                    <m:r>
                      <w:rPr>
                        <w:rFonts w:ascii="Cambria Math" w:hAnsi="Cambria Math"/>
                      </w:rPr>
                      <m:t>N</m:t>
                    </m:r>
                  </m:e>
                  <m:sub>
                    <m:r>
                      <w:rPr>
                        <w:rFonts w:ascii="Cambria Math" w:hAnsi="Cambria Math"/>
                      </w:rPr>
                      <m:t>cells.fated.senesc</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 xml:space="preserve">+ </m:t>
                </m:r>
                <m:nary>
                  <m:naryPr>
                    <m:chr m:val="∑"/>
                    <m:limLoc m:val="subSup"/>
                    <m:ctrlPr>
                      <w:rPr>
                        <w:rFonts w:ascii="Cambria Math" w:hAnsi="Cambria Math"/>
                        <w:i/>
                      </w:rPr>
                    </m:ctrlPr>
                  </m:naryPr>
                  <m:sub>
                    <m:r>
                      <w:rPr>
                        <w:rFonts w:ascii="Cambria Math" w:hAnsi="Cambria Math"/>
                      </w:rPr>
                      <m:t>Y=0</m:t>
                    </m:r>
                  </m:sub>
                  <m:sup>
                    <m:r>
                      <w:rPr>
                        <w:rFonts w:ascii="Cambria Math" w:hAnsi="Cambria Math"/>
                      </w:rPr>
                      <m:t>7</m:t>
                    </m:r>
                  </m:sup>
                  <m:e>
                    <m:sSubSup>
                      <m:sSubSupPr>
                        <m:ctrlPr>
                          <w:rPr>
                            <w:rFonts w:ascii="Cambria Math" w:hAnsi="Cambria Math"/>
                            <w:i/>
                          </w:rPr>
                        </m:ctrlPr>
                      </m:sSubSupPr>
                      <m:e>
                        <m:r>
                          <w:rPr>
                            <w:rFonts w:ascii="Cambria Math" w:hAnsi="Cambria Math"/>
                          </w:rPr>
                          <m:t>N</m:t>
                        </m:r>
                      </m:e>
                      <m:sub>
                        <m:r>
                          <w:rPr>
                            <w:rFonts w:ascii="Cambria Math" w:hAnsi="Cambria Math"/>
                          </w:rPr>
                          <m:t>cells.fated.genY</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m:t>
                        </m:r>
                      </m:e>
                    </m:d>
                  </m:e>
                </m:nary>
              </m:oMath>
            </m:oMathPara>
          </w:p>
        </w:tc>
        <w:tc>
          <w:tcPr>
            <w:tcW w:w="367" w:type="pct"/>
            <w:vAlign w:val="center"/>
          </w:tcPr>
          <w:p w14:paraId="0F12DFA1" w14:textId="78D82D8D" w:rsidR="00BF1AAC" w:rsidRPr="00734121" w:rsidRDefault="00BF1AAC" w:rsidP="006B6C8C">
            <w:pPr>
              <w:pStyle w:val="Caption"/>
              <w:spacing w:before="0" w:after="160" w:line="360" w:lineRule="auto"/>
              <w:ind w:left="2019" w:hanging="2019"/>
              <w:contextualSpacing/>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w:t>
            </w:r>
            <w:r w:rsidR="0038570D">
              <w:rPr>
                <w:rFonts w:asciiTheme="minorHAnsi" w:hAnsiTheme="minorHAnsi" w:cstheme="minorHAnsi"/>
                <w:b w:val="0"/>
                <w:bCs/>
                <w:sz w:val="22"/>
                <w:szCs w:val="22"/>
                <w:lang w:val="en-GB"/>
              </w:rPr>
              <w:t>S</w:t>
            </w:r>
            <w:r w:rsidR="00071F4F">
              <w:rPr>
                <w:rFonts w:asciiTheme="minorHAnsi" w:hAnsiTheme="minorHAnsi" w:cstheme="minorHAnsi"/>
                <w:b w:val="0"/>
                <w:bCs/>
                <w:sz w:val="22"/>
                <w:szCs w:val="22"/>
                <w:lang w:val="en-GB"/>
              </w:rPr>
              <w:t>6</w:t>
            </w:r>
            <w:r w:rsidR="0038570D">
              <w:rPr>
                <w:rFonts w:asciiTheme="minorHAnsi" w:hAnsiTheme="minorHAnsi" w:cstheme="minorHAnsi"/>
                <w:b w:val="0"/>
                <w:bCs/>
                <w:sz w:val="22"/>
                <w:szCs w:val="22"/>
                <w:lang w:val="en-GB"/>
              </w:rPr>
              <w:t>.3</w:t>
            </w:r>
            <w:r w:rsidRPr="00734121">
              <w:rPr>
                <w:rFonts w:asciiTheme="minorHAnsi" w:hAnsiTheme="minorHAnsi" w:cstheme="minorHAnsi"/>
                <w:b w:val="0"/>
                <w:bCs/>
                <w:sz w:val="22"/>
                <w:szCs w:val="22"/>
                <w:lang w:val="en-GB"/>
              </w:rPr>
              <w:t>)</w:t>
            </w:r>
          </w:p>
        </w:tc>
      </w:tr>
    </w:tbl>
    <w:p w14:paraId="63DEE629" w14:textId="4AAF8670" w:rsidR="00C13663" w:rsidRPr="00734121" w:rsidRDefault="00081887" w:rsidP="00C13663">
      <w:pPr>
        <w:pStyle w:val="ListParagraph"/>
        <w:numPr>
          <w:ilvl w:val="0"/>
          <w:numId w:val="6"/>
        </w:numPr>
        <w:tabs>
          <w:tab w:val="left" w:pos="1495"/>
        </w:tabs>
        <w:spacing w:line="259" w:lineRule="auto"/>
        <w:jc w:val="both"/>
      </w:pPr>
      <w:r w:rsidRPr="00734121">
        <w:rPr>
          <w:b/>
          <w:bCs/>
        </w:rPr>
        <w:t>Throughout the cell cycle</w:t>
      </w:r>
    </w:p>
    <w:p w14:paraId="14E4E9AC" w14:textId="65CC980C" w:rsidR="00C13663" w:rsidRDefault="00C13663" w:rsidP="00C13663">
      <w:pPr>
        <w:jc w:val="both"/>
      </w:pPr>
      <w:r w:rsidRPr="00734121">
        <w:rPr>
          <w:rFonts w:eastAsiaTheme="minorEastAsia"/>
        </w:rPr>
        <w:t xml:space="preserve">Until </w:t>
      </w:r>
      <w:r w:rsidRPr="00734121">
        <w:t xml:space="preserve">sub-population </w:t>
      </w:r>
      <w:r w:rsidRPr="00734121">
        <w:rPr>
          <w:i/>
          <w:iCs/>
        </w:rPr>
        <w:t>S</w:t>
      </w:r>
      <w:r w:rsidRPr="00734121">
        <w:t xml:space="preserve"> reaches </w:t>
      </w:r>
      <w:r w:rsidRPr="00734121">
        <w:rPr>
          <w:rFonts w:eastAsiaTheme="minorEastAsia"/>
        </w:rPr>
        <w:t xml:space="preserve">mitosis, </w:t>
      </w:r>
      <w:r w:rsidR="007403E0" w:rsidRPr="00734121">
        <w:rPr>
          <w:rFonts w:eastAsiaTheme="minorEastAsia"/>
        </w:rPr>
        <w:t>the number of newly</w:t>
      </w:r>
      <w:r w:rsidR="007403E0" w:rsidRPr="00734121">
        <w:t xml:space="preserve"> </w:t>
      </w:r>
      <w:r w:rsidRPr="00734121">
        <w:t xml:space="preserve">fated </w:t>
      </w:r>
      <w:r w:rsidRPr="00734121">
        <w:rPr>
          <w:rFonts w:eastAsiaTheme="minorEastAsia"/>
        </w:rPr>
        <w:t xml:space="preserve">cells </w:t>
      </w:r>
      <w:r w:rsidRPr="00734121">
        <w:t>(</w:t>
      </w:r>
      <w:r w:rsidRPr="00734121">
        <w:rPr>
          <w:rFonts w:eastAsiaTheme="minorEastAsia"/>
        </w:rPr>
        <w:t xml:space="preserve">generation 0) </w:t>
      </w:r>
      <w:r w:rsidR="007403E0" w:rsidRPr="00734121">
        <w:rPr>
          <w:rFonts w:eastAsiaTheme="minorEastAsia"/>
        </w:rPr>
        <w:t>grows</w:t>
      </w:r>
      <w:r w:rsidRPr="00734121">
        <w:rPr>
          <w:rFonts w:eastAsiaTheme="minorEastAsia"/>
        </w:rPr>
        <w:t xml:space="preserve"> as a proportion of </w:t>
      </w:r>
      <w:r w:rsidRPr="00734121">
        <w:t>normally proliferating cells are transferred to this pool:</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8531BF" w:rsidRPr="00734121" w14:paraId="0EE87B6D" w14:textId="77777777" w:rsidTr="001E2DA7">
        <w:tc>
          <w:tcPr>
            <w:tcW w:w="17" w:type="pct"/>
            <w:vAlign w:val="center"/>
          </w:tcPr>
          <w:p w14:paraId="7F049436" w14:textId="77777777" w:rsidR="008531BF" w:rsidRPr="00734121" w:rsidRDefault="008531BF" w:rsidP="001E2DA7">
            <w:pPr>
              <w:pStyle w:val="BodyText"/>
              <w:spacing w:before="0" w:after="120" w:line="360" w:lineRule="auto"/>
              <w:jc w:val="center"/>
              <w:rPr>
                <w:lang w:val="en-GB"/>
              </w:rPr>
            </w:pPr>
          </w:p>
        </w:tc>
        <w:tc>
          <w:tcPr>
            <w:tcW w:w="4617" w:type="pct"/>
            <w:vAlign w:val="center"/>
          </w:tcPr>
          <w:p w14:paraId="6DB6CC28" w14:textId="5068011B" w:rsidR="008531BF" w:rsidRPr="00EA7DD2" w:rsidRDefault="004F1A48" w:rsidP="001E2DA7">
            <w:pPr>
              <w:tabs>
                <w:tab w:val="left" w:pos="1495"/>
              </w:tabs>
              <w:spacing w:after="120" w:line="360" w:lineRule="auto"/>
              <w:jc w:val="both"/>
              <w:rPr>
                <w:rFonts w:eastAsiaTheme="minorEastAsia"/>
              </w:rPr>
            </w:pPr>
            <m:oMathPara>
              <m:oMath>
                <m:sSubSup>
                  <m:sSubSupPr>
                    <m:ctrlPr>
                      <w:rPr>
                        <w:rFonts w:ascii="Cambria Math" w:hAnsi="Cambria Math"/>
                        <w:i/>
                      </w:rPr>
                    </m:ctrlPr>
                  </m:sSubSupPr>
                  <m:e>
                    <m:r>
                      <w:rPr>
                        <w:rFonts w:ascii="Cambria Math" w:hAnsi="Cambria Math"/>
                      </w:rPr>
                      <m:t>N</m:t>
                    </m:r>
                  </m:e>
                  <m:sub>
                    <m:r>
                      <w:rPr>
                        <w:rFonts w:ascii="Cambria Math" w:hAnsi="Cambria Math"/>
                      </w:rPr>
                      <m:t>cells.fated.gen0</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t+dt</m:t>
                    </m:r>
                  </m:e>
                </m:d>
                <m:r>
                  <w:rPr>
                    <w:rFonts w:ascii="Cambria Math" w:hAnsi="Cambria Math"/>
                  </w:rPr>
                  <m:t>=</m:t>
                </m:r>
                <m:sSubSup>
                  <m:sSubSupPr>
                    <m:ctrlPr>
                      <w:rPr>
                        <w:rFonts w:ascii="Cambria Math" w:hAnsi="Cambria Math"/>
                        <w:i/>
                      </w:rPr>
                    </m:ctrlPr>
                  </m:sSubSupPr>
                  <m:e>
                    <m:r>
                      <w:rPr>
                        <w:rFonts w:ascii="Cambria Math" w:hAnsi="Cambria Math"/>
                      </w:rPr>
                      <m:t>N</m:t>
                    </m:r>
                  </m:e>
                  <m:sub>
                    <m:r>
                      <w:rPr>
                        <w:rFonts w:ascii="Cambria Math" w:hAnsi="Cambria Math"/>
                      </w:rPr>
                      <m:t>cells.fated.gen0</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 xml:space="preserve">+ </m:t>
                </m:r>
                <m:r>
                  <w:rPr>
                    <w:rFonts w:ascii="Cambria Math" w:hAnsi="Cambria Math"/>
                  </w:rPr>
                  <m:t>dt*</m:t>
                </m:r>
                <m:sSub>
                  <m:sSubPr>
                    <m:ctrlPr>
                      <w:rPr>
                        <w:rFonts w:ascii="Cambria Math" w:hAnsi="Cambria Math"/>
                        <w:i/>
                      </w:rPr>
                    </m:ctrlPr>
                  </m:sSubPr>
                  <m:e>
                    <m:r>
                      <w:rPr>
                        <w:rFonts w:ascii="Cambria Math" w:hAnsi="Cambria Math"/>
                      </w:rPr>
                      <m:t>R</m:t>
                    </m:r>
                  </m:e>
                  <m:sub>
                    <m:r>
                      <w:rPr>
                        <w:rFonts w:ascii="Cambria Math" w:hAnsi="Cambria Math"/>
                      </w:rPr>
                      <m:t>delay_kill</m:t>
                    </m:r>
                  </m:sub>
                </m:sSub>
                <m:d>
                  <m:dPr>
                    <m:ctrlPr>
                      <w:rPr>
                        <w:rFonts w:ascii="Cambria Math" w:hAnsi="Cambria Math"/>
                        <w:i/>
                      </w:rPr>
                    </m:ctrlPr>
                  </m:dPr>
                  <m:e>
                    <m:r>
                      <w:rPr>
                        <w:rFonts w:ascii="Cambria Math" w:hAnsi="Cambria Math"/>
                      </w:rPr>
                      <m:t>t+dt</m:t>
                    </m:r>
                  </m:e>
                </m:d>
                <m:r>
                  <w:rPr>
                    <w:rFonts w:ascii="Cambria Math" w:hAnsi="Cambria Math"/>
                  </w:rPr>
                  <m:t>*</m:t>
                </m:r>
                <m:sSubSup>
                  <m:sSubSupPr>
                    <m:ctrlPr>
                      <w:rPr>
                        <w:rFonts w:ascii="Cambria Math" w:hAnsi="Cambria Math"/>
                        <w:i/>
                      </w:rPr>
                    </m:ctrlPr>
                  </m:sSubSupPr>
                  <m:e>
                    <m:r>
                      <w:rPr>
                        <w:rFonts w:ascii="Cambria Math" w:hAnsi="Cambria Math"/>
                      </w:rPr>
                      <m:t>N</m:t>
                    </m:r>
                  </m:e>
                  <m:sub>
                    <m:r>
                      <w:rPr>
                        <w:rFonts w:ascii="Cambria Math" w:hAnsi="Cambria Math"/>
                      </w:rPr>
                      <m:t>cells.prolif</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m:t>
                    </m:r>
                  </m:e>
                </m:d>
              </m:oMath>
            </m:oMathPara>
          </w:p>
        </w:tc>
        <w:tc>
          <w:tcPr>
            <w:tcW w:w="367" w:type="pct"/>
            <w:vAlign w:val="center"/>
          </w:tcPr>
          <w:p w14:paraId="18C31425" w14:textId="3320781F" w:rsidR="008531BF" w:rsidRPr="00734121" w:rsidRDefault="008531BF" w:rsidP="001E2DA7">
            <w:pPr>
              <w:pStyle w:val="Caption"/>
              <w:spacing w:before="0" w:after="120" w:line="360" w:lineRule="auto"/>
              <w:ind w:left="2019" w:hanging="2019"/>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(S</w:t>
            </w:r>
            <w:r w:rsidR="00071F4F">
              <w:rPr>
                <w:rFonts w:asciiTheme="minorHAnsi" w:hAnsiTheme="minorHAnsi" w:cstheme="minorHAnsi"/>
                <w:b w:val="0"/>
                <w:bCs/>
                <w:sz w:val="22"/>
                <w:szCs w:val="22"/>
                <w:lang w:val="en-GB"/>
              </w:rPr>
              <w:t>6</w:t>
            </w:r>
            <w:r>
              <w:rPr>
                <w:rFonts w:asciiTheme="minorHAnsi" w:hAnsiTheme="minorHAnsi" w:cstheme="minorHAnsi"/>
                <w:b w:val="0"/>
                <w:bCs/>
                <w:sz w:val="22"/>
                <w:szCs w:val="22"/>
                <w:lang w:val="en-GB"/>
              </w:rPr>
              <w:t>.4)</w:t>
            </w:r>
          </w:p>
        </w:tc>
      </w:tr>
    </w:tbl>
    <w:p w14:paraId="6FFDD137" w14:textId="3B9341CA" w:rsidR="00C13663" w:rsidRPr="00734121" w:rsidRDefault="00C13663" w:rsidP="00C13663">
      <w:pPr>
        <w:jc w:val="both"/>
        <w:rPr>
          <w:rFonts w:eastAsiaTheme="minorEastAsia"/>
          <w:color w:val="FF0000"/>
        </w:rPr>
      </w:pPr>
      <w:r w:rsidRPr="00734121">
        <w:rPr>
          <w:rFonts w:eastAsiaTheme="minorEastAsia"/>
        </w:rPr>
        <w:t xml:space="preserve">The daughter fated cells in generations 1 to 7 die at a baseline rate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kill.fated</m:t>
            </m:r>
          </m:sub>
        </m:sSub>
      </m:oMath>
      <w:r w:rsidRPr="00734121">
        <w:rPr>
          <w:rFonts w:eastAsiaTheme="minorEastAsia"/>
        </w:rPr>
        <w:t>, which is increased by DSB damage-induced cell death</w:t>
      </w:r>
      <w:r w:rsidR="0001565B" w:rsidRPr="00734121">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kill</m:t>
            </m:r>
          </m:sub>
        </m:sSub>
        <m:d>
          <m:dPr>
            <m:ctrlPr>
              <w:rPr>
                <w:rFonts w:ascii="Cambria Math" w:eastAsiaTheme="minorEastAsia" w:hAnsi="Cambria Math"/>
                <w:i/>
              </w:rPr>
            </m:ctrlPr>
          </m:dPr>
          <m:e>
            <m:r>
              <w:rPr>
                <w:rFonts w:ascii="Cambria Math" w:eastAsiaTheme="minorEastAsia" w:hAnsi="Cambria Math"/>
              </w:rPr>
              <m:t>t</m:t>
            </m:r>
          </m:e>
        </m:d>
      </m:oMath>
      <w:r w:rsidR="0001565B" w:rsidRPr="00734121">
        <w:t xml:space="preserve"> (Eq. 6 in main text)</w:t>
      </w:r>
      <w:r w:rsidRPr="00734121">
        <w:rPr>
          <w:rFonts w:eastAsiaTheme="minorEastAsia"/>
        </w:rPr>
        <w:t xml:space="preserve">. </w:t>
      </w:r>
      <w:r w:rsidR="0001565B" w:rsidRPr="00734121">
        <w:rPr>
          <w:rFonts w:eastAsiaTheme="minorEastAsia"/>
        </w:rPr>
        <w:t>The evolution of the number of cells in fated generation</w:t>
      </w:r>
      <w:r w:rsidR="00D505BE" w:rsidRPr="00734121">
        <w:rPr>
          <w:rFonts w:ascii="Cambria Math" w:eastAsiaTheme="minorEastAsia" w:hAnsi="Cambria Math"/>
          <w:i/>
        </w:rPr>
        <w:t xml:space="preserve"> </w:t>
      </w:r>
      <m:oMath>
        <m:r>
          <w:rPr>
            <w:rFonts w:ascii="Cambria Math" w:eastAsiaTheme="minorEastAsia" w:hAnsi="Cambria Math"/>
          </w:rPr>
          <m:t>Y=1,..,7</m:t>
        </m:r>
      </m:oMath>
      <w:r w:rsidR="0001565B" w:rsidRPr="00734121">
        <w:rPr>
          <w:rFonts w:eastAsiaTheme="minorEastAsia"/>
        </w:rPr>
        <w:t xml:space="preserve"> is described by</w:t>
      </w:r>
      <w:r w:rsidR="009E6D9E">
        <w:rPr>
          <w:rFonts w:eastAsiaTheme="minorEastAsia"/>
        </w:rPr>
        <w:t>:</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1"/>
        <w:gridCol w:w="8475"/>
        <w:gridCol w:w="520"/>
      </w:tblGrid>
      <w:tr w:rsidR="006D2B1A" w:rsidRPr="00734121" w14:paraId="44ABD81C" w14:textId="77777777" w:rsidTr="00F63608">
        <w:tc>
          <w:tcPr>
            <w:tcW w:w="17" w:type="pct"/>
            <w:vAlign w:val="center"/>
          </w:tcPr>
          <w:p w14:paraId="6FF0784E" w14:textId="77777777" w:rsidR="00A61ACA" w:rsidRPr="00734121" w:rsidRDefault="00A61ACA" w:rsidP="006B6C8C">
            <w:pPr>
              <w:pStyle w:val="BodyText"/>
              <w:spacing w:before="0" w:after="160" w:line="360" w:lineRule="auto"/>
              <w:contextualSpacing/>
              <w:jc w:val="center"/>
              <w:rPr>
                <w:lang w:val="en-GB"/>
              </w:rPr>
            </w:pPr>
          </w:p>
        </w:tc>
        <w:tc>
          <w:tcPr>
            <w:tcW w:w="4695" w:type="pct"/>
            <w:vAlign w:val="center"/>
          </w:tcPr>
          <w:p w14:paraId="77444AA2" w14:textId="34599824" w:rsidR="00A61ACA" w:rsidRPr="00734121" w:rsidRDefault="004F1A48" w:rsidP="006B6C8C">
            <w:pPr>
              <w:tabs>
                <w:tab w:val="left" w:pos="1495"/>
              </w:tabs>
              <w:spacing w:after="160" w:line="360" w:lineRule="auto"/>
              <w:contextualSpacing/>
              <w:jc w:val="center"/>
            </w:pPr>
            <m:oMathPara>
              <m:oMath>
                <m:func>
                  <m:funcPr>
                    <m:ctrlPr>
                      <w:rPr>
                        <w:rFonts w:ascii="Cambria Math" w:hAnsi="Cambria Math"/>
                        <w:i/>
                      </w:rPr>
                    </m:ctrlPr>
                  </m:funcPr>
                  <m:fName>
                    <m:limLow>
                      <m:limLowPr>
                        <m:ctrlPr>
                          <w:rPr>
                            <w:rFonts w:ascii="Cambria Math" w:hAnsi="Cambria Math"/>
                            <w:i/>
                          </w:rPr>
                        </m:ctrlPr>
                      </m:limLowPr>
                      <m:e>
                        <m:sSubSup>
                          <m:sSubSupPr>
                            <m:ctrlPr>
                              <w:rPr>
                                <w:rFonts w:ascii="Cambria Math" w:hAnsi="Cambria Math"/>
                                <w:i/>
                              </w:rPr>
                            </m:ctrlPr>
                          </m:sSubSupPr>
                          <m:e>
                            <m:r>
                              <w:rPr>
                                <w:rFonts w:ascii="Cambria Math" w:hAnsi="Cambria Math"/>
                              </w:rPr>
                              <m:t>N</m:t>
                            </m:r>
                          </m:e>
                          <m:sub>
                            <m:r>
                              <w:rPr>
                                <w:rFonts w:ascii="Cambria Math" w:hAnsi="Cambria Math"/>
                              </w:rPr>
                              <m:t>cells.fated.genY</m:t>
                            </m:r>
                          </m:sub>
                          <m:sup>
                            <m:d>
                              <m:dPr>
                                <m:ctrlPr>
                                  <w:rPr>
                                    <w:rFonts w:ascii="Cambria Math" w:hAnsi="Cambria Math"/>
                                    <w:i/>
                                  </w:rPr>
                                </m:ctrlPr>
                              </m:dPr>
                              <m:e>
                                <m:r>
                                  <w:rPr>
                                    <w:rFonts w:ascii="Cambria Math" w:hAnsi="Cambria Math"/>
                                  </w:rPr>
                                  <m:t>S</m:t>
                                </m:r>
                              </m:e>
                            </m:d>
                          </m:sup>
                        </m:sSubSup>
                      </m:e>
                      <m:lim>
                        <m:r>
                          <w:rPr>
                            <w:rFonts w:ascii="Cambria Math" w:hAnsi="Cambria Math"/>
                          </w:rPr>
                          <m:t>Y=1..7</m:t>
                        </m:r>
                      </m:lim>
                    </m:limLow>
                  </m:fName>
                  <m:e>
                    <m:d>
                      <m:dPr>
                        <m:ctrlPr>
                          <w:rPr>
                            <w:rFonts w:ascii="Cambria Math" w:eastAsiaTheme="minorEastAsia" w:hAnsi="Cambria Math"/>
                            <w:i/>
                          </w:rPr>
                        </m:ctrlPr>
                      </m:dPr>
                      <m:e>
                        <m:r>
                          <w:rPr>
                            <w:rFonts w:ascii="Cambria Math" w:eastAsiaTheme="minorEastAsia" w:hAnsi="Cambria Math"/>
                          </w:rPr>
                          <m:t>t+dt</m:t>
                        </m:r>
                      </m:e>
                    </m:d>
                  </m:e>
                </m:func>
                <m:r>
                  <w:rPr>
                    <w:rFonts w:ascii="Cambria Math" w:hAnsi="Cambria Math"/>
                  </w:rPr>
                  <m:t>=</m:t>
                </m:r>
                <m:func>
                  <m:funcPr>
                    <m:ctrlPr>
                      <w:rPr>
                        <w:rFonts w:ascii="Cambria Math" w:hAnsi="Cambria Math"/>
                        <w:i/>
                      </w:rPr>
                    </m:ctrlPr>
                  </m:funcPr>
                  <m:fName>
                    <m:limLow>
                      <m:limLowPr>
                        <m:ctrlPr>
                          <w:rPr>
                            <w:rFonts w:ascii="Cambria Math" w:hAnsi="Cambria Math"/>
                            <w:i/>
                          </w:rPr>
                        </m:ctrlPr>
                      </m:limLowPr>
                      <m:e>
                        <m:sSubSup>
                          <m:sSubSupPr>
                            <m:ctrlPr>
                              <w:rPr>
                                <w:rFonts w:ascii="Cambria Math" w:hAnsi="Cambria Math"/>
                                <w:i/>
                              </w:rPr>
                            </m:ctrlPr>
                          </m:sSubSupPr>
                          <m:e>
                            <m:r>
                              <w:rPr>
                                <w:rFonts w:ascii="Cambria Math" w:hAnsi="Cambria Math"/>
                              </w:rPr>
                              <m:t>N</m:t>
                            </m:r>
                          </m:e>
                          <m:sub>
                            <m:r>
                              <w:rPr>
                                <w:rFonts w:ascii="Cambria Math" w:hAnsi="Cambria Math"/>
                              </w:rPr>
                              <m:t>cells.fated.genY</m:t>
                            </m:r>
                          </m:sub>
                          <m:sup>
                            <m:d>
                              <m:dPr>
                                <m:ctrlPr>
                                  <w:rPr>
                                    <w:rFonts w:ascii="Cambria Math" w:hAnsi="Cambria Math"/>
                                    <w:i/>
                                  </w:rPr>
                                </m:ctrlPr>
                              </m:dPr>
                              <m:e>
                                <m:r>
                                  <w:rPr>
                                    <w:rFonts w:ascii="Cambria Math" w:hAnsi="Cambria Math"/>
                                  </w:rPr>
                                  <m:t>S</m:t>
                                </m:r>
                              </m:e>
                            </m:d>
                          </m:sup>
                        </m:sSubSup>
                      </m:e>
                      <m:lim>
                        <m:r>
                          <w:rPr>
                            <w:rFonts w:ascii="Cambria Math" w:hAnsi="Cambria Math"/>
                          </w:rPr>
                          <m:t>Y=1..7</m:t>
                        </m:r>
                      </m:lim>
                    </m:limLow>
                  </m:fName>
                  <m:e>
                    <m:d>
                      <m:dPr>
                        <m:ctrlPr>
                          <w:rPr>
                            <w:rFonts w:ascii="Cambria Math" w:eastAsiaTheme="minorEastAsia" w:hAnsi="Cambria Math"/>
                            <w:i/>
                          </w:rPr>
                        </m:ctrlPr>
                      </m:dPr>
                      <m:e>
                        <m:r>
                          <w:rPr>
                            <w:rFonts w:ascii="Cambria Math" w:eastAsiaTheme="minorEastAsia" w:hAnsi="Cambria Math"/>
                          </w:rPr>
                          <m:t>t</m:t>
                        </m:r>
                      </m:e>
                    </m:d>
                  </m:e>
                </m:func>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1-dt*</m:t>
                    </m:r>
                    <m:sSub>
                      <m:sSubPr>
                        <m:ctrlPr>
                          <w:rPr>
                            <w:rFonts w:ascii="Cambria Math" w:eastAsiaTheme="minorEastAsia" w:hAnsi="Cambria Math"/>
                            <w:i/>
                          </w:rPr>
                        </m:ctrlPr>
                      </m:sSubPr>
                      <m:e>
                        <m:r>
                          <w:rPr>
                            <w:rFonts w:ascii="Cambria Math" w:hAnsi="Cambria Math"/>
                          </w:rPr>
                          <m:t>α</m:t>
                        </m:r>
                      </m:e>
                      <m:sub>
                        <m:r>
                          <w:rPr>
                            <w:rFonts w:ascii="Cambria Math" w:eastAsiaTheme="minorEastAsia" w:hAnsi="Cambria Math"/>
                          </w:rPr>
                          <m:t>Y</m:t>
                        </m:r>
                      </m:sub>
                    </m:sSub>
                    <m:r>
                      <w:rPr>
                        <w:rFonts w:ascii="Cambria Math" w:eastAsiaTheme="minorEastAsia" w:hAnsi="Cambria Math"/>
                      </w:rPr>
                      <m:t>*</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kill.fated</m:t>
                            </m:r>
                          </m:sub>
                        </m:sSub>
                        <m:r>
                          <w:rPr>
                            <w:rFonts w:ascii="Cambria Math" w:eastAsiaTheme="minorEastAsia" w:hAnsi="Cambria Math"/>
                          </w:rPr>
                          <m:t>+</m:t>
                        </m:r>
                        <m:sSub>
                          <m:sSubPr>
                            <m:ctrlPr>
                              <w:rPr>
                                <w:rFonts w:ascii="Cambria Math" w:hAnsi="Cambria Math"/>
                                <w:i/>
                              </w:rPr>
                            </m:ctrlPr>
                          </m:sSubPr>
                          <m:e>
                            <m:r>
                              <w:rPr>
                                <w:rFonts w:ascii="Cambria Math" w:hAnsi="Cambria Math"/>
                              </w:rPr>
                              <m:t>R</m:t>
                            </m:r>
                          </m:e>
                          <m:sub>
                            <m:r>
                              <w:rPr>
                                <w:rFonts w:ascii="Cambria Math" w:hAnsi="Cambria Math"/>
                              </w:rPr>
                              <m:t>kill</m:t>
                            </m:r>
                          </m:sub>
                        </m:sSub>
                        <m:d>
                          <m:dPr>
                            <m:ctrlPr>
                              <w:rPr>
                                <w:rFonts w:ascii="Cambria Math" w:hAnsi="Cambria Math"/>
                                <w:i/>
                              </w:rPr>
                            </m:ctrlPr>
                          </m:dPr>
                          <m:e>
                            <m:r>
                              <w:rPr>
                                <w:rFonts w:ascii="Cambria Math" w:hAnsi="Cambria Math"/>
                              </w:rPr>
                              <m:t>t+dt</m:t>
                            </m:r>
                          </m:e>
                        </m:d>
                      </m:e>
                    </m:d>
                  </m:e>
                </m:d>
              </m:oMath>
            </m:oMathPara>
          </w:p>
        </w:tc>
        <w:tc>
          <w:tcPr>
            <w:tcW w:w="289" w:type="pct"/>
            <w:vAlign w:val="center"/>
          </w:tcPr>
          <w:p w14:paraId="11F02443" w14:textId="2D539E04" w:rsidR="00A61ACA" w:rsidRPr="00734121" w:rsidRDefault="00BF4468" w:rsidP="006B6C8C">
            <w:pPr>
              <w:pStyle w:val="Caption"/>
              <w:spacing w:before="0" w:after="160" w:line="360" w:lineRule="auto"/>
              <w:ind w:left="2019" w:hanging="2019"/>
              <w:contextualSpacing/>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w:t>
            </w:r>
            <w:r w:rsidR="00F63608">
              <w:rPr>
                <w:rFonts w:asciiTheme="minorHAnsi" w:hAnsiTheme="minorHAnsi" w:cstheme="minorHAnsi"/>
                <w:b w:val="0"/>
                <w:bCs/>
                <w:sz w:val="22"/>
                <w:szCs w:val="22"/>
                <w:lang w:val="en-GB"/>
              </w:rPr>
              <w:t>S</w:t>
            </w:r>
            <w:r w:rsidR="00071F4F">
              <w:rPr>
                <w:rFonts w:asciiTheme="minorHAnsi" w:hAnsiTheme="minorHAnsi" w:cstheme="minorHAnsi"/>
                <w:b w:val="0"/>
                <w:bCs/>
                <w:sz w:val="22"/>
                <w:szCs w:val="22"/>
                <w:lang w:val="en-GB"/>
              </w:rPr>
              <w:t>6</w:t>
            </w:r>
            <w:r w:rsidR="00F63608">
              <w:rPr>
                <w:rFonts w:asciiTheme="minorHAnsi" w:hAnsiTheme="minorHAnsi" w:cstheme="minorHAnsi"/>
                <w:b w:val="0"/>
                <w:bCs/>
                <w:sz w:val="22"/>
                <w:szCs w:val="22"/>
                <w:lang w:val="en-GB"/>
              </w:rPr>
              <w:t>.5</w:t>
            </w:r>
            <w:r w:rsidRPr="00734121">
              <w:rPr>
                <w:rFonts w:asciiTheme="minorHAnsi" w:hAnsiTheme="minorHAnsi" w:cstheme="minorHAnsi"/>
                <w:b w:val="0"/>
                <w:bCs/>
                <w:sz w:val="22"/>
                <w:szCs w:val="22"/>
                <w:lang w:val="en-GB"/>
              </w:rPr>
              <w:t>)</w:t>
            </w:r>
          </w:p>
        </w:tc>
      </w:tr>
    </w:tbl>
    <w:p w14:paraId="0FE064CB" w14:textId="114DF555" w:rsidR="00C13663" w:rsidRPr="00734121" w:rsidRDefault="0001565B" w:rsidP="00C13663">
      <w:pPr>
        <w:tabs>
          <w:tab w:val="left" w:pos="1495"/>
        </w:tabs>
        <w:spacing w:line="259" w:lineRule="auto"/>
        <w:jc w:val="both"/>
      </w:pPr>
      <w:r w:rsidRPr="00734121">
        <w:t>w</w:t>
      </w:r>
      <w:r w:rsidR="00331C0F" w:rsidRPr="00734121">
        <w:t>here</w:t>
      </w:r>
      <w:r w:rsidRPr="00734121">
        <w:t xml:space="preserve"> </w:t>
      </w:r>
      <m:oMath>
        <m:sSub>
          <m:sSubPr>
            <m:ctrlPr>
              <w:rPr>
                <w:rFonts w:ascii="Cambria Math" w:eastAsiaTheme="minorEastAsia" w:hAnsi="Cambria Math"/>
                <w:i/>
              </w:rPr>
            </m:ctrlPr>
          </m:sSubPr>
          <m:e>
            <m:r>
              <w:rPr>
                <w:rFonts w:ascii="Cambria Math" w:hAnsi="Cambria Math"/>
              </w:rPr>
              <m:t>α</m:t>
            </m:r>
          </m:e>
          <m:sub>
            <m:r>
              <w:rPr>
                <w:rFonts w:ascii="Cambria Math" w:eastAsiaTheme="minorEastAsia" w:hAnsi="Cambria Math"/>
              </w:rPr>
              <m:t>Y</m:t>
            </m:r>
          </m:sub>
        </m:sSub>
        <m:r>
          <w:rPr>
            <w:rFonts w:ascii="Cambria Math" w:eastAsiaTheme="minorEastAsia" w:hAnsi="Cambria Math"/>
          </w:rPr>
          <m:t>=0.2*Y (Y=1,..,7)</m:t>
        </m:r>
      </m:oMath>
      <w:r w:rsidRPr="00734121">
        <w:t xml:space="preserve"> is </w:t>
      </w:r>
      <w:r w:rsidR="00BF1AAC" w:rsidRPr="00734121">
        <w:t>a generation-specific</w:t>
      </w:r>
      <w:r w:rsidRPr="00734121">
        <w:t xml:space="preserve"> </w:t>
      </w:r>
      <w:r w:rsidR="00BF1AAC" w:rsidRPr="00734121">
        <w:t>scaling factor to capture that e</w:t>
      </w:r>
      <w:r w:rsidRPr="00734121">
        <w:rPr>
          <w:rFonts w:eastAsiaTheme="minorEastAsia"/>
        </w:rPr>
        <w:t xml:space="preserve">ach generation is more likely to undergo cell death as </w:t>
      </w:r>
      <w:r w:rsidR="00BF1AAC" w:rsidRPr="00734121">
        <w:rPr>
          <w:rFonts w:eastAsiaTheme="minorEastAsia"/>
        </w:rPr>
        <w:t>the</w:t>
      </w:r>
      <w:r w:rsidRPr="00734121">
        <w:rPr>
          <w:rFonts w:eastAsiaTheme="minorEastAsia"/>
        </w:rPr>
        <w:t xml:space="preserve"> cells accumulate more damage with each division.</w:t>
      </w:r>
    </w:p>
    <w:p w14:paraId="5EAA8406" w14:textId="076616AC" w:rsidR="000C7983" w:rsidRPr="00734121" w:rsidRDefault="000C7983" w:rsidP="00C13663">
      <w:pPr>
        <w:tabs>
          <w:tab w:val="left" w:pos="1495"/>
        </w:tabs>
        <w:spacing w:line="259" w:lineRule="auto"/>
        <w:jc w:val="both"/>
        <w:rPr>
          <w:rFonts w:eastAsiaTheme="minorEastAsia"/>
        </w:rPr>
      </w:pPr>
      <w:r w:rsidRPr="00734121">
        <w:t xml:space="preserve">The senescent cells stopped dividing but remain viable until they undergo cell death at constant rate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kill.fated</m:t>
            </m:r>
          </m:sub>
        </m:sSub>
      </m:oMath>
      <w:r w:rsidRPr="00734121">
        <w:rPr>
          <w:rFonts w:eastAsiaTheme="minorEastAsia"/>
        </w:rPr>
        <w:t>:</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0C7983" w:rsidRPr="00734121" w14:paraId="688EFF75" w14:textId="77777777" w:rsidTr="009E6D9E">
        <w:tc>
          <w:tcPr>
            <w:tcW w:w="17" w:type="pct"/>
            <w:vAlign w:val="center"/>
          </w:tcPr>
          <w:p w14:paraId="2A038F9F" w14:textId="77777777" w:rsidR="000C7983" w:rsidRPr="00734121" w:rsidRDefault="000C7983" w:rsidP="006B6C8C">
            <w:pPr>
              <w:pStyle w:val="BodyText"/>
              <w:spacing w:before="0" w:after="160" w:line="360" w:lineRule="auto"/>
              <w:contextualSpacing/>
              <w:jc w:val="center"/>
              <w:rPr>
                <w:lang w:val="en-GB"/>
              </w:rPr>
            </w:pPr>
          </w:p>
        </w:tc>
        <w:tc>
          <w:tcPr>
            <w:tcW w:w="4617" w:type="pct"/>
            <w:vAlign w:val="center"/>
          </w:tcPr>
          <w:p w14:paraId="65A97FEE" w14:textId="6C2E67A1" w:rsidR="000C7983" w:rsidRPr="00734121" w:rsidRDefault="004F1A48" w:rsidP="006B6C8C">
            <w:pPr>
              <w:tabs>
                <w:tab w:val="left" w:pos="1495"/>
              </w:tabs>
              <w:spacing w:after="160" w:line="360" w:lineRule="auto"/>
              <w:contextualSpacing/>
              <w:jc w:val="center"/>
            </w:pPr>
            <m:oMathPara>
              <m:oMath>
                <m:sSubSup>
                  <m:sSubSupPr>
                    <m:ctrlPr>
                      <w:rPr>
                        <w:rFonts w:ascii="Cambria Math" w:hAnsi="Cambria Math"/>
                        <w:i/>
                      </w:rPr>
                    </m:ctrlPr>
                  </m:sSubSupPr>
                  <m:e>
                    <m:r>
                      <w:rPr>
                        <w:rFonts w:ascii="Cambria Math" w:hAnsi="Cambria Math"/>
                      </w:rPr>
                      <m:t>N</m:t>
                    </m:r>
                  </m:e>
                  <m:sub>
                    <m:r>
                      <w:rPr>
                        <w:rFonts w:ascii="Cambria Math" w:hAnsi="Cambria Math"/>
                      </w:rPr>
                      <m:t>cells.fated.senesc</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t+dt</m:t>
                    </m:r>
                  </m:e>
                </m:d>
                <m:r>
                  <w:rPr>
                    <w:rFonts w:ascii="Cambria Math" w:hAnsi="Cambria Math"/>
                  </w:rPr>
                  <m:t>=</m:t>
                </m:r>
                <m:func>
                  <m:funcPr>
                    <m:ctrlPr>
                      <w:rPr>
                        <w:rFonts w:ascii="Cambria Math" w:hAnsi="Cambria Math"/>
                        <w:i/>
                      </w:rPr>
                    </m:ctrlPr>
                  </m:funcPr>
                  <m:fName>
                    <m:sSubSup>
                      <m:sSubSupPr>
                        <m:ctrlPr>
                          <w:rPr>
                            <w:rFonts w:ascii="Cambria Math" w:hAnsi="Cambria Math"/>
                            <w:i/>
                          </w:rPr>
                        </m:ctrlPr>
                      </m:sSubSupPr>
                      <m:e>
                        <m:r>
                          <w:rPr>
                            <w:rFonts w:ascii="Cambria Math" w:hAnsi="Cambria Math"/>
                          </w:rPr>
                          <m:t>N</m:t>
                        </m:r>
                      </m:e>
                      <m:sub>
                        <m:r>
                          <w:rPr>
                            <w:rFonts w:ascii="Cambria Math" w:hAnsi="Cambria Math"/>
                          </w:rPr>
                          <m:t>cells.fated.senesc</m:t>
                        </m:r>
                      </m:sub>
                      <m:sup>
                        <m:d>
                          <m:dPr>
                            <m:ctrlPr>
                              <w:rPr>
                                <w:rFonts w:ascii="Cambria Math" w:hAnsi="Cambria Math"/>
                                <w:i/>
                              </w:rPr>
                            </m:ctrlPr>
                          </m:dPr>
                          <m:e>
                            <m:r>
                              <w:rPr>
                                <w:rFonts w:ascii="Cambria Math" w:hAnsi="Cambria Math"/>
                              </w:rPr>
                              <m:t>S</m:t>
                            </m:r>
                          </m:e>
                        </m:d>
                      </m:sup>
                    </m:sSubSup>
                  </m:fName>
                  <m:e>
                    <m:d>
                      <m:dPr>
                        <m:ctrlPr>
                          <w:rPr>
                            <w:rFonts w:ascii="Cambria Math" w:eastAsiaTheme="minorEastAsia" w:hAnsi="Cambria Math"/>
                            <w:i/>
                          </w:rPr>
                        </m:ctrlPr>
                      </m:dPr>
                      <m:e>
                        <m:r>
                          <w:rPr>
                            <w:rFonts w:ascii="Cambria Math" w:eastAsiaTheme="minorEastAsia" w:hAnsi="Cambria Math"/>
                          </w:rPr>
                          <m:t>t</m:t>
                        </m:r>
                      </m:e>
                    </m:d>
                  </m:e>
                </m:func>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1-dt*</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kill.fated</m:t>
                        </m:r>
                      </m:sub>
                    </m:sSub>
                  </m:e>
                </m:d>
              </m:oMath>
            </m:oMathPara>
          </w:p>
        </w:tc>
        <w:tc>
          <w:tcPr>
            <w:tcW w:w="367" w:type="pct"/>
            <w:vAlign w:val="center"/>
          </w:tcPr>
          <w:p w14:paraId="329DBE01" w14:textId="21A1EC32" w:rsidR="000C7983" w:rsidRPr="00734121" w:rsidRDefault="000C7983" w:rsidP="006B6C8C">
            <w:pPr>
              <w:pStyle w:val="Caption"/>
              <w:spacing w:before="0" w:after="160" w:line="360" w:lineRule="auto"/>
              <w:ind w:left="2019" w:hanging="2019"/>
              <w:contextualSpacing/>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w:t>
            </w:r>
            <w:r w:rsidR="009E6D9E">
              <w:rPr>
                <w:rFonts w:asciiTheme="minorHAnsi" w:hAnsiTheme="minorHAnsi" w:cstheme="minorHAnsi"/>
                <w:b w:val="0"/>
                <w:bCs/>
                <w:sz w:val="22"/>
                <w:szCs w:val="22"/>
                <w:lang w:val="en-GB"/>
              </w:rPr>
              <w:t>S</w:t>
            </w:r>
            <w:r w:rsidR="00071F4F">
              <w:rPr>
                <w:rFonts w:asciiTheme="minorHAnsi" w:hAnsiTheme="minorHAnsi" w:cstheme="minorHAnsi"/>
                <w:b w:val="0"/>
                <w:bCs/>
                <w:sz w:val="22"/>
                <w:szCs w:val="22"/>
                <w:lang w:val="en-GB"/>
              </w:rPr>
              <w:t>6</w:t>
            </w:r>
            <w:r w:rsidR="009E6D9E">
              <w:rPr>
                <w:rFonts w:asciiTheme="minorHAnsi" w:hAnsiTheme="minorHAnsi" w:cstheme="minorHAnsi"/>
                <w:b w:val="0"/>
                <w:bCs/>
                <w:sz w:val="22"/>
                <w:szCs w:val="22"/>
                <w:lang w:val="en-GB"/>
              </w:rPr>
              <w:t>.</w:t>
            </w:r>
            <w:r w:rsidR="00D4643B">
              <w:rPr>
                <w:rFonts w:asciiTheme="minorHAnsi" w:hAnsiTheme="minorHAnsi" w:cstheme="minorHAnsi"/>
                <w:b w:val="0"/>
                <w:bCs/>
                <w:sz w:val="22"/>
                <w:szCs w:val="22"/>
                <w:lang w:val="en-GB"/>
              </w:rPr>
              <w:t>6</w:t>
            </w:r>
            <w:r w:rsidRPr="00734121">
              <w:rPr>
                <w:rFonts w:asciiTheme="minorHAnsi" w:hAnsiTheme="minorHAnsi" w:cstheme="minorHAnsi"/>
                <w:b w:val="0"/>
                <w:bCs/>
                <w:sz w:val="22"/>
                <w:szCs w:val="22"/>
                <w:lang w:val="en-GB"/>
              </w:rPr>
              <w:t>)</w:t>
            </w:r>
          </w:p>
        </w:tc>
      </w:tr>
    </w:tbl>
    <w:p w14:paraId="4641C1A2" w14:textId="77777777" w:rsidR="000C7983" w:rsidRPr="00734121" w:rsidRDefault="000C7983" w:rsidP="00C13663">
      <w:pPr>
        <w:tabs>
          <w:tab w:val="left" w:pos="1495"/>
        </w:tabs>
        <w:spacing w:line="259" w:lineRule="auto"/>
        <w:jc w:val="both"/>
      </w:pPr>
    </w:p>
    <w:p w14:paraId="1D2611B5" w14:textId="2A5B1957" w:rsidR="00C13663" w:rsidRPr="00734121" w:rsidRDefault="00C13663" w:rsidP="00C13663">
      <w:pPr>
        <w:pStyle w:val="ListParagraph"/>
        <w:numPr>
          <w:ilvl w:val="0"/>
          <w:numId w:val="6"/>
        </w:numPr>
        <w:tabs>
          <w:tab w:val="left" w:pos="1495"/>
        </w:tabs>
        <w:spacing w:line="259" w:lineRule="auto"/>
        <w:jc w:val="both"/>
      </w:pPr>
      <w:r w:rsidRPr="00734121">
        <w:rPr>
          <w:b/>
          <w:bCs/>
        </w:rPr>
        <w:t>At mitosis</w:t>
      </w:r>
    </w:p>
    <w:p w14:paraId="5D0354F3" w14:textId="75A7FFFE" w:rsidR="00C13663" w:rsidRPr="00734121" w:rsidRDefault="00081887" w:rsidP="00A2305D">
      <w:pPr>
        <w:jc w:val="both"/>
      </w:pPr>
      <w:r w:rsidRPr="00734121">
        <w:t xml:space="preserve">The </w:t>
      </w:r>
      <w:r w:rsidR="00E01EF4" w:rsidRPr="00734121">
        <w:t>surviving</w:t>
      </w:r>
      <w:r w:rsidR="00F32D76" w:rsidRPr="00734121">
        <w:t xml:space="preserve"> </w:t>
      </w:r>
      <w:r w:rsidRPr="00734121">
        <w:t xml:space="preserve">normally proliferating cells </w:t>
      </w:r>
      <w:r w:rsidR="00E01EF4" w:rsidRPr="00734121">
        <w:t>replicate</w:t>
      </w:r>
      <w:r w:rsidRPr="00734121">
        <w:t>:</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081887" w:rsidRPr="00734121" w14:paraId="1F990A12" w14:textId="77777777" w:rsidTr="00D4643B">
        <w:tc>
          <w:tcPr>
            <w:tcW w:w="17" w:type="pct"/>
            <w:vAlign w:val="center"/>
          </w:tcPr>
          <w:p w14:paraId="515673D2" w14:textId="77777777" w:rsidR="00081887" w:rsidRPr="00734121" w:rsidRDefault="00081887" w:rsidP="00E01EF4">
            <w:pPr>
              <w:pStyle w:val="BodyText"/>
              <w:spacing w:before="0" w:after="160" w:line="360" w:lineRule="auto"/>
              <w:contextualSpacing/>
              <w:jc w:val="center"/>
              <w:rPr>
                <w:lang w:val="en-GB"/>
              </w:rPr>
            </w:pPr>
          </w:p>
        </w:tc>
        <w:tc>
          <w:tcPr>
            <w:tcW w:w="4617" w:type="pct"/>
            <w:vAlign w:val="center"/>
          </w:tcPr>
          <w:p w14:paraId="7CA621E4" w14:textId="2E4E0E9E" w:rsidR="00081887" w:rsidRPr="00734121" w:rsidRDefault="004F1A48" w:rsidP="00E01EF4">
            <w:pPr>
              <w:tabs>
                <w:tab w:val="left" w:pos="1495"/>
              </w:tabs>
              <w:spacing w:after="160" w:line="360" w:lineRule="auto"/>
              <w:contextualSpacing/>
              <w:jc w:val="center"/>
            </w:pPr>
            <m:oMathPara>
              <m:oMath>
                <m:sSubSup>
                  <m:sSubSupPr>
                    <m:ctrlPr>
                      <w:rPr>
                        <w:rFonts w:ascii="Cambria Math" w:hAnsi="Cambria Math"/>
                        <w:i/>
                      </w:rPr>
                    </m:ctrlPr>
                  </m:sSubSupPr>
                  <m:e>
                    <m:r>
                      <w:rPr>
                        <w:rFonts w:ascii="Cambria Math" w:hAnsi="Cambria Math"/>
                      </w:rPr>
                      <m:t>N</m:t>
                    </m:r>
                  </m:e>
                  <m:sub>
                    <m:r>
                      <w:rPr>
                        <w:rFonts w:ascii="Cambria Math" w:hAnsi="Cambria Math"/>
                      </w:rPr>
                      <m:t>cells.prolif</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t+dt</m:t>
                    </m:r>
                  </m:e>
                </m:d>
                <m:r>
                  <w:rPr>
                    <w:rFonts w:ascii="Cambria Math" w:hAnsi="Cambria Math"/>
                  </w:rPr>
                  <m:t>=2*</m:t>
                </m:r>
                <m:sSubSup>
                  <m:sSubSupPr>
                    <m:ctrlPr>
                      <w:rPr>
                        <w:rFonts w:ascii="Cambria Math" w:hAnsi="Cambria Math"/>
                        <w:i/>
                      </w:rPr>
                    </m:ctrlPr>
                  </m:sSubSupPr>
                  <m:e>
                    <m:r>
                      <w:rPr>
                        <w:rFonts w:ascii="Cambria Math" w:hAnsi="Cambria Math"/>
                      </w:rPr>
                      <m:t>N</m:t>
                    </m:r>
                  </m:e>
                  <m:sub>
                    <m:r>
                      <w:rPr>
                        <w:rFonts w:ascii="Cambria Math" w:hAnsi="Cambria Math"/>
                      </w:rPr>
                      <m:t>cells.prolif</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t+dt</m:t>
                    </m:r>
                  </m:e>
                </m:d>
              </m:oMath>
            </m:oMathPara>
          </w:p>
        </w:tc>
        <w:tc>
          <w:tcPr>
            <w:tcW w:w="367" w:type="pct"/>
            <w:vAlign w:val="center"/>
          </w:tcPr>
          <w:p w14:paraId="0C6F2988" w14:textId="7D1BC4D3" w:rsidR="00081887" w:rsidRPr="00734121" w:rsidRDefault="00081887" w:rsidP="00E01EF4">
            <w:pPr>
              <w:pStyle w:val="Caption"/>
              <w:spacing w:before="0" w:after="160" w:line="360" w:lineRule="auto"/>
              <w:ind w:left="2019" w:hanging="2019"/>
              <w:contextualSpacing/>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w:t>
            </w:r>
            <w:r w:rsidR="00D4643B">
              <w:rPr>
                <w:rFonts w:asciiTheme="minorHAnsi" w:hAnsiTheme="minorHAnsi" w:cstheme="minorHAnsi"/>
                <w:b w:val="0"/>
                <w:bCs/>
                <w:sz w:val="22"/>
                <w:szCs w:val="22"/>
                <w:lang w:val="en-GB"/>
              </w:rPr>
              <w:t>S</w:t>
            </w:r>
            <w:r w:rsidR="00071F4F">
              <w:rPr>
                <w:rFonts w:asciiTheme="minorHAnsi" w:hAnsiTheme="minorHAnsi" w:cstheme="minorHAnsi"/>
                <w:b w:val="0"/>
                <w:bCs/>
                <w:sz w:val="22"/>
                <w:szCs w:val="22"/>
                <w:lang w:val="en-GB"/>
              </w:rPr>
              <w:t>6</w:t>
            </w:r>
            <w:r w:rsidR="00D4643B">
              <w:rPr>
                <w:rFonts w:asciiTheme="minorHAnsi" w:hAnsiTheme="minorHAnsi" w:cstheme="minorHAnsi"/>
                <w:b w:val="0"/>
                <w:bCs/>
                <w:sz w:val="22"/>
                <w:szCs w:val="22"/>
                <w:lang w:val="en-GB"/>
              </w:rPr>
              <w:t>.7</w:t>
            </w:r>
            <w:r w:rsidRPr="00734121">
              <w:rPr>
                <w:rFonts w:asciiTheme="minorHAnsi" w:hAnsiTheme="minorHAnsi" w:cstheme="minorHAnsi"/>
                <w:b w:val="0"/>
                <w:bCs/>
                <w:sz w:val="22"/>
                <w:szCs w:val="22"/>
                <w:lang w:val="en-GB"/>
              </w:rPr>
              <w:t>)</w:t>
            </w:r>
          </w:p>
        </w:tc>
      </w:tr>
    </w:tbl>
    <w:p w14:paraId="45732EAF" w14:textId="6BB00915" w:rsidR="007D5E6D" w:rsidRPr="00734121" w:rsidRDefault="00E01EF4" w:rsidP="00A2305D">
      <w:pPr>
        <w:jc w:val="both"/>
        <w:rPr>
          <w:rFonts w:eastAsiaTheme="minorEastAsia"/>
        </w:rPr>
      </w:pPr>
      <w:r w:rsidRPr="00734121">
        <w:t>The surviving cells in fated generation</w:t>
      </w:r>
      <w:r w:rsidR="00D505BE" w:rsidRPr="00734121">
        <w:t xml:space="preserve"> </w:t>
      </w:r>
      <w:r w:rsidR="00D505BE" w:rsidRPr="00C60576">
        <w:t>0</w:t>
      </w:r>
      <w:r w:rsidRPr="00C60576">
        <w:t xml:space="preserve"> to </w:t>
      </w:r>
      <w:r w:rsidR="00D505BE" w:rsidRPr="00C60576">
        <w:t>7</w:t>
      </w:r>
      <w:r w:rsidRPr="00C60576">
        <w:t xml:space="preserve"> (</w:t>
      </w:r>
      <w:r w:rsidR="00C60576" w:rsidRPr="00C60576">
        <w:t xml:space="preserve">Eq. </w:t>
      </w:r>
      <w:r w:rsidR="00C60576" w:rsidRPr="00C60576">
        <w:rPr>
          <w:rFonts w:cstheme="minorHAnsi"/>
        </w:rPr>
        <w:t>S</w:t>
      </w:r>
      <w:r w:rsidR="00071F4F">
        <w:rPr>
          <w:rFonts w:cstheme="minorHAnsi"/>
        </w:rPr>
        <w:t>6</w:t>
      </w:r>
      <w:r w:rsidR="00C60576" w:rsidRPr="00C60576">
        <w:rPr>
          <w:rFonts w:cstheme="minorHAnsi"/>
        </w:rPr>
        <w:t>.4 and S</w:t>
      </w:r>
      <w:r w:rsidR="00071F4F">
        <w:rPr>
          <w:rFonts w:cstheme="minorHAnsi"/>
        </w:rPr>
        <w:t>6</w:t>
      </w:r>
      <w:r w:rsidR="00C60576" w:rsidRPr="00C60576">
        <w:rPr>
          <w:rFonts w:cstheme="minorHAnsi"/>
        </w:rPr>
        <w:t>.5</w:t>
      </w:r>
      <w:r w:rsidRPr="00C60576">
        <w:t xml:space="preserve">) </w:t>
      </w:r>
      <w:r w:rsidRPr="00734121">
        <w:t xml:space="preserve">can either </w:t>
      </w:r>
      <w:r w:rsidR="00D505BE" w:rsidRPr="00734121">
        <w:t>divide</w:t>
      </w:r>
      <w:r w:rsidRPr="00734121">
        <w:t xml:space="preserve"> and move up one generation with decreasing </w:t>
      </w:r>
      <w:r w:rsidRPr="00B4542E">
        <w:t xml:space="preserve">probability </w:t>
      </w:r>
      <m:oMath>
        <m:sSub>
          <m:sSubPr>
            <m:ctrlPr>
              <w:rPr>
                <w:rFonts w:ascii="Cambria Math" w:hAnsi="Cambria Math"/>
                <w:i/>
              </w:rPr>
            </m:ctrlPr>
          </m:sSubPr>
          <m:e>
            <m:r>
              <w:rPr>
                <w:rFonts w:ascii="Cambria Math" w:hAnsi="Cambria Math"/>
              </w:rPr>
              <m:t>β</m:t>
            </m:r>
          </m:e>
          <m:sub>
            <m:r>
              <w:rPr>
                <w:rFonts w:ascii="Cambria Math" w:hAnsi="Cambria Math"/>
              </w:rPr>
              <m:t>Y=0..7</m:t>
            </m:r>
          </m:sub>
        </m:sSub>
        <m:r>
          <w:rPr>
            <w:rFonts w:ascii="Cambria Math" w:hAnsi="Cambria Math"/>
          </w:rPr>
          <m:t>∈</m:t>
        </m:r>
        <m:d>
          <m:dPr>
            <m:begChr m:val="["/>
            <m:endChr m:val="]"/>
            <m:ctrlPr>
              <w:rPr>
                <w:rFonts w:ascii="Cambria Math" w:hAnsi="Cambria Math"/>
                <w:i/>
              </w:rPr>
            </m:ctrlPr>
          </m:dPr>
          <m:e>
            <m:r>
              <w:rPr>
                <w:rFonts w:ascii="Cambria Math" w:hAnsi="Cambria Math"/>
              </w:rPr>
              <m:t>0,1</m:t>
            </m:r>
          </m:e>
        </m:d>
      </m:oMath>
      <w:r w:rsidRPr="00B4542E">
        <w:t>, or</w:t>
      </w:r>
      <w:r w:rsidRPr="00734121">
        <w:t xml:space="preserve"> </w:t>
      </w:r>
      <w:r w:rsidR="00D505BE" w:rsidRPr="00734121">
        <w:rPr>
          <w:rFonts w:eastAsiaTheme="minorEastAsia"/>
        </w:rPr>
        <w:t>enter</w:t>
      </w:r>
      <w:r w:rsidRPr="00734121">
        <w:rPr>
          <w:rFonts w:eastAsiaTheme="minorEastAsia"/>
        </w:rPr>
        <w:t xml:space="preserve"> a senescent state with </w:t>
      </w:r>
      <w:r w:rsidRPr="00734121">
        <w:t xml:space="preserve">increasing probability </w:t>
      </w:r>
      <m:oMath>
        <m:sSub>
          <m:sSubPr>
            <m:ctrlPr>
              <w:rPr>
                <w:rFonts w:ascii="Cambria Math" w:hAnsi="Cambria Math"/>
                <w:i/>
              </w:rPr>
            </m:ctrlPr>
          </m:sSubPr>
          <m:e>
            <m:r>
              <w:rPr>
                <w:rFonts w:ascii="Cambria Math" w:hAnsi="Cambria Math"/>
              </w:rPr>
              <m:t>1-β</m:t>
            </m:r>
          </m:e>
          <m:sub>
            <m:r>
              <w:rPr>
                <w:rFonts w:ascii="Cambria Math" w:hAnsi="Cambria Math"/>
              </w:rPr>
              <m:t>Y=0..7</m:t>
            </m:r>
          </m:sub>
        </m:sSub>
      </m:oMath>
      <w:r w:rsidR="00A02C4A" w:rsidRPr="00734121">
        <w:rPr>
          <w:rFonts w:eastAsiaTheme="minorEastAsia"/>
        </w:rPr>
        <w:t>:</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D505BE" w:rsidRPr="00734121" w14:paraId="36B36D3B" w14:textId="77777777" w:rsidTr="00D37B96">
        <w:tc>
          <w:tcPr>
            <w:tcW w:w="17" w:type="pct"/>
            <w:vAlign w:val="center"/>
          </w:tcPr>
          <w:p w14:paraId="297D2AAE" w14:textId="77777777" w:rsidR="00D505BE" w:rsidRPr="00734121" w:rsidRDefault="00D505BE" w:rsidP="001E2DA7">
            <w:pPr>
              <w:pStyle w:val="BodyText"/>
              <w:spacing w:before="0" w:after="160" w:line="360" w:lineRule="auto"/>
              <w:contextualSpacing/>
              <w:jc w:val="center"/>
              <w:rPr>
                <w:lang w:val="en-GB"/>
              </w:rPr>
            </w:pPr>
          </w:p>
        </w:tc>
        <w:tc>
          <w:tcPr>
            <w:tcW w:w="4617" w:type="pct"/>
            <w:vAlign w:val="center"/>
          </w:tcPr>
          <w:p w14:paraId="41DB229D" w14:textId="5D8BF34D" w:rsidR="00D505BE" w:rsidRPr="00734121" w:rsidRDefault="004F1A48" w:rsidP="001E2DA7">
            <w:pPr>
              <w:tabs>
                <w:tab w:val="left" w:pos="1495"/>
              </w:tabs>
              <w:spacing w:after="160" w:line="360" w:lineRule="auto"/>
              <w:contextualSpacing/>
              <w:jc w:val="center"/>
            </w:pPr>
            <m:oMathPara>
              <m:oMath>
                <m:func>
                  <m:funcPr>
                    <m:ctrlPr>
                      <w:rPr>
                        <w:rFonts w:ascii="Cambria Math" w:hAnsi="Cambria Math"/>
                        <w:i/>
                      </w:rPr>
                    </m:ctrlPr>
                  </m:funcPr>
                  <m:fName>
                    <m:limLow>
                      <m:limLowPr>
                        <m:ctrlPr>
                          <w:rPr>
                            <w:rFonts w:ascii="Cambria Math" w:hAnsi="Cambria Math"/>
                            <w:i/>
                          </w:rPr>
                        </m:ctrlPr>
                      </m:limLowPr>
                      <m:e>
                        <m:sSubSup>
                          <m:sSubSupPr>
                            <m:ctrlPr>
                              <w:rPr>
                                <w:rFonts w:ascii="Cambria Math" w:hAnsi="Cambria Math"/>
                                <w:i/>
                              </w:rPr>
                            </m:ctrlPr>
                          </m:sSubSupPr>
                          <m:e>
                            <m:r>
                              <w:rPr>
                                <w:rFonts w:ascii="Cambria Math" w:hAnsi="Cambria Math"/>
                              </w:rPr>
                              <m:t>N</m:t>
                            </m:r>
                          </m:e>
                          <m:sub>
                            <m:r>
                              <w:rPr>
                                <w:rFonts w:ascii="Cambria Math" w:hAnsi="Cambria Math"/>
                              </w:rPr>
                              <m:t>cells.fated.genY</m:t>
                            </m:r>
                          </m:sub>
                          <m:sup>
                            <m:d>
                              <m:dPr>
                                <m:ctrlPr>
                                  <w:rPr>
                                    <w:rFonts w:ascii="Cambria Math" w:hAnsi="Cambria Math"/>
                                    <w:i/>
                                  </w:rPr>
                                </m:ctrlPr>
                              </m:dPr>
                              <m:e>
                                <m:r>
                                  <w:rPr>
                                    <w:rFonts w:ascii="Cambria Math" w:hAnsi="Cambria Math"/>
                                  </w:rPr>
                                  <m:t>S</m:t>
                                </m:r>
                              </m:e>
                            </m:d>
                          </m:sup>
                        </m:sSubSup>
                      </m:e>
                      <m:lim>
                        <m:r>
                          <w:rPr>
                            <w:rFonts w:ascii="Cambria Math" w:hAnsi="Cambria Math"/>
                          </w:rPr>
                          <m:t>Y=1..7</m:t>
                        </m:r>
                      </m:lim>
                    </m:limLow>
                  </m:fName>
                  <m:e>
                    <m:d>
                      <m:dPr>
                        <m:ctrlPr>
                          <w:rPr>
                            <w:rFonts w:ascii="Cambria Math" w:eastAsiaTheme="minorEastAsia" w:hAnsi="Cambria Math"/>
                            <w:i/>
                          </w:rPr>
                        </m:ctrlPr>
                      </m:dPr>
                      <m:e>
                        <m:r>
                          <w:rPr>
                            <w:rFonts w:ascii="Cambria Math" w:eastAsiaTheme="minorEastAsia" w:hAnsi="Cambria Math"/>
                          </w:rPr>
                          <m:t>t+dt</m:t>
                        </m:r>
                      </m:e>
                    </m:d>
                  </m:e>
                </m:func>
                <m:r>
                  <m:rPr>
                    <m:aln/>
                  </m:rPr>
                  <w:rPr>
                    <w:rFonts w:ascii="Cambria Math" w:hAnsi="Cambria Math"/>
                  </w:rPr>
                  <m:t>=2*</m:t>
                </m:r>
                <m:sSub>
                  <m:sSubPr>
                    <m:ctrlPr>
                      <w:rPr>
                        <w:rFonts w:ascii="Cambria Math" w:hAnsi="Cambria Math"/>
                        <w:i/>
                      </w:rPr>
                    </m:ctrlPr>
                  </m:sSubPr>
                  <m:e>
                    <m:r>
                      <w:rPr>
                        <w:rFonts w:ascii="Cambria Math" w:hAnsi="Cambria Math"/>
                      </w:rPr>
                      <m:t>β</m:t>
                    </m:r>
                  </m:e>
                  <m:sub>
                    <m:r>
                      <w:rPr>
                        <w:rFonts w:ascii="Cambria Math" w:hAnsi="Cambria Math"/>
                      </w:rPr>
                      <m:t>Y-1</m:t>
                    </m:r>
                  </m:sub>
                </m:sSub>
                <m:r>
                  <w:rPr>
                    <w:rFonts w:ascii="Cambria Math" w:hAnsi="Cambria Math"/>
                  </w:rPr>
                  <m:t>*</m:t>
                </m:r>
                <m:func>
                  <m:funcPr>
                    <m:ctrlPr>
                      <w:rPr>
                        <w:rFonts w:ascii="Cambria Math" w:hAnsi="Cambria Math"/>
                        <w:i/>
                      </w:rPr>
                    </m:ctrlPr>
                  </m:funcPr>
                  <m:fName>
                    <m:limLow>
                      <m:limLowPr>
                        <m:ctrlPr>
                          <w:rPr>
                            <w:rFonts w:ascii="Cambria Math" w:hAnsi="Cambria Math"/>
                            <w:i/>
                          </w:rPr>
                        </m:ctrlPr>
                      </m:limLowPr>
                      <m:e>
                        <m:sSubSup>
                          <m:sSubSupPr>
                            <m:ctrlPr>
                              <w:rPr>
                                <w:rFonts w:ascii="Cambria Math" w:hAnsi="Cambria Math"/>
                                <w:i/>
                              </w:rPr>
                            </m:ctrlPr>
                          </m:sSubSupPr>
                          <m:e>
                            <m:r>
                              <w:rPr>
                                <w:rFonts w:ascii="Cambria Math" w:hAnsi="Cambria Math"/>
                              </w:rPr>
                              <m:t>N</m:t>
                            </m:r>
                          </m:e>
                          <m:sub>
                            <m:r>
                              <w:rPr>
                                <w:rFonts w:ascii="Cambria Math" w:hAnsi="Cambria Math"/>
                              </w:rPr>
                              <m:t>cells.fated.genY</m:t>
                            </m:r>
                          </m:sub>
                          <m:sup>
                            <m:d>
                              <m:dPr>
                                <m:ctrlPr>
                                  <w:rPr>
                                    <w:rFonts w:ascii="Cambria Math" w:hAnsi="Cambria Math"/>
                                    <w:i/>
                                  </w:rPr>
                                </m:ctrlPr>
                              </m:dPr>
                              <m:e>
                                <m:r>
                                  <w:rPr>
                                    <w:rFonts w:ascii="Cambria Math" w:hAnsi="Cambria Math"/>
                                  </w:rPr>
                                  <m:t>S</m:t>
                                </m:r>
                              </m:e>
                            </m:d>
                          </m:sup>
                        </m:sSubSup>
                      </m:e>
                      <m:lim>
                        <m:r>
                          <w:rPr>
                            <w:rFonts w:ascii="Cambria Math" w:hAnsi="Cambria Math"/>
                          </w:rPr>
                          <m:t>Y-1=0..6</m:t>
                        </m:r>
                      </m:lim>
                    </m:limLow>
                  </m:fName>
                  <m:e>
                    <m:d>
                      <m:dPr>
                        <m:ctrlPr>
                          <w:rPr>
                            <w:rFonts w:ascii="Cambria Math" w:eastAsiaTheme="minorEastAsia" w:hAnsi="Cambria Math"/>
                            <w:i/>
                          </w:rPr>
                        </m:ctrlPr>
                      </m:dPr>
                      <m:e>
                        <m:r>
                          <w:rPr>
                            <w:rFonts w:ascii="Cambria Math" w:eastAsiaTheme="minorEastAsia" w:hAnsi="Cambria Math"/>
                          </w:rPr>
                          <m:t>t+dt</m:t>
                        </m:r>
                      </m:e>
                    </m:d>
                  </m:e>
                </m:func>
              </m:oMath>
            </m:oMathPara>
          </w:p>
        </w:tc>
        <w:tc>
          <w:tcPr>
            <w:tcW w:w="367" w:type="pct"/>
            <w:vAlign w:val="center"/>
          </w:tcPr>
          <w:p w14:paraId="0ECBACDE" w14:textId="120719E9" w:rsidR="00D505BE" w:rsidRPr="00734121" w:rsidRDefault="00D505BE" w:rsidP="001E2DA7">
            <w:pPr>
              <w:pStyle w:val="Caption"/>
              <w:spacing w:before="0" w:after="160" w:line="360" w:lineRule="auto"/>
              <w:ind w:left="2019" w:hanging="2019"/>
              <w:contextualSpacing/>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w:t>
            </w:r>
            <w:r w:rsidR="00D37B96">
              <w:rPr>
                <w:rFonts w:asciiTheme="minorHAnsi" w:hAnsiTheme="minorHAnsi" w:cstheme="minorHAnsi"/>
                <w:b w:val="0"/>
                <w:bCs/>
                <w:sz w:val="22"/>
                <w:szCs w:val="22"/>
                <w:lang w:val="en-GB"/>
              </w:rPr>
              <w:t>S</w:t>
            </w:r>
            <w:r w:rsidR="00071F4F">
              <w:rPr>
                <w:rFonts w:asciiTheme="minorHAnsi" w:hAnsiTheme="minorHAnsi" w:cstheme="minorHAnsi"/>
                <w:b w:val="0"/>
                <w:bCs/>
                <w:sz w:val="22"/>
                <w:szCs w:val="22"/>
                <w:lang w:val="en-GB"/>
              </w:rPr>
              <w:t>6</w:t>
            </w:r>
            <w:r w:rsidR="00D37B96">
              <w:rPr>
                <w:rFonts w:asciiTheme="minorHAnsi" w:hAnsiTheme="minorHAnsi" w:cstheme="minorHAnsi"/>
                <w:b w:val="0"/>
                <w:bCs/>
                <w:sz w:val="22"/>
                <w:szCs w:val="22"/>
                <w:lang w:val="en-GB"/>
              </w:rPr>
              <w:t>.8</w:t>
            </w:r>
            <w:r w:rsidRPr="00734121">
              <w:rPr>
                <w:rFonts w:asciiTheme="minorHAnsi" w:hAnsiTheme="minorHAnsi" w:cstheme="minorHAnsi"/>
                <w:b w:val="0"/>
                <w:bCs/>
                <w:sz w:val="22"/>
                <w:szCs w:val="22"/>
                <w:lang w:val="en-GB"/>
              </w:rPr>
              <w:t>)</w:t>
            </w:r>
          </w:p>
        </w:tc>
      </w:tr>
      <w:tr w:rsidR="00784D1F" w:rsidRPr="00734121" w14:paraId="56208920" w14:textId="77777777" w:rsidTr="00D37B96">
        <w:tc>
          <w:tcPr>
            <w:tcW w:w="17" w:type="pct"/>
            <w:vAlign w:val="center"/>
          </w:tcPr>
          <w:p w14:paraId="11E96C20" w14:textId="77777777" w:rsidR="00784D1F" w:rsidRPr="00734121" w:rsidRDefault="00784D1F" w:rsidP="00784D1F">
            <w:pPr>
              <w:pStyle w:val="BodyText"/>
              <w:spacing w:before="0" w:after="160" w:line="360" w:lineRule="auto"/>
              <w:contextualSpacing/>
              <w:jc w:val="center"/>
              <w:rPr>
                <w:lang w:val="en-GB"/>
              </w:rPr>
            </w:pPr>
          </w:p>
        </w:tc>
        <w:tc>
          <w:tcPr>
            <w:tcW w:w="4617" w:type="pct"/>
            <w:vAlign w:val="center"/>
          </w:tcPr>
          <w:p w14:paraId="68C6EFE1" w14:textId="6DC23958" w:rsidR="00784D1F" w:rsidRPr="00734121" w:rsidRDefault="004F1A48" w:rsidP="00784D1F">
            <w:pPr>
              <w:tabs>
                <w:tab w:val="left" w:pos="1495"/>
              </w:tabs>
              <w:contextualSpacing/>
              <w:jc w:val="center"/>
              <w:rPr>
                <w:rFonts w:ascii="Times New Roman" w:eastAsia="Times New Roman" w:hAnsi="Times New Roman" w:cs="Times New Roman"/>
              </w:rPr>
            </w:pPr>
            <m:oMathPara>
              <m:oMath>
                <m:sSubSup>
                  <m:sSubSupPr>
                    <m:ctrlPr>
                      <w:rPr>
                        <w:rFonts w:ascii="Cambria Math" w:hAnsi="Cambria Math"/>
                        <w:i/>
                      </w:rPr>
                    </m:ctrlPr>
                  </m:sSubSupPr>
                  <m:e>
                    <m:r>
                      <w:rPr>
                        <w:rFonts w:ascii="Cambria Math" w:hAnsi="Cambria Math"/>
                      </w:rPr>
                      <m:t>N</m:t>
                    </m:r>
                  </m:e>
                  <m:sub>
                    <m:r>
                      <w:rPr>
                        <w:rFonts w:ascii="Cambria Math" w:hAnsi="Cambria Math"/>
                      </w:rPr>
                      <m:t>cells.fated.senesc</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t+dt</m:t>
                    </m:r>
                  </m:e>
                </m:d>
                <m:r>
                  <m:rPr>
                    <m:aln/>
                  </m:rPr>
                  <w:rPr>
                    <w:rFonts w:ascii="Cambria Math" w:hAnsi="Cambria Math"/>
                  </w:rPr>
                  <m:t>=</m:t>
                </m:r>
                <m:sSubSup>
                  <m:sSubSupPr>
                    <m:ctrlPr>
                      <w:rPr>
                        <w:rFonts w:ascii="Cambria Math" w:hAnsi="Cambria Math"/>
                        <w:i/>
                      </w:rPr>
                    </m:ctrlPr>
                  </m:sSubSupPr>
                  <m:e>
                    <m:r>
                      <w:rPr>
                        <w:rFonts w:ascii="Cambria Math" w:hAnsi="Cambria Math"/>
                      </w:rPr>
                      <m:t>N</m:t>
                    </m:r>
                  </m:e>
                  <m:sub>
                    <m:r>
                      <w:rPr>
                        <w:rFonts w:ascii="Cambria Math" w:hAnsi="Cambria Math"/>
                      </w:rPr>
                      <m:t>cells.fated.senesc</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t+dt</m:t>
                    </m:r>
                  </m:e>
                </m:d>
                <m:r>
                  <w:rPr>
                    <w:rFonts w:ascii="Cambria Math" w:eastAsiaTheme="minorEastAsia" w:hAnsi="Cambria Math"/>
                  </w:rPr>
                  <m:t xml:space="preserve">                    </m:t>
                </m:r>
              </m:oMath>
            </m:oMathPara>
          </w:p>
          <w:p w14:paraId="42E5D075" w14:textId="36B26119" w:rsidR="00784D1F" w:rsidRPr="00734121" w:rsidRDefault="00784D1F" w:rsidP="00784D1F">
            <w:pPr>
              <w:tabs>
                <w:tab w:val="left" w:pos="1495"/>
              </w:tabs>
              <w:contextualSpacing/>
              <w:jc w:val="center"/>
              <w:rPr>
                <w:rFonts w:ascii="Times New Roman" w:eastAsia="Times New Roman" w:hAnsi="Times New Roman" w:cs="Times New Roman"/>
              </w:rPr>
            </w:pPr>
            <m:oMathPara>
              <m:oMathParaPr>
                <m:jc m:val="right"/>
              </m:oMathParaPr>
              <m:oMath>
                <m:r>
                  <w:rPr>
                    <w:rFonts w:ascii="Cambria Math" w:hAnsi="Cambria Math"/>
                  </w:rPr>
                  <m:t>+</m:t>
                </m:r>
                <m:nary>
                  <m:naryPr>
                    <m:chr m:val="∑"/>
                    <m:limLoc m:val="subSup"/>
                    <m:ctrlPr>
                      <w:rPr>
                        <w:rFonts w:ascii="Cambria Math" w:hAnsi="Cambria Math"/>
                        <w:i/>
                      </w:rPr>
                    </m:ctrlPr>
                  </m:naryPr>
                  <m:sub>
                    <m:r>
                      <w:rPr>
                        <w:rFonts w:ascii="Cambria Math" w:hAnsi="Cambria Math"/>
                      </w:rPr>
                      <m:t>Y=0</m:t>
                    </m:r>
                  </m:sub>
                  <m:sup>
                    <m:r>
                      <w:rPr>
                        <w:rFonts w:ascii="Cambria Math" w:hAnsi="Cambria Math"/>
                      </w:rPr>
                      <m:t>7</m:t>
                    </m:r>
                  </m:sup>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β</m:t>
                            </m:r>
                          </m:e>
                          <m:sub>
                            <m:r>
                              <w:rPr>
                                <w:rFonts w:ascii="Cambria Math" w:hAnsi="Cambria Math"/>
                              </w:rPr>
                              <m:t>Y</m:t>
                            </m:r>
                          </m:sub>
                        </m:sSub>
                      </m:e>
                    </m:d>
                    <m:r>
                      <w:rPr>
                        <w:rFonts w:ascii="Cambria Math" w:hAnsi="Cambria Math"/>
                      </w:rPr>
                      <m:t>*</m:t>
                    </m:r>
                    <m:sSubSup>
                      <m:sSubSupPr>
                        <m:ctrlPr>
                          <w:rPr>
                            <w:rFonts w:ascii="Cambria Math" w:hAnsi="Cambria Math"/>
                            <w:i/>
                          </w:rPr>
                        </m:ctrlPr>
                      </m:sSubSupPr>
                      <m:e>
                        <m:r>
                          <w:rPr>
                            <w:rFonts w:ascii="Cambria Math" w:hAnsi="Cambria Math"/>
                          </w:rPr>
                          <m:t>N</m:t>
                        </m:r>
                      </m:e>
                      <m:sub>
                        <m:r>
                          <w:rPr>
                            <w:rFonts w:ascii="Cambria Math" w:hAnsi="Cambria Math"/>
                          </w:rPr>
                          <m:t>cells.fated.genY</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t+dt</m:t>
                        </m:r>
                      </m:e>
                    </m:d>
                  </m:e>
                </m:nary>
                <m:r>
                  <w:rPr>
                    <w:rFonts w:ascii="Cambria Math" w:hAnsi="Cambria Math"/>
                  </w:rPr>
                  <m:t xml:space="preserve">           </m:t>
                </m:r>
              </m:oMath>
            </m:oMathPara>
          </w:p>
        </w:tc>
        <w:tc>
          <w:tcPr>
            <w:tcW w:w="367" w:type="pct"/>
            <w:vAlign w:val="center"/>
          </w:tcPr>
          <w:p w14:paraId="057AE143" w14:textId="103920FE" w:rsidR="00784D1F" w:rsidRPr="00734121" w:rsidRDefault="00784D1F" w:rsidP="00784D1F">
            <w:pPr>
              <w:pStyle w:val="Caption"/>
              <w:spacing w:before="0" w:after="160" w:line="360" w:lineRule="auto"/>
              <w:ind w:left="2019" w:hanging="2019"/>
              <w:contextualSpacing/>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w:t>
            </w:r>
            <w:r w:rsidR="00D37B96">
              <w:rPr>
                <w:rFonts w:asciiTheme="minorHAnsi" w:hAnsiTheme="minorHAnsi" w:cstheme="minorHAnsi"/>
                <w:b w:val="0"/>
                <w:bCs/>
                <w:sz w:val="22"/>
                <w:szCs w:val="22"/>
                <w:lang w:val="en-GB"/>
              </w:rPr>
              <w:t>S</w:t>
            </w:r>
            <w:r w:rsidR="00071F4F">
              <w:rPr>
                <w:rFonts w:asciiTheme="minorHAnsi" w:hAnsiTheme="minorHAnsi" w:cstheme="minorHAnsi"/>
                <w:b w:val="0"/>
                <w:bCs/>
                <w:sz w:val="22"/>
                <w:szCs w:val="22"/>
                <w:lang w:val="en-GB"/>
              </w:rPr>
              <w:t>6</w:t>
            </w:r>
            <w:r w:rsidR="00D37B96">
              <w:rPr>
                <w:rFonts w:asciiTheme="minorHAnsi" w:hAnsiTheme="minorHAnsi" w:cstheme="minorHAnsi"/>
                <w:b w:val="0"/>
                <w:bCs/>
                <w:sz w:val="22"/>
                <w:szCs w:val="22"/>
                <w:lang w:val="en-GB"/>
              </w:rPr>
              <w:t>.9</w:t>
            </w:r>
            <w:r w:rsidRPr="00734121">
              <w:rPr>
                <w:rFonts w:asciiTheme="minorHAnsi" w:hAnsiTheme="minorHAnsi" w:cstheme="minorHAnsi"/>
                <w:b w:val="0"/>
                <w:bCs/>
                <w:sz w:val="22"/>
                <w:szCs w:val="22"/>
                <w:lang w:val="en-GB"/>
              </w:rPr>
              <w:t>)</w:t>
            </w:r>
          </w:p>
        </w:tc>
      </w:tr>
    </w:tbl>
    <w:p w14:paraId="0627914E" w14:textId="77777777" w:rsidR="00A02C4A" w:rsidRPr="00734121" w:rsidRDefault="00A02C4A" w:rsidP="00D505BE">
      <w:pPr>
        <w:jc w:val="both"/>
      </w:pPr>
    </w:p>
    <w:p w14:paraId="7CA96DDC" w14:textId="77959D1A" w:rsidR="00A02C4A" w:rsidRPr="00734121" w:rsidRDefault="00A02C4A" w:rsidP="00D505BE">
      <w:pPr>
        <w:jc w:val="both"/>
      </w:pPr>
      <w:r w:rsidRPr="00734121">
        <w:t xml:space="preserve">where </w:t>
      </w:r>
      <m:oMath>
        <m:sSub>
          <m:sSubPr>
            <m:ctrlPr>
              <w:rPr>
                <w:rFonts w:ascii="Cambria Math" w:hAnsi="Cambria Math"/>
                <w:i/>
              </w:rPr>
            </m:ctrlPr>
          </m:sSubPr>
          <m:e>
            <m:r>
              <w:rPr>
                <w:rFonts w:ascii="Cambria Math" w:hAnsi="Cambria Math"/>
              </w:rPr>
              <m:t>β</m:t>
            </m:r>
          </m:e>
          <m:sub>
            <m:r>
              <w:rPr>
                <w:rFonts w:ascii="Cambria Math" w:hAnsi="Cambria Math"/>
              </w:rPr>
              <m:t>Y=0</m:t>
            </m:r>
          </m:sub>
        </m:sSub>
        <m:r>
          <w:rPr>
            <w:rFonts w:ascii="Cambria Math" w:hAnsi="Cambria Math"/>
          </w:rPr>
          <m:t>=1</m:t>
        </m:r>
      </m:oMath>
      <w:r w:rsidRPr="00734121">
        <w:rPr>
          <w:rFonts w:eastAsiaTheme="minorEastAsia"/>
        </w:rPr>
        <w:t xml:space="preserve"> </w:t>
      </w:r>
      <w:r w:rsidR="00784D1F" w:rsidRPr="00734121">
        <w:rPr>
          <w:rFonts w:eastAsiaTheme="minorEastAsia"/>
        </w:rPr>
        <w:t xml:space="preserve">since </w:t>
      </w:r>
      <w:r w:rsidRPr="00734121">
        <w:rPr>
          <w:rFonts w:eastAsiaTheme="minorEastAsia"/>
        </w:rPr>
        <w:t>all fa</w:t>
      </w:r>
      <w:r w:rsidRPr="00734121">
        <w:t xml:space="preserve">ted cells in generation 0 will replicate and start their delayed cell death course (generation 1), </w:t>
      </w:r>
      <w:r w:rsidRPr="00734121">
        <w:rPr>
          <w:rFonts w:eastAsiaTheme="minorEastAsia"/>
        </w:rPr>
        <w:t xml:space="preserve">and </w:t>
      </w:r>
      <m:oMath>
        <m:sSub>
          <m:sSubPr>
            <m:ctrlPr>
              <w:rPr>
                <w:rFonts w:ascii="Cambria Math" w:hAnsi="Cambria Math"/>
                <w:i/>
              </w:rPr>
            </m:ctrlPr>
          </m:sSubPr>
          <m:e>
            <m:r>
              <w:rPr>
                <w:rFonts w:ascii="Cambria Math" w:hAnsi="Cambria Math"/>
              </w:rPr>
              <m:t>β</m:t>
            </m:r>
          </m:e>
          <m:sub>
            <m:r>
              <w:rPr>
                <w:rFonts w:ascii="Cambria Math" w:hAnsi="Cambria Math"/>
              </w:rPr>
              <m:t>Y=7</m:t>
            </m:r>
          </m:sub>
        </m:sSub>
        <m:r>
          <w:rPr>
            <w:rFonts w:ascii="Cambria Math" w:hAnsi="Cambria Math"/>
          </w:rPr>
          <m:t>=0</m:t>
        </m:r>
      </m:oMath>
      <w:r w:rsidR="00784D1F" w:rsidRPr="00734121">
        <w:rPr>
          <w:rFonts w:eastAsiaTheme="minorEastAsia"/>
        </w:rPr>
        <w:t xml:space="preserve"> since the cells </w:t>
      </w:r>
      <w:r w:rsidR="00784D1F" w:rsidRPr="00734121">
        <w:t xml:space="preserve">stop their </w:t>
      </w:r>
      <w:r w:rsidR="00784D1F" w:rsidRPr="00734121">
        <w:rPr>
          <w:rFonts w:eastAsiaTheme="minorEastAsia"/>
        </w:rPr>
        <w:t xml:space="preserve">proliferation as they reached the maximum of possible divisions. </w:t>
      </w:r>
    </w:p>
    <w:p w14:paraId="135B0E69" w14:textId="02CB4212" w:rsidR="00D505BE" w:rsidRPr="00734121" w:rsidRDefault="00784D1F" w:rsidP="00D505BE">
      <w:pPr>
        <w:jc w:val="both"/>
      </w:pPr>
      <w:r w:rsidRPr="00734121">
        <w:t>The</w:t>
      </w:r>
      <w:r w:rsidR="00D505BE" w:rsidRPr="00734121">
        <w:t xml:space="preserve"> </w:t>
      </w:r>
      <w:r w:rsidRPr="00734121">
        <w:t xml:space="preserve">pool of </w:t>
      </w:r>
      <w:r w:rsidR="00D505BE" w:rsidRPr="00734121">
        <w:t xml:space="preserve">cells in fated generation 0 is </w:t>
      </w:r>
      <w:r w:rsidRPr="00734121">
        <w:t xml:space="preserve">accordingly </w:t>
      </w:r>
      <w:r w:rsidR="00D505BE" w:rsidRPr="00734121">
        <w:t>reset to zero for the next cell cycle:</w:t>
      </w:r>
    </w:p>
    <w:tbl>
      <w:tblPr>
        <w:tblStyle w:val="TableGridLight"/>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80" w:firstRow="0" w:lastRow="0" w:firstColumn="1" w:lastColumn="0" w:noHBand="1" w:noVBand="1"/>
      </w:tblPr>
      <w:tblGrid>
        <w:gridCol w:w="30"/>
        <w:gridCol w:w="8335"/>
        <w:gridCol w:w="661"/>
      </w:tblGrid>
      <w:tr w:rsidR="00D505BE" w:rsidRPr="00734121" w14:paraId="02242C14" w14:textId="77777777" w:rsidTr="00D37B96">
        <w:tc>
          <w:tcPr>
            <w:tcW w:w="17" w:type="pct"/>
            <w:vAlign w:val="center"/>
          </w:tcPr>
          <w:p w14:paraId="27448A31" w14:textId="77777777" w:rsidR="00D505BE" w:rsidRPr="00734121" w:rsidRDefault="00D505BE" w:rsidP="001E2DA7">
            <w:pPr>
              <w:pStyle w:val="BodyText"/>
              <w:spacing w:before="0" w:after="160" w:line="360" w:lineRule="auto"/>
              <w:contextualSpacing/>
              <w:jc w:val="center"/>
              <w:rPr>
                <w:lang w:val="en-GB"/>
              </w:rPr>
            </w:pPr>
          </w:p>
        </w:tc>
        <w:tc>
          <w:tcPr>
            <w:tcW w:w="4617" w:type="pct"/>
            <w:vAlign w:val="center"/>
          </w:tcPr>
          <w:p w14:paraId="0B764E8C" w14:textId="77777777" w:rsidR="00D505BE" w:rsidRPr="00734121" w:rsidRDefault="004F1A48" w:rsidP="001E2DA7">
            <w:pPr>
              <w:tabs>
                <w:tab w:val="left" w:pos="1495"/>
              </w:tabs>
              <w:spacing w:after="160" w:line="360" w:lineRule="auto"/>
              <w:contextualSpacing/>
              <w:jc w:val="center"/>
            </w:pPr>
            <m:oMathPara>
              <m:oMath>
                <m:sSubSup>
                  <m:sSubSupPr>
                    <m:ctrlPr>
                      <w:rPr>
                        <w:rFonts w:ascii="Cambria Math" w:hAnsi="Cambria Math"/>
                        <w:i/>
                      </w:rPr>
                    </m:ctrlPr>
                  </m:sSubSupPr>
                  <m:e>
                    <m:r>
                      <w:rPr>
                        <w:rFonts w:ascii="Cambria Math" w:hAnsi="Cambria Math"/>
                      </w:rPr>
                      <m:t>N</m:t>
                    </m:r>
                  </m:e>
                  <m:sub>
                    <m:r>
                      <w:rPr>
                        <w:rFonts w:ascii="Cambria Math" w:hAnsi="Cambria Math"/>
                      </w:rPr>
                      <m:t>cells.fated.gen0</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t+dt</m:t>
                    </m:r>
                  </m:e>
                </m:d>
                <m:r>
                  <w:rPr>
                    <w:rFonts w:ascii="Cambria Math" w:hAnsi="Cambria Math"/>
                  </w:rPr>
                  <m:t>=0</m:t>
                </m:r>
              </m:oMath>
            </m:oMathPara>
          </w:p>
        </w:tc>
        <w:tc>
          <w:tcPr>
            <w:tcW w:w="367" w:type="pct"/>
            <w:vAlign w:val="center"/>
          </w:tcPr>
          <w:p w14:paraId="54B0150B" w14:textId="527906B8" w:rsidR="00D505BE" w:rsidRPr="00734121" w:rsidRDefault="00D505BE" w:rsidP="001E2DA7">
            <w:pPr>
              <w:pStyle w:val="Caption"/>
              <w:spacing w:before="0" w:after="160" w:line="360" w:lineRule="auto"/>
              <w:ind w:left="2019" w:hanging="2019"/>
              <w:contextualSpacing/>
              <w:jc w:val="right"/>
              <w:rPr>
                <w:rFonts w:asciiTheme="minorHAnsi" w:hAnsiTheme="minorHAnsi" w:cstheme="minorHAnsi"/>
                <w:b w:val="0"/>
                <w:bCs/>
                <w:sz w:val="22"/>
                <w:szCs w:val="22"/>
                <w:lang w:val="en-GB"/>
              </w:rPr>
            </w:pPr>
            <w:r w:rsidRPr="00734121">
              <w:rPr>
                <w:rFonts w:asciiTheme="minorHAnsi" w:hAnsiTheme="minorHAnsi" w:cstheme="minorHAnsi"/>
                <w:b w:val="0"/>
                <w:bCs/>
                <w:sz w:val="22"/>
                <w:szCs w:val="22"/>
                <w:lang w:val="en-GB"/>
              </w:rPr>
              <w:t>(</w:t>
            </w:r>
            <w:r w:rsidR="00D37B96">
              <w:rPr>
                <w:rFonts w:asciiTheme="minorHAnsi" w:hAnsiTheme="minorHAnsi" w:cstheme="minorHAnsi"/>
                <w:b w:val="0"/>
                <w:bCs/>
                <w:sz w:val="22"/>
                <w:szCs w:val="22"/>
                <w:lang w:val="en-GB"/>
              </w:rPr>
              <w:t>S</w:t>
            </w:r>
            <w:r w:rsidR="00071F4F">
              <w:rPr>
                <w:rFonts w:asciiTheme="minorHAnsi" w:hAnsiTheme="minorHAnsi" w:cstheme="minorHAnsi"/>
                <w:b w:val="0"/>
                <w:bCs/>
                <w:sz w:val="22"/>
                <w:szCs w:val="22"/>
                <w:lang w:val="en-GB"/>
              </w:rPr>
              <w:t>6</w:t>
            </w:r>
            <w:r w:rsidR="00D37B96">
              <w:rPr>
                <w:rFonts w:asciiTheme="minorHAnsi" w:hAnsiTheme="minorHAnsi" w:cstheme="minorHAnsi"/>
                <w:b w:val="0"/>
                <w:bCs/>
                <w:sz w:val="22"/>
                <w:szCs w:val="22"/>
                <w:lang w:val="en-GB"/>
              </w:rPr>
              <w:t>.10</w:t>
            </w:r>
            <w:r w:rsidRPr="00734121">
              <w:rPr>
                <w:rFonts w:asciiTheme="minorHAnsi" w:hAnsiTheme="minorHAnsi" w:cstheme="minorHAnsi"/>
                <w:b w:val="0"/>
                <w:bCs/>
                <w:sz w:val="22"/>
                <w:szCs w:val="22"/>
                <w:lang w:val="en-GB"/>
              </w:rPr>
              <w:t>)</w:t>
            </w:r>
          </w:p>
        </w:tc>
      </w:tr>
    </w:tbl>
    <w:p w14:paraId="0DDC9FCC" w14:textId="10622535" w:rsidR="00B56AE4" w:rsidRPr="00734121" w:rsidRDefault="00B56AE4" w:rsidP="00B56AE4">
      <w:pPr>
        <w:pStyle w:val="ListParagraph"/>
        <w:numPr>
          <w:ilvl w:val="0"/>
          <w:numId w:val="6"/>
        </w:numPr>
        <w:tabs>
          <w:tab w:val="left" w:pos="1495"/>
        </w:tabs>
        <w:spacing w:line="259" w:lineRule="auto"/>
        <w:jc w:val="both"/>
      </w:pPr>
      <w:r w:rsidRPr="00734121">
        <w:rPr>
          <w:b/>
          <w:bCs/>
        </w:rPr>
        <w:t>Cells transfer from shell to inner core</w:t>
      </w:r>
    </w:p>
    <w:p w14:paraId="25C8D942" w14:textId="7FE81558" w:rsidR="00F14CAB" w:rsidRPr="00734121" w:rsidRDefault="00F14CAB" w:rsidP="00AF6FA4">
      <w:pPr>
        <w:tabs>
          <w:tab w:val="left" w:pos="1495"/>
        </w:tabs>
        <w:jc w:val="both"/>
      </w:pPr>
      <w:r w:rsidRPr="00734121">
        <w:t xml:space="preserve">As the tumour proliferating layer grows, a portion of </w:t>
      </w:r>
      <w:r w:rsidRPr="00734121">
        <w:rPr>
          <w:rFonts w:eastAsiaTheme="minorEastAsia"/>
        </w:rPr>
        <w:t>cancer cells may be transferred from this layer to the inner core to maintain the maximum thickness of the shell</w:t>
      </w:r>
      <w:r w:rsidRPr="00734121">
        <w:t xml:space="preserve"> (see </w:t>
      </w:r>
      <w:r w:rsidR="00862FC3" w:rsidRPr="000F41FF">
        <w:rPr>
          <w:b/>
          <w:bCs/>
          <w:i/>
          <w:iCs/>
        </w:rPr>
        <w:t xml:space="preserve">Supplementary Methods </w:t>
      </w:r>
      <w:r w:rsidR="00862FC3">
        <w:rPr>
          <w:b/>
          <w:bCs/>
          <w:i/>
          <w:iCs/>
        </w:rPr>
        <w:t>4</w:t>
      </w:r>
      <w:r w:rsidR="00862FC3" w:rsidRPr="000F41FF">
        <w:rPr>
          <w:b/>
          <w:bCs/>
          <w:i/>
          <w:iCs/>
        </w:rPr>
        <w:t>:</w:t>
      </w:r>
      <w:r w:rsidR="00862FC3">
        <w:rPr>
          <w:b/>
          <w:bCs/>
          <w:i/>
          <w:iCs/>
        </w:rPr>
        <w:t xml:space="preserve"> </w:t>
      </w:r>
      <w:r w:rsidRPr="00734121">
        <w:rPr>
          <w:b/>
          <w:bCs/>
          <w:i/>
          <w:iCs/>
        </w:rPr>
        <w:t>Tumour volume calculation</w:t>
      </w:r>
      <w:r w:rsidRPr="00734121">
        <w:t>). The number of cells</w:t>
      </w:r>
      <w:r w:rsidR="0082334A" w:rsidRPr="00734121">
        <w:t xml:space="preserve"> is adjusted by backtracking from the actual relative change of shell volume, assuming that the proportion of each cell subgroup relative to the total number of cells (</w:t>
      </w:r>
      <m:oMath>
        <m:nary>
          <m:naryPr>
            <m:chr m:val="∑"/>
            <m:limLoc m:val="subSup"/>
            <m:supHide m:val="1"/>
            <m:ctrlPr>
              <w:rPr>
                <w:rFonts w:ascii="Cambria Math" w:hAnsi="Cambria Math"/>
                <w:i/>
              </w:rPr>
            </m:ctrlPr>
          </m:naryPr>
          <m:sub>
            <m:r>
              <w:rPr>
                <w:rFonts w:ascii="Cambria Math" w:hAnsi="Cambria Math"/>
              </w:rPr>
              <m:t>S</m:t>
            </m:r>
          </m:sub>
          <m:sup/>
          <m:e>
            <m:sSubSup>
              <m:sSubSupPr>
                <m:ctrlPr>
                  <w:rPr>
                    <w:rFonts w:ascii="Cambria Math" w:hAnsi="Cambria Math"/>
                    <w:i/>
                  </w:rPr>
                </m:ctrlPr>
              </m:sSubSupPr>
              <m:e>
                <m:r>
                  <w:rPr>
                    <w:rFonts w:ascii="Cambria Math" w:hAnsi="Cambria Math"/>
                  </w:rPr>
                  <m:t>N</m:t>
                </m:r>
              </m:e>
              <m:sub>
                <m:r>
                  <w:rPr>
                    <w:rFonts w:ascii="Cambria Math" w:hAnsi="Cambria Math"/>
                  </w:rPr>
                  <m:t>cells</m:t>
                </m:r>
              </m:sub>
              <m:sup>
                <m:d>
                  <m:dPr>
                    <m:ctrlPr>
                      <w:rPr>
                        <w:rFonts w:ascii="Cambria Math" w:hAnsi="Cambria Math"/>
                        <w:i/>
                      </w:rPr>
                    </m:ctrlPr>
                  </m:dPr>
                  <m:e>
                    <m:r>
                      <w:rPr>
                        <w:rFonts w:ascii="Cambria Math" w:hAnsi="Cambria Math"/>
                      </w:rPr>
                      <m:t>S</m:t>
                    </m:r>
                  </m:e>
                </m:d>
              </m:sup>
            </m:sSubSup>
            <m:d>
              <m:dPr>
                <m:ctrlPr>
                  <w:rPr>
                    <w:rFonts w:ascii="Cambria Math" w:eastAsiaTheme="minorEastAsia" w:hAnsi="Cambria Math"/>
                    <w:i/>
                  </w:rPr>
                </m:ctrlPr>
              </m:dPr>
              <m:e>
                <m:r>
                  <w:rPr>
                    <w:rFonts w:ascii="Cambria Math" w:eastAsiaTheme="minorEastAsia" w:hAnsi="Cambria Math"/>
                  </w:rPr>
                  <m:t>t</m:t>
                </m:r>
              </m:e>
            </m:d>
          </m:e>
        </m:nary>
      </m:oMath>
      <w:r w:rsidR="0082334A" w:rsidRPr="00734121">
        <w:t>) is preserved.</w:t>
      </w:r>
    </w:p>
    <w:p w14:paraId="411CAEB1" w14:textId="35DE3433" w:rsidR="00F14CAB" w:rsidRPr="00734121" w:rsidRDefault="00F14CAB" w:rsidP="00AF6FA4">
      <w:pPr>
        <w:tabs>
          <w:tab w:val="left" w:pos="1495"/>
        </w:tabs>
        <w:jc w:val="both"/>
      </w:pPr>
      <w:r w:rsidRPr="00734121">
        <w:t>Note that in practice this step is not</w:t>
      </w:r>
      <w:r w:rsidR="00C03ADE">
        <w:t xml:space="preserve"> </w:t>
      </w:r>
      <w:r w:rsidR="00071E7A">
        <w:t xml:space="preserve">mandatory </w:t>
      </w:r>
      <w:r w:rsidRPr="00734121">
        <w:t>as only relative changes in population size drive the change in tumour volume.</w:t>
      </w:r>
    </w:p>
    <w:p w14:paraId="6ACD7B8B" w14:textId="77777777" w:rsidR="00784D1F" w:rsidRPr="00734121" w:rsidRDefault="00784D1F">
      <w:pPr>
        <w:rPr>
          <w:b/>
          <w:bCs/>
          <w:color w:val="000000" w:themeColor="text1"/>
        </w:rPr>
      </w:pPr>
      <w:r w:rsidRPr="00734121">
        <w:rPr>
          <w:b/>
          <w:bCs/>
          <w:color w:val="000000" w:themeColor="text1"/>
        </w:rPr>
        <w:br w:type="page"/>
      </w:r>
    </w:p>
    <w:p w14:paraId="594C8F00" w14:textId="77777777" w:rsidR="008B7B06" w:rsidRPr="00734121" w:rsidRDefault="008B7B06" w:rsidP="009C6E64">
      <w:pPr>
        <w:pStyle w:val="Heading2"/>
        <w:numPr>
          <w:ilvl w:val="0"/>
          <w:numId w:val="10"/>
        </w:numPr>
        <w:rPr>
          <w:b/>
          <w:bCs/>
          <w:color w:val="auto"/>
        </w:rPr>
      </w:pPr>
      <w:bookmarkStart w:id="6" w:name="_Ref117251776"/>
      <w:r w:rsidRPr="00734121">
        <w:rPr>
          <w:b/>
          <w:bCs/>
          <w:color w:val="auto"/>
        </w:rPr>
        <w:t>Pharmacokinetic models</w:t>
      </w:r>
      <w:bookmarkEnd w:id="6"/>
    </w:p>
    <w:p w14:paraId="6916C724" w14:textId="4C75E888" w:rsidR="008B7B06" w:rsidRDefault="008B7B06" w:rsidP="008B7B06">
      <w:pPr>
        <w:jc w:val="both"/>
      </w:pPr>
      <w:r w:rsidRPr="00734121">
        <w:t xml:space="preserve">Compartmental pharmacokinetic (PK) models were used to compute drug plasma concentration over time after oral (PO) administration of the drugs. Parameters for all PK models are given in Supplementary Information. A two-compartment PK model was fitted to </w:t>
      </w:r>
      <w:proofErr w:type="spellStart"/>
      <w:r w:rsidRPr="00734121">
        <w:t>gartisertib</w:t>
      </w:r>
      <w:proofErr w:type="spellEnd"/>
      <w:r w:rsidRPr="00734121">
        <w:t xml:space="preserve"> plasma-concentration measurements taken in </w:t>
      </w:r>
      <w:r w:rsidR="00E34D85" w:rsidRPr="00E34D85">
        <w:t>H2D Rag2 mice</w:t>
      </w:r>
      <w:r w:rsidRPr="00734121">
        <w:t xml:space="preserve">, including one IV profile (Table S1). The PK model was established using Phoenix </w:t>
      </w:r>
      <w:proofErr w:type="spellStart"/>
      <w:r w:rsidRPr="00734121">
        <w:t>WinNonlin</w:t>
      </w:r>
      <w:proofErr w:type="spellEnd"/>
      <w:r w:rsidRPr="00734121">
        <w:t xml:space="preserve"> 6.4 and NLME 1.2, with the FOCE algorithm and a multiplicative/proportional error model. Rucaparib PK was represented by a model with a central compartment and two transit compartments for absorption. The model was fitted to plasma-concentration measurements taken in non-tumour bearing NOD/SCID mice following single PO administration of </w:t>
      </w:r>
      <w:bookmarkStart w:id="7" w:name="_Hlk124840749"/>
      <w:r w:rsidRPr="00734121">
        <w:t xml:space="preserve">rucaparib camsylate (Table S2; data source: </w:t>
      </w:r>
      <w:hyperlink r:id="rId11" w:history="1">
        <w:r w:rsidRPr="00734121">
          <w:rPr>
            <w:rStyle w:val="Hyperlink"/>
          </w:rPr>
          <w:t>FDA report NDA 209115</w:t>
        </w:r>
      </w:hyperlink>
      <w:r w:rsidRPr="00734121">
        <w:t xml:space="preserve">; </w:t>
      </w:r>
      <w:hyperlink r:id="rId12" w:history="1">
        <w:r w:rsidRPr="00734121">
          <w:rPr>
            <w:rStyle w:val="Hyperlink"/>
            <w:i/>
            <w:iCs/>
          </w:rPr>
          <w:t>Multi-Discipline Review/Summary, Clinical, Non-Clinical</w:t>
        </w:r>
      </w:hyperlink>
      <w:r w:rsidRPr="00734121">
        <w:t>).</w:t>
      </w:r>
      <w:bookmarkEnd w:id="7"/>
      <w:r w:rsidRPr="00734121">
        <w:t xml:space="preserve"> The PK model was established in R using </w:t>
      </w:r>
      <w:proofErr w:type="spellStart"/>
      <w:r w:rsidRPr="00734121">
        <w:rPr>
          <w:i/>
          <w:iCs/>
        </w:rPr>
        <w:t>minpack.lm</w:t>
      </w:r>
      <w:proofErr w:type="spellEnd"/>
      <w:r w:rsidRPr="00734121">
        <w:t xml:space="preserve"> package and a multiplicative/proportional error model. </w:t>
      </w:r>
      <w:proofErr w:type="spellStart"/>
      <w:r w:rsidRPr="00734121">
        <w:t>Talazoparib</w:t>
      </w:r>
      <w:proofErr w:type="spellEnd"/>
      <w:r w:rsidRPr="00734121">
        <w:t xml:space="preserve"> PK was taken from the literature </w:t>
      </w:r>
      <w:r w:rsidRPr="00734121">
        <w:fldChar w:fldCharType="begin"/>
      </w:r>
      <w:r w:rsidR="00782AFE">
        <w:instrText xml:space="preserve"> ADDIN ZOTERO_ITEM CSL_CITATION {"citationID":"tB3a2yxV","properties":{"formattedCitation":"(15)","plainCitation":"(15)","noteIndex":0},"citationItems":[{"id":5624,"uris":["http://zotero.org/users/4189777/items/7I6MLAI3"],"itemData":{"id":5624,"type":"article-journal","container-title":"Cell Reports","DOI":"10.1016/j.celrep.2014.09.028","ISSN":"22111247","issue":"3","language":"en","page":"829-840","source":"CrossRef","title":"Targeting the DNA Repair Pathway in Ewing Sarcoma","volume":"9","author":[{"family":"Stewart","given":"Elizabeth"},{"family":"Goshorn","given":"Ross"},{"family":"Bradley","given":"Cori"},{"family":"Griffiths","given":"Lyra M."},{"family":"Benavente","given":"Claudia"},{"family":"Twarog","given":"Nathaniel R."},{"family":"Miller","given":"Gregory M."},{"family":"Caufield","given":"William"},{"family":"Freeman","given":"Burgess B."},{"family":"Bahrami","given":"Armita"},{"family":"Pappo","given":"Alberto"},{"family":"Wu","given":"Jianrong"},{"family":"Loh","given":"Amos"},{"family":"Karlström","given":"Åsa"},{"family":"Calabrese","given":"Chris"},{"family":"Gordon","given":"Brittney"},{"family":"Tsurkan","given":"Lyudmila"},{"family":"Hatfield","given":"M. Jason"},{"family":"Potter","given":"Philip M."},{"family":"Snyder","given":"Scott E."},{"family":"Thiagarajan","given":"Suresh"},{"family":"Shirinifard","given":"Abbas"},{"family":"Sablauer","given":"Andras"},{"family":"Shelat","given":"Anang A."},{"family":"Dyer","given":"Michael A."}],"issued":{"date-parts":[["2014",11]]}}}],"schema":"https://github.com/citation-style-language/schema/raw/master/csl-citation.json"} </w:instrText>
      </w:r>
      <w:r w:rsidRPr="00734121">
        <w:fldChar w:fldCharType="separate"/>
      </w:r>
      <w:r w:rsidR="00782AFE" w:rsidRPr="00782AFE">
        <w:rPr>
          <w:rFonts w:ascii="Calibri" w:hAnsi="Calibri" w:cs="Calibri"/>
        </w:rPr>
        <w:t>(15)</w:t>
      </w:r>
      <w:r w:rsidRPr="00734121">
        <w:fldChar w:fldCharType="end"/>
      </w:r>
      <w:r w:rsidRPr="00734121">
        <w:t xml:space="preserve"> and was represented by a one-compartment model (Table S3). All PK models were implemented in R to generate the drugs concentration profiles over time.</w:t>
      </w:r>
    </w:p>
    <w:p w14:paraId="5C28171D" w14:textId="77777777" w:rsidR="00606E62" w:rsidRDefault="00606E62" w:rsidP="008B7B06">
      <w:pPr>
        <w:jc w:val="both"/>
      </w:pPr>
    </w:p>
    <w:p w14:paraId="1E57A9BA" w14:textId="0F84C37F" w:rsidR="00606E62" w:rsidRPr="00A36115" w:rsidRDefault="005319F5" w:rsidP="00A36115">
      <w:pPr>
        <w:pStyle w:val="Heading2"/>
        <w:numPr>
          <w:ilvl w:val="0"/>
          <w:numId w:val="10"/>
        </w:numPr>
        <w:rPr>
          <w:b/>
          <w:bCs/>
          <w:color w:val="auto"/>
        </w:rPr>
      </w:pPr>
      <w:r w:rsidRPr="005319F5">
        <w:rPr>
          <w:b/>
          <w:bCs/>
          <w:color w:val="auto"/>
        </w:rPr>
        <w:t>Preclinical TGI data</w:t>
      </w:r>
    </w:p>
    <w:p w14:paraId="1ACB8C93" w14:textId="3423E1D9" w:rsidR="00B56AE4" w:rsidRPr="00A36115" w:rsidRDefault="00606E62" w:rsidP="00A36115">
      <w:pPr>
        <w:jc w:val="both"/>
      </w:pPr>
      <w:r>
        <w:t xml:space="preserve">TGI time series were collected from </w:t>
      </w:r>
      <w:r w:rsidR="006B78AB">
        <w:t xml:space="preserve">female, </w:t>
      </w:r>
      <w:r>
        <w:t>athymic nude</w:t>
      </w:r>
      <w:r w:rsidR="3E6392B7">
        <w:t>-Foxn1 nu</w:t>
      </w:r>
      <w:r>
        <w:t xml:space="preserve"> mice inoculated with TNBC PDXs (Table 2</w:t>
      </w:r>
      <w:r w:rsidR="00A36115">
        <w:t xml:space="preserve"> in Main Text</w:t>
      </w:r>
      <w:r>
        <w:t xml:space="preserve">). These studies were performed by </w:t>
      </w:r>
      <w:proofErr w:type="spellStart"/>
      <w:r>
        <w:t>XenTech</w:t>
      </w:r>
      <w:proofErr w:type="spellEnd"/>
      <w:r>
        <w:t xml:space="preserve"> (Evry, France) in accordance with French legislation concerning the protection of laboratory animals and in accordance with a license approved by the French Ministry of Higher Education, Research and Innovation (registration numbers APAFIS#7125-2016012713169445v3, APAFIS#11191v2; APAFIS#19620-2019021311503803v1). Experimental procedures were reported earlier </w:t>
      </w:r>
      <w:r>
        <w:fldChar w:fldCharType="begin"/>
      </w:r>
      <w:r>
        <w:instrText xml:space="preserve"> ADDIN ZOTERO_ITEM CSL_CITATION {"citationID":"dPa6E4CF","properties":{"formattedCitation":"(16)","plainCitation":"(16)","noteIndex":0},"citationItems":[{"id":33907,"uris":["http://zotero.org/users/4189777/items/SSAX2MS5"],"itemData":{"id":33907,"type":"article-journal","abstract":"Abstract\n            Ataxia telangiectasia and Rad3-related protein (ATR) kinase regulate a key cell regulatory node for maintaining genomic integrity by preventing replication fork collapse. ATR inhibition has been shown to increase replication stress resulting in DNA double-strand breaks (DSBs) and cancer cell death, and several inhibitors are under clinical investigation for cancer therapy. However, activation of cell-cycle checkpoints controlled by ataxia telangiectasia–mutated (ATM) kinase could minimize the lethal consequences of ATR inhibition and protect cancer cells. Here, we investigate ATR-ATM functional relationship and potential therapeutic implications. In cancer cells with functional ATM and p53 signaling, selective suppression of ATR catalytic activity by M6620 induced G1-phase arrest to prevent S-phase entry with unrepaired DSBs. The selective ATM inhibitors, M3541 and M4076, suppressed both ATM-dependent cell-cycle checkpoints, and DSB repair lowered the p53 protective barrier and extended the life of ATR inhibitor–induced DSBs. Combination treatment amplified the fraction of cells with structural chromosomal defects and enhanced cancer cell death. ATM inhibitor synergistically potentiated the ATR inhibitor efficacy in cancer cells in vitro and increased ATR inhibitor efficacy in vivo at doses that did not show overt toxicities. Furthermore, a combination study in 26 patient-derived xenograft models of triple-negative breast cancer with the newer generation ATR inhibitor M4344 and ATM inhibitor M4076 demonstrated substantial improvement in efficacy and survival compared with single-agent M4344, suggesting a novel and potentially broad combination approach to cancer therapy.","container-title":"Molecular Cancer Therapeutics","DOI":"10.1158/1535-7163.MCT-22-0685","ISSN":"1535-7163, 1538-8514","issue":"7","language":"en","page":"859-872","source":"DOI.org (Crossref)","title":"Selective Inhibition of ATM-dependent Double-strand Break Repair and Checkpoint Control Synergistically Enhances the Efficacy of ATR Inhibitors","volume":"22","author":[{"family":"Turchick","given":"Audrey"},{"family":"Zimmermann","given":"Astrid"},{"family":"Chiu","given":"Li-Ya"},{"family":"Dahmen","given":"Heike"},{"family":"Elenbaas","given":"Brian"},{"family":"Zenke","given":"Frank T."},{"family":"Blaukat","given":"Andree"},{"family":"Vassilev","given":"Lyubomir T."}],"issued":{"date-parts":[["2023",7,5]]}}}],"schema":"https://github.com/citation-style-language/schema/raw/master/csl-citation.json"} </w:instrText>
      </w:r>
      <w:r>
        <w:fldChar w:fldCharType="separate"/>
      </w:r>
      <w:r w:rsidR="00807072" w:rsidRPr="42E05E5C">
        <w:rPr>
          <w:rFonts w:ascii="Calibri" w:hAnsi="Calibri" w:cs="Calibri"/>
        </w:rPr>
        <w:t>(16)</w:t>
      </w:r>
      <w:r>
        <w:fldChar w:fldCharType="end"/>
      </w:r>
      <w:r>
        <w:t xml:space="preserve">. The panel of tumour models included </w:t>
      </w:r>
      <w:r w:rsidRPr="42E05E5C">
        <w:rPr>
          <w:i/>
          <w:iCs/>
        </w:rPr>
        <w:t>BRCA</w:t>
      </w:r>
      <w:r>
        <w:t xml:space="preserve"> mutant (HBCx-10, HBCx-17, HBCx-22), </w:t>
      </w:r>
      <w:r w:rsidRPr="42E05E5C">
        <w:rPr>
          <w:i/>
          <w:iCs/>
        </w:rPr>
        <w:t>BRCA</w:t>
      </w:r>
      <w:r>
        <w:t xml:space="preserve"> wild-type HRD positive (HBCx-1, HBCx-9, HBCx-15) and HRD negative (HBCx-30, HBCx-33, T311R) PDXs. </w:t>
      </w:r>
      <w:r w:rsidR="000A46E5">
        <w:t>Age</w:t>
      </w:r>
      <w:r w:rsidR="00BA2CB3">
        <w:t xml:space="preserve"> </w:t>
      </w:r>
      <w:r w:rsidR="00751925">
        <w:t xml:space="preserve">of animals </w:t>
      </w:r>
      <w:r w:rsidR="000A46E5">
        <w:t>at start of treatment</w:t>
      </w:r>
      <w:r w:rsidR="00BA2CB3">
        <w:t xml:space="preserve"> for each experiment, in weeks</w:t>
      </w:r>
      <w:r w:rsidR="000863A9">
        <w:t xml:space="preserve">: </w:t>
      </w:r>
      <w:r w:rsidR="00BB31D0">
        <w:t>10 (HBCx-15);</w:t>
      </w:r>
      <w:r w:rsidR="00751925">
        <w:t xml:space="preserve"> 11 (HBCx-30</w:t>
      </w:r>
      <w:r w:rsidR="00BA2CB3">
        <w:t>, T311R); 12 (</w:t>
      </w:r>
      <w:r w:rsidR="00E56FB5">
        <w:t>HBCx-9 study 4 and PDX panel, HBCx-17</w:t>
      </w:r>
      <w:r w:rsidR="00BA2CB3">
        <w:t>)</w:t>
      </w:r>
      <w:r w:rsidR="009A78C0">
        <w:t>; 13 (HBCx-9 studies 1 and 3</w:t>
      </w:r>
      <w:r w:rsidR="004C2E72">
        <w:t>, HBCx-1, HBCx-10</w:t>
      </w:r>
      <w:r w:rsidR="009A78C0">
        <w:t>)</w:t>
      </w:r>
      <w:r w:rsidR="004C2E72">
        <w:t>; 14 (HBCx-9 study 2</w:t>
      </w:r>
      <w:r w:rsidR="001A6A91">
        <w:t>, HBCx-22); 15 (HBCx-33)</w:t>
      </w:r>
      <w:r w:rsidR="00BA2CB3">
        <w:t xml:space="preserve">. </w:t>
      </w:r>
      <w:r>
        <w:t xml:space="preserve">Mice were treated with either vehicle, PARP inhibitor monotherapy (rucaparib or </w:t>
      </w:r>
      <w:proofErr w:type="spellStart"/>
      <w:r>
        <w:t>talazoparib</w:t>
      </w:r>
      <w:proofErr w:type="spellEnd"/>
      <w:r>
        <w:t>), ATR inhibitor monotherapy (</w:t>
      </w:r>
      <w:proofErr w:type="spellStart"/>
      <w:r>
        <w:t>gartisertib</w:t>
      </w:r>
      <w:proofErr w:type="spellEnd"/>
      <w:r>
        <w:t xml:space="preserve">), or PARP + ATR inhibitor combination therapies, according to several dosing regimens, as listed in Table 2. For the PDX panel, </w:t>
      </w:r>
      <w:proofErr w:type="spellStart"/>
      <w:r>
        <w:t>gartisertib</w:t>
      </w:r>
      <w:proofErr w:type="spellEnd"/>
      <w:r>
        <w:t xml:space="preserve"> was given twice per week, x4 cycles, at doses of 10 mg/kg (HBCx-10, HBCx-17, HBCx-22, HBCx-1, HBCx-33) or 20 mg/kg (HBCx-9, HBCx-15, HBCx-30, T311R). All drugs were given PO. In all studies, treatment started at Day 1, except for the study in HBCx-1, where dosing started at Day 0. Other deviations included: in study 4, two-day dosing break (Day 9 and 10); study in HBCx-10, </w:t>
      </w:r>
      <w:proofErr w:type="spellStart"/>
      <w:r>
        <w:t>gartisertib</w:t>
      </w:r>
      <w:proofErr w:type="spellEnd"/>
      <w:r>
        <w:t xml:space="preserve"> dose at Day 4 was 10 mg/kg instead of 20 mg/kg; study in T311R, </w:t>
      </w:r>
      <w:proofErr w:type="spellStart"/>
      <w:r>
        <w:t>gartisertib</w:t>
      </w:r>
      <w:proofErr w:type="spellEnd"/>
      <w:r>
        <w:t xml:space="preserve"> dose at Day 22 was 10 mg/kg instead of 20 mg/kg. When dosing twice per day, the drugs were given 8 h apart.</w:t>
      </w:r>
    </w:p>
    <w:p w14:paraId="6EA8E511" w14:textId="77777777" w:rsidR="006157B7" w:rsidRPr="00734121" w:rsidRDefault="006157B7">
      <w:pPr>
        <w:rPr>
          <w:rFonts w:asciiTheme="majorHAnsi" w:eastAsiaTheme="majorEastAsia" w:hAnsiTheme="majorHAnsi" w:cstheme="majorBidi"/>
          <w:b/>
          <w:bCs/>
          <w:color w:val="000000" w:themeColor="text1"/>
          <w:sz w:val="32"/>
          <w:szCs w:val="32"/>
        </w:rPr>
      </w:pPr>
      <w:r w:rsidRPr="00734121">
        <w:rPr>
          <w:b/>
          <w:bCs/>
          <w:color w:val="000000" w:themeColor="text1"/>
        </w:rPr>
        <w:br w:type="page"/>
      </w:r>
    </w:p>
    <w:p w14:paraId="16D2E506" w14:textId="60AA8313" w:rsidR="003875F5" w:rsidRPr="00734121" w:rsidRDefault="003875F5" w:rsidP="003875F5">
      <w:pPr>
        <w:pStyle w:val="Heading1"/>
        <w:rPr>
          <w:b/>
          <w:bCs/>
          <w:color w:val="000000" w:themeColor="text1"/>
        </w:rPr>
      </w:pPr>
      <w:r w:rsidRPr="00734121">
        <w:rPr>
          <w:b/>
          <w:bCs/>
          <w:color w:val="000000" w:themeColor="text1"/>
        </w:rPr>
        <w:t xml:space="preserve">Supplementary </w:t>
      </w:r>
      <w:r w:rsidR="00D16753">
        <w:rPr>
          <w:b/>
          <w:bCs/>
          <w:color w:val="000000" w:themeColor="text1"/>
        </w:rPr>
        <w:t>T</w:t>
      </w:r>
      <w:r w:rsidRPr="00734121">
        <w:rPr>
          <w:b/>
          <w:bCs/>
          <w:color w:val="000000" w:themeColor="text1"/>
        </w:rPr>
        <w:t>ables</w:t>
      </w:r>
    </w:p>
    <w:p w14:paraId="6D2B83EF" w14:textId="77777777" w:rsidR="003875F5" w:rsidRPr="00734121" w:rsidRDefault="003875F5" w:rsidP="003875F5">
      <w:pPr>
        <w:rPr>
          <w:b/>
          <w:bCs/>
        </w:rPr>
      </w:pPr>
    </w:p>
    <w:p w14:paraId="289CF860" w14:textId="04B47BCD" w:rsidR="00B561B2" w:rsidRPr="00CF4774" w:rsidRDefault="002E0DC7" w:rsidP="00B561B2">
      <w:pPr>
        <w:pStyle w:val="Heading2"/>
        <w:rPr>
          <w:b/>
          <w:bCs/>
          <w:color w:val="auto"/>
        </w:rPr>
      </w:pPr>
      <w:r w:rsidRPr="00CF4774">
        <w:rPr>
          <w:b/>
          <w:bCs/>
          <w:color w:val="auto"/>
        </w:rPr>
        <w:t>Table S1</w:t>
      </w:r>
      <w:r w:rsidR="00D561D0" w:rsidRPr="00CF4774">
        <w:rPr>
          <w:b/>
          <w:bCs/>
          <w:color w:val="auto"/>
        </w:rPr>
        <w:t xml:space="preserve">. PK model parameters for </w:t>
      </w:r>
      <w:proofErr w:type="spellStart"/>
      <w:r w:rsidR="003B3093" w:rsidRPr="00CF4774">
        <w:rPr>
          <w:b/>
          <w:bCs/>
          <w:color w:val="auto"/>
        </w:rPr>
        <w:t>gartisertib</w:t>
      </w:r>
      <w:proofErr w:type="spellEnd"/>
      <w:r w:rsidR="003B3093" w:rsidRPr="00CF4774">
        <w:rPr>
          <w:b/>
          <w:bCs/>
          <w:color w:val="auto"/>
        </w:rPr>
        <w:t xml:space="preserve"> </w:t>
      </w:r>
    </w:p>
    <w:p w14:paraId="62FD1081" w14:textId="649D618E" w:rsidR="002E0DC7" w:rsidRPr="00B561B2" w:rsidRDefault="00B561B2" w:rsidP="00B561B2">
      <w:r>
        <w:t xml:space="preserve">Model: </w:t>
      </w:r>
      <w:r w:rsidR="00D561D0" w:rsidRPr="00B561B2">
        <w:t>t</w:t>
      </w:r>
      <w:r w:rsidR="002E0DC7" w:rsidRPr="00B561B2">
        <w:t>wo-compartment model with absorption.</w:t>
      </w:r>
    </w:p>
    <w:tbl>
      <w:tblPr>
        <w:tblStyle w:val="TableGrid"/>
        <w:tblW w:w="0" w:type="auto"/>
        <w:tblLook w:val="04A0" w:firstRow="1" w:lastRow="0" w:firstColumn="1" w:lastColumn="0" w:noHBand="0" w:noVBand="1"/>
      </w:tblPr>
      <w:tblGrid>
        <w:gridCol w:w="3397"/>
        <w:gridCol w:w="2410"/>
        <w:gridCol w:w="2410"/>
      </w:tblGrid>
      <w:tr w:rsidR="00C22EBD" w:rsidRPr="00734121" w14:paraId="3F410B92" w14:textId="3A491719" w:rsidTr="001E2DA7">
        <w:tc>
          <w:tcPr>
            <w:tcW w:w="3397" w:type="dxa"/>
          </w:tcPr>
          <w:p w14:paraId="216F0E37" w14:textId="77777777" w:rsidR="00C22EBD" w:rsidRPr="00734121" w:rsidRDefault="00C22EBD" w:rsidP="001E2DA7">
            <w:pPr>
              <w:spacing w:line="276" w:lineRule="auto"/>
              <w:rPr>
                <w:b/>
                <w:bCs/>
              </w:rPr>
            </w:pPr>
            <w:r w:rsidRPr="00734121">
              <w:rPr>
                <w:b/>
                <w:bCs/>
              </w:rPr>
              <w:t>Parameter</w:t>
            </w:r>
          </w:p>
        </w:tc>
        <w:tc>
          <w:tcPr>
            <w:tcW w:w="2410" w:type="dxa"/>
          </w:tcPr>
          <w:p w14:paraId="3C81164B" w14:textId="77777777" w:rsidR="00C22EBD" w:rsidRPr="00734121" w:rsidRDefault="00C22EBD" w:rsidP="001E2DA7">
            <w:pPr>
              <w:spacing w:line="276" w:lineRule="auto"/>
              <w:rPr>
                <w:b/>
                <w:bCs/>
              </w:rPr>
            </w:pPr>
            <w:r w:rsidRPr="00734121">
              <w:rPr>
                <w:b/>
                <w:bCs/>
              </w:rPr>
              <w:t>Value</w:t>
            </w:r>
          </w:p>
        </w:tc>
        <w:tc>
          <w:tcPr>
            <w:tcW w:w="2410" w:type="dxa"/>
          </w:tcPr>
          <w:p w14:paraId="2107DCFF" w14:textId="54A744FF" w:rsidR="00C22EBD" w:rsidRPr="00734121" w:rsidRDefault="005E106A" w:rsidP="001E2DA7">
            <w:pPr>
              <w:spacing w:line="276" w:lineRule="auto"/>
              <w:rPr>
                <w:b/>
                <w:bCs/>
              </w:rPr>
            </w:pPr>
            <w:r w:rsidRPr="00734121">
              <w:rPr>
                <w:b/>
                <w:bCs/>
              </w:rPr>
              <w:t>CV%</w:t>
            </w:r>
          </w:p>
        </w:tc>
      </w:tr>
      <w:tr w:rsidR="00C22EBD" w:rsidRPr="00734121" w14:paraId="31320B48" w14:textId="45B5DDFB" w:rsidTr="001E2DA7">
        <w:tc>
          <w:tcPr>
            <w:tcW w:w="3397" w:type="dxa"/>
          </w:tcPr>
          <w:p w14:paraId="3D65AF17" w14:textId="77777777" w:rsidR="00C22EBD" w:rsidRPr="00734121" w:rsidRDefault="00C22EBD" w:rsidP="001E2DA7">
            <w:pPr>
              <w:spacing w:line="276" w:lineRule="auto"/>
            </w:pPr>
            <w:r w:rsidRPr="00734121">
              <w:t>Rate of absorption</w:t>
            </w:r>
          </w:p>
        </w:tc>
        <w:tc>
          <w:tcPr>
            <w:tcW w:w="2410" w:type="dxa"/>
          </w:tcPr>
          <w:p w14:paraId="00FAD10A" w14:textId="7D20A4D3" w:rsidR="00C22EBD" w:rsidRPr="00734121" w:rsidRDefault="00C22EBD" w:rsidP="001E2DA7">
            <w:pPr>
              <w:spacing w:line="276" w:lineRule="auto"/>
            </w:pPr>
            <w:r w:rsidRPr="00734121">
              <w:rPr>
                <w:i/>
                <w:iCs/>
              </w:rPr>
              <w:t>k</w:t>
            </w:r>
            <w:r w:rsidRPr="00734121">
              <w:rPr>
                <w:i/>
                <w:iCs/>
                <w:vertAlign w:val="subscript"/>
              </w:rPr>
              <w:t>a</w:t>
            </w:r>
            <w:r w:rsidRPr="00734121">
              <w:t xml:space="preserve"> = 0.46 /h</w:t>
            </w:r>
          </w:p>
        </w:tc>
        <w:tc>
          <w:tcPr>
            <w:tcW w:w="2410" w:type="dxa"/>
          </w:tcPr>
          <w:p w14:paraId="6D11BAA0" w14:textId="300ED5B6" w:rsidR="00C22EBD" w:rsidRPr="00734121" w:rsidRDefault="005E106A" w:rsidP="001E2DA7">
            <w:pPr>
              <w:spacing w:line="276" w:lineRule="auto"/>
            </w:pPr>
            <w:r w:rsidRPr="00734121">
              <w:t>0</w:t>
            </w:r>
          </w:p>
        </w:tc>
      </w:tr>
      <w:tr w:rsidR="00C22EBD" w:rsidRPr="00734121" w14:paraId="292BDFF7" w14:textId="5C318129" w:rsidTr="001E2DA7">
        <w:tc>
          <w:tcPr>
            <w:tcW w:w="3397" w:type="dxa"/>
          </w:tcPr>
          <w:p w14:paraId="67E787CC" w14:textId="77777777" w:rsidR="00C22EBD" w:rsidRPr="00734121" w:rsidRDefault="00C22EBD" w:rsidP="001E2DA7">
            <w:pPr>
              <w:spacing w:line="276" w:lineRule="auto"/>
            </w:pPr>
            <w:r w:rsidRPr="00734121">
              <w:t>Central clearance</w:t>
            </w:r>
          </w:p>
        </w:tc>
        <w:tc>
          <w:tcPr>
            <w:tcW w:w="2410" w:type="dxa"/>
          </w:tcPr>
          <w:p w14:paraId="38517CC2" w14:textId="77777777" w:rsidR="00C22EBD" w:rsidRPr="00734121" w:rsidRDefault="00C22EBD" w:rsidP="001E2DA7">
            <w:pPr>
              <w:spacing w:line="276" w:lineRule="auto"/>
              <w:rPr>
                <w:i/>
                <w:iCs/>
              </w:rPr>
            </w:pPr>
            <w:r w:rsidRPr="00734121">
              <w:rPr>
                <w:i/>
                <w:iCs/>
              </w:rPr>
              <w:t xml:space="preserve">CL </w:t>
            </w:r>
            <w:r w:rsidRPr="00734121">
              <w:t>= 1.209 L/h/kg</w:t>
            </w:r>
          </w:p>
        </w:tc>
        <w:tc>
          <w:tcPr>
            <w:tcW w:w="2410" w:type="dxa"/>
          </w:tcPr>
          <w:p w14:paraId="7234F79B" w14:textId="6F14709E" w:rsidR="00C22EBD" w:rsidRPr="00734121" w:rsidRDefault="005E106A" w:rsidP="001E2DA7">
            <w:pPr>
              <w:spacing w:line="276" w:lineRule="auto"/>
            </w:pPr>
            <w:r w:rsidRPr="00734121">
              <w:t>4.8</w:t>
            </w:r>
          </w:p>
        </w:tc>
      </w:tr>
      <w:tr w:rsidR="00C22EBD" w:rsidRPr="00734121" w14:paraId="44E98B48" w14:textId="750BDCDB" w:rsidTr="001E2DA7">
        <w:tc>
          <w:tcPr>
            <w:tcW w:w="3397" w:type="dxa"/>
          </w:tcPr>
          <w:p w14:paraId="133BD722" w14:textId="77777777" w:rsidR="00C22EBD" w:rsidRPr="00734121" w:rsidRDefault="00C22EBD" w:rsidP="001E2DA7">
            <w:pPr>
              <w:spacing w:line="276" w:lineRule="auto"/>
            </w:pPr>
            <w:r w:rsidRPr="00734121">
              <w:t xml:space="preserve">Central volume of distribution </w:t>
            </w:r>
          </w:p>
        </w:tc>
        <w:tc>
          <w:tcPr>
            <w:tcW w:w="2410" w:type="dxa"/>
          </w:tcPr>
          <w:p w14:paraId="79B8E301" w14:textId="2D73CB1A" w:rsidR="00C22EBD" w:rsidRPr="00734121" w:rsidRDefault="00C22EBD" w:rsidP="001E2DA7">
            <w:pPr>
              <w:spacing w:line="276" w:lineRule="auto"/>
            </w:pPr>
            <w:proofErr w:type="spellStart"/>
            <w:r w:rsidRPr="00734121">
              <w:rPr>
                <w:i/>
                <w:iCs/>
              </w:rPr>
              <w:t>V</w:t>
            </w:r>
            <w:r w:rsidRPr="00734121">
              <w:rPr>
                <w:i/>
                <w:iCs/>
                <w:vertAlign w:val="subscript"/>
              </w:rPr>
              <w:t>c</w:t>
            </w:r>
            <w:proofErr w:type="spellEnd"/>
            <w:r w:rsidRPr="00734121">
              <w:t xml:space="preserve"> = 1.541 L/kg</w:t>
            </w:r>
          </w:p>
        </w:tc>
        <w:tc>
          <w:tcPr>
            <w:tcW w:w="2410" w:type="dxa"/>
          </w:tcPr>
          <w:p w14:paraId="6324BEF5" w14:textId="7F26977C" w:rsidR="00C22EBD" w:rsidRPr="00734121" w:rsidRDefault="005E106A" w:rsidP="001E2DA7">
            <w:pPr>
              <w:spacing w:line="276" w:lineRule="auto"/>
            </w:pPr>
            <w:r w:rsidRPr="00734121">
              <w:t>22.8</w:t>
            </w:r>
          </w:p>
        </w:tc>
      </w:tr>
      <w:tr w:rsidR="00C22EBD" w:rsidRPr="00734121" w14:paraId="25E38FDA" w14:textId="13BEB185" w:rsidTr="001E2DA7">
        <w:tc>
          <w:tcPr>
            <w:tcW w:w="3397" w:type="dxa"/>
          </w:tcPr>
          <w:p w14:paraId="4E9134FA" w14:textId="70A824E1" w:rsidR="00C22EBD" w:rsidRPr="00734121" w:rsidRDefault="00C22EBD" w:rsidP="001E2DA7">
            <w:pPr>
              <w:spacing w:line="276" w:lineRule="auto"/>
            </w:pPr>
            <w:r w:rsidRPr="00734121">
              <w:t>Intercompartmental clearance</w:t>
            </w:r>
          </w:p>
        </w:tc>
        <w:tc>
          <w:tcPr>
            <w:tcW w:w="2410" w:type="dxa"/>
          </w:tcPr>
          <w:p w14:paraId="33AA4345" w14:textId="42072B7A" w:rsidR="00C22EBD" w:rsidRPr="00734121" w:rsidRDefault="00C22EBD" w:rsidP="001E2DA7">
            <w:pPr>
              <w:spacing w:line="276" w:lineRule="auto"/>
            </w:pPr>
            <w:r w:rsidRPr="00734121">
              <w:rPr>
                <w:i/>
                <w:iCs/>
              </w:rPr>
              <w:t>Q</w:t>
            </w:r>
            <w:r w:rsidRPr="00734121">
              <w:t xml:space="preserve"> = 0.82 L/h/kg</w:t>
            </w:r>
          </w:p>
        </w:tc>
        <w:tc>
          <w:tcPr>
            <w:tcW w:w="2410" w:type="dxa"/>
          </w:tcPr>
          <w:p w14:paraId="15AD001A" w14:textId="7790A2E7" w:rsidR="00C22EBD" w:rsidRPr="00734121" w:rsidRDefault="005E106A" w:rsidP="001E2DA7">
            <w:pPr>
              <w:spacing w:line="276" w:lineRule="auto"/>
            </w:pPr>
            <w:r w:rsidRPr="00734121">
              <w:t>12.5</w:t>
            </w:r>
          </w:p>
        </w:tc>
      </w:tr>
      <w:tr w:rsidR="00C22EBD" w:rsidRPr="00734121" w14:paraId="179D58A1" w14:textId="28E9B58C" w:rsidTr="001E2DA7">
        <w:tc>
          <w:tcPr>
            <w:tcW w:w="3397" w:type="dxa"/>
          </w:tcPr>
          <w:p w14:paraId="2612533F" w14:textId="77777777" w:rsidR="00C22EBD" w:rsidRPr="00734121" w:rsidRDefault="00C22EBD" w:rsidP="001E2DA7">
            <w:pPr>
              <w:spacing w:line="276" w:lineRule="auto"/>
            </w:pPr>
            <w:r w:rsidRPr="00734121">
              <w:t>Peripheral volume of distribution</w:t>
            </w:r>
          </w:p>
        </w:tc>
        <w:tc>
          <w:tcPr>
            <w:tcW w:w="2410" w:type="dxa"/>
          </w:tcPr>
          <w:p w14:paraId="28106271" w14:textId="77777777" w:rsidR="00C22EBD" w:rsidRPr="00734121" w:rsidRDefault="00C22EBD" w:rsidP="001E2DA7">
            <w:pPr>
              <w:spacing w:line="276" w:lineRule="auto"/>
            </w:pPr>
            <w:proofErr w:type="spellStart"/>
            <w:r w:rsidRPr="00734121">
              <w:rPr>
                <w:i/>
                <w:iCs/>
              </w:rPr>
              <w:t>V</w:t>
            </w:r>
            <w:r w:rsidRPr="00734121">
              <w:rPr>
                <w:i/>
                <w:iCs/>
                <w:vertAlign w:val="subscript"/>
              </w:rPr>
              <w:t>p</w:t>
            </w:r>
            <w:proofErr w:type="spellEnd"/>
            <w:r w:rsidRPr="00734121">
              <w:t xml:space="preserve"> = 8.935 L/kg</w:t>
            </w:r>
          </w:p>
        </w:tc>
        <w:tc>
          <w:tcPr>
            <w:tcW w:w="2410" w:type="dxa"/>
          </w:tcPr>
          <w:p w14:paraId="28E67601" w14:textId="3C973B4B" w:rsidR="00C22EBD" w:rsidRPr="00734121" w:rsidRDefault="005E106A" w:rsidP="001E2DA7">
            <w:pPr>
              <w:spacing w:line="276" w:lineRule="auto"/>
            </w:pPr>
            <w:r w:rsidRPr="00734121">
              <w:t>29.2</w:t>
            </w:r>
          </w:p>
        </w:tc>
      </w:tr>
      <w:tr w:rsidR="00C22EBD" w:rsidRPr="00734121" w14:paraId="2F975E47" w14:textId="2C49DC68" w:rsidTr="001E2DA7">
        <w:tc>
          <w:tcPr>
            <w:tcW w:w="3397" w:type="dxa"/>
          </w:tcPr>
          <w:p w14:paraId="0A5DC839" w14:textId="77777777" w:rsidR="00C22EBD" w:rsidRPr="00734121" w:rsidRDefault="00C22EBD" w:rsidP="001E2DA7">
            <w:pPr>
              <w:spacing w:line="276" w:lineRule="auto"/>
            </w:pPr>
            <w:r w:rsidRPr="00734121">
              <w:t>Bioavailability</w:t>
            </w:r>
          </w:p>
        </w:tc>
        <w:tc>
          <w:tcPr>
            <w:tcW w:w="2410" w:type="dxa"/>
          </w:tcPr>
          <w:p w14:paraId="4AD6DADE" w14:textId="177638D3" w:rsidR="00C22EBD" w:rsidRPr="00734121" w:rsidRDefault="00C22EBD" w:rsidP="001E2DA7">
            <w:pPr>
              <w:spacing w:line="276" w:lineRule="auto"/>
            </w:pPr>
            <w:r w:rsidRPr="00734121">
              <w:rPr>
                <w:i/>
                <w:iCs/>
              </w:rPr>
              <w:t>F</w:t>
            </w:r>
            <w:r w:rsidRPr="00734121">
              <w:rPr>
                <w:i/>
                <w:iCs/>
                <w:vertAlign w:val="subscript"/>
              </w:rPr>
              <w:t>1</w:t>
            </w:r>
            <w:r w:rsidRPr="00734121">
              <w:t xml:space="preserve"> = 38%</w:t>
            </w:r>
          </w:p>
        </w:tc>
        <w:tc>
          <w:tcPr>
            <w:tcW w:w="2410" w:type="dxa"/>
          </w:tcPr>
          <w:p w14:paraId="289945AB" w14:textId="54A28868" w:rsidR="00C22EBD" w:rsidRPr="00734121" w:rsidRDefault="005E106A" w:rsidP="001E2DA7">
            <w:pPr>
              <w:spacing w:line="276" w:lineRule="auto"/>
            </w:pPr>
            <w:r w:rsidRPr="00734121">
              <w:t>12.5</w:t>
            </w:r>
          </w:p>
        </w:tc>
      </w:tr>
    </w:tbl>
    <w:p w14:paraId="5D088549" w14:textId="77777777" w:rsidR="002E0DC7" w:rsidRPr="00734121" w:rsidRDefault="002E0DC7" w:rsidP="002E0DC7">
      <w:pPr>
        <w:spacing w:line="276" w:lineRule="auto"/>
      </w:pPr>
    </w:p>
    <w:p w14:paraId="214E4E99" w14:textId="7228EFEB" w:rsidR="00B561B2" w:rsidRDefault="00B25387" w:rsidP="00B561B2">
      <w:pPr>
        <w:pStyle w:val="Heading2"/>
        <w:rPr>
          <w:b/>
          <w:bCs/>
          <w:color w:val="auto"/>
        </w:rPr>
      </w:pPr>
      <w:r w:rsidRPr="00B561B2">
        <w:rPr>
          <w:b/>
          <w:bCs/>
          <w:color w:val="auto"/>
        </w:rPr>
        <w:t>Table S2</w:t>
      </w:r>
      <w:r w:rsidR="00D561D0" w:rsidRPr="00B561B2">
        <w:rPr>
          <w:b/>
          <w:bCs/>
          <w:color w:val="auto"/>
        </w:rPr>
        <w:t>. PK model parameters for</w:t>
      </w:r>
      <w:r w:rsidRPr="00B561B2">
        <w:rPr>
          <w:b/>
          <w:bCs/>
          <w:color w:val="auto"/>
        </w:rPr>
        <w:t xml:space="preserve"> rucaparib </w:t>
      </w:r>
      <w:r w:rsidR="000468CA" w:rsidRPr="00B561B2">
        <w:rPr>
          <w:b/>
          <w:bCs/>
          <w:color w:val="auto"/>
        </w:rPr>
        <w:t>camsylate</w:t>
      </w:r>
      <w:r w:rsidRPr="00B561B2">
        <w:rPr>
          <w:b/>
          <w:bCs/>
          <w:color w:val="auto"/>
        </w:rPr>
        <w:t xml:space="preserve"> </w:t>
      </w:r>
    </w:p>
    <w:p w14:paraId="3E24B4BA" w14:textId="5721FCAA" w:rsidR="00B25387" w:rsidRPr="00734121" w:rsidRDefault="00B561B2" w:rsidP="00B561B2">
      <w:pPr>
        <w:contextualSpacing/>
      </w:pPr>
      <w:r>
        <w:t xml:space="preserve">Model: </w:t>
      </w:r>
      <w:r w:rsidR="00D561D0" w:rsidRPr="00B561B2">
        <w:t>o</w:t>
      </w:r>
      <w:r w:rsidR="000468CA" w:rsidRPr="00B561B2">
        <w:t>ne-compartment model with two transit compartments</w:t>
      </w:r>
      <w:r>
        <w:t xml:space="preserve">. </w:t>
      </w:r>
      <w:r w:rsidR="005E106A" w:rsidRPr="00734121">
        <w:t>Constraints: ka=</w:t>
      </w:r>
      <w:proofErr w:type="spellStart"/>
      <w:r w:rsidR="005E106A" w:rsidRPr="00734121">
        <w:t>ktr</w:t>
      </w:r>
      <w:proofErr w:type="spellEnd"/>
      <w:r w:rsidR="00650C5F" w:rsidRPr="00734121">
        <w:t xml:space="preserve">; </w:t>
      </w:r>
      <w:proofErr w:type="spellStart"/>
      <w:r w:rsidR="00650C5F" w:rsidRPr="00734121">
        <w:t>Vc</w:t>
      </w:r>
      <w:proofErr w:type="spellEnd"/>
      <w:r w:rsidR="00650C5F" w:rsidRPr="00734121">
        <w:t>/F=1</w:t>
      </w:r>
      <w:r w:rsidR="005E106A" w:rsidRPr="00734121">
        <w:t>. Apparent PK parameters (</w:t>
      </w:r>
      <w:r w:rsidR="00A63478" w:rsidRPr="00734121">
        <w:t xml:space="preserve">bioavailability </w:t>
      </w:r>
      <w:r w:rsidR="005E106A" w:rsidRPr="00734121">
        <w:t>F not fitted).</w:t>
      </w:r>
    </w:p>
    <w:tbl>
      <w:tblPr>
        <w:tblStyle w:val="TableGrid"/>
        <w:tblW w:w="0" w:type="auto"/>
        <w:tblLook w:val="04A0" w:firstRow="1" w:lastRow="0" w:firstColumn="1" w:lastColumn="0" w:noHBand="0" w:noVBand="1"/>
      </w:tblPr>
      <w:tblGrid>
        <w:gridCol w:w="3397"/>
        <w:gridCol w:w="2410"/>
        <w:gridCol w:w="2410"/>
      </w:tblGrid>
      <w:tr w:rsidR="005E106A" w:rsidRPr="00734121" w14:paraId="02F4FB62" w14:textId="3FD74DA9" w:rsidTr="001E2DA7">
        <w:tc>
          <w:tcPr>
            <w:tcW w:w="3397" w:type="dxa"/>
          </w:tcPr>
          <w:p w14:paraId="60F708E7" w14:textId="77777777" w:rsidR="005E106A" w:rsidRPr="00734121" w:rsidRDefault="005E106A" w:rsidP="001E2DA7">
            <w:pPr>
              <w:spacing w:line="276" w:lineRule="auto"/>
              <w:rPr>
                <w:b/>
                <w:bCs/>
              </w:rPr>
            </w:pPr>
            <w:r w:rsidRPr="00734121">
              <w:rPr>
                <w:b/>
                <w:bCs/>
              </w:rPr>
              <w:t>Parameter</w:t>
            </w:r>
          </w:p>
        </w:tc>
        <w:tc>
          <w:tcPr>
            <w:tcW w:w="2410" w:type="dxa"/>
          </w:tcPr>
          <w:p w14:paraId="001D6694" w14:textId="77777777" w:rsidR="005E106A" w:rsidRPr="00734121" w:rsidRDefault="005E106A" w:rsidP="001E2DA7">
            <w:pPr>
              <w:spacing w:line="276" w:lineRule="auto"/>
              <w:rPr>
                <w:b/>
                <w:bCs/>
              </w:rPr>
            </w:pPr>
            <w:r w:rsidRPr="00734121">
              <w:rPr>
                <w:b/>
                <w:bCs/>
              </w:rPr>
              <w:t>Value</w:t>
            </w:r>
          </w:p>
        </w:tc>
        <w:tc>
          <w:tcPr>
            <w:tcW w:w="2410" w:type="dxa"/>
          </w:tcPr>
          <w:p w14:paraId="41CB1A18" w14:textId="6A1B3B73" w:rsidR="005E106A" w:rsidRPr="00734121" w:rsidRDefault="005E106A" w:rsidP="001E2DA7">
            <w:pPr>
              <w:spacing w:line="276" w:lineRule="auto"/>
              <w:rPr>
                <w:b/>
                <w:bCs/>
              </w:rPr>
            </w:pPr>
            <w:r w:rsidRPr="00734121">
              <w:rPr>
                <w:b/>
                <w:bCs/>
              </w:rPr>
              <w:t>CV%</w:t>
            </w:r>
          </w:p>
        </w:tc>
      </w:tr>
      <w:tr w:rsidR="005E106A" w:rsidRPr="00734121" w14:paraId="706A8CD9" w14:textId="27B4F26C" w:rsidTr="001E2DA7">
        <w:tc>
          <w:tcPr>
            <w:tcW w:w="3397" w:type="dxa"/>
          </w:tcPr>
          <w:p w14:paraId="0B5C9A40" w14:textId="4C8D421A" w:rsidR="005E106A" w:rsidRPr="00734121" w:rsidRDefault="005E106A" w:rsidP="001E2DA7">
            <w:pPr>
              <w:spacing w:line="276" w:lineRule="auto"/>
            </w:pPr>
            <w:r w:rsidRPr="00734121">
              <w:t>Rate of absorption</w:t>
            </w:r>
          </w:p>
        </w:tc>
        <w:tc>
          <w:tcPr>
            <w:tcW w:w="2410" w:type="dxa"/>
          </w:tcPr>
          <w:p w14:paraId="7A963B36" w14:textId="1E8E3266" w:rsidR="005E106A" w:rsidRPr="00734121" w:rsidRDefault="005E106A" w:rsidP="001E2DA7">
            <w:pPr>
              <w:spacing w:line="276" w:lineRule="auto"/>
            </w:pPr>
            <w:r w:rsidRPr="00734121">
              <w:rPr>
                <w:i/>
                <w:iCs/>
              </w:rPr>
              <w:t>k</w:t>
            </w:r>
            <w:r w:rsidRPr="00734121">
              <w:rPr>
                <w:i/>
                <w:iCs/>
                <w:vertAlign w:val="subscript"/>
              </w:rPr>
              <w:t>a</w:t>
            </w:r>
            <w:r w:rsidRPr="00734121">
              <w:t xml:space="preserve"> = 0.54 /h</w:t>
            </w:r>
          </w:p>
        </w:tc>
        <w:tc>
          <w:tcPr>
            <w:tcW w:w="2410" w:type="dxa"/>
          </w:tcPr>
          <w:p w14:paraId="63C4DBB2" w14:textId="6E01D53F" w:rsidR="005E106A" w:rsidRPr="00734121" w:rsidRDefault="00650C5F" w:rsidP="001E2DA7">
            <w:pPr>
              <w:spacing w:line="276" w:lineRule="auto"/>
            </w:pPr>
            <w:r w:rsidRPr="00734121">
              <w:t>12</w:t>
            </w:r>
          </w:p>
        </w:tc>
      </w:tr>
      <w:tr w:rsidR="005E106A" w:rsidRPr="00734121" w14:paraId="39513AD7" w14:textId="122D19ED" w:rsidTr="001E2DA7">
        <w:tc>
          <w:tcPr>
            <w:tcW w:w="3397" w:type="dxa"/>
          </w:tcPr>
          <w:p w14:paraId="42AA5D96" w14:textId="16E34151" w:rsidR="005E106A" w:rsidRPr="00734121" w:rsidRDefault="005E106A" w:rsidP="001E2DA7">
            <w:pPr>
              <w:spacing w:line="276" w:lineRule="auto"/>
            </w:pPr>
            <w:r w:rsidRPr="00734121">
              <w:t>Transfer rate from 2</w:t>
            </w:r>
            <w:r w:rsidRPr="00734121">
              <w:rPr>
                <w:vertAlign w:val="superscript"/>
              </w:rPr>
              <w:t>nd</w:t>
            </w:r>
            <w:r w:rsidRPr="00734121">
              <w:t xml:space="preserve"> transit </w:t>
            </w:r>
            <w:proofErr w:type="spellStart"/>
            <w:r w:rsidRPr="00734121">
              <w:t>cmpt</w:t>
            </w:r>
            <w:proofErr w:type="spellEnd"/>
            <w:r w:rsidRPr="00734121">
              <w:t xml:space="preserve"> to central </w:t>
            </w:r>
            <w:proofErr w:type="spellStart"/>
            <w:r w:rsidRPr="00734121">
              <w:t>cmpt</w:t>
            </w:r>
            <w:proofErr w:type="spellEnd"/>
          </w:p>
        </w:tc>
        <w:tc>
          <w:tcPr>
            <w:tcW w:w="2410" w:type="dxa"/>
          </w:tcPr>
          <w:p w14:paraId="1CD52DF8" w14:textId="3DD51806" w:rsidR="005E106A" w:rsidRPr="00734121" w:rsidRDefault="005E106A" w:rsidP="001E2DA7">
            <w:pPr>
              <w:spacing w:line="276" w:lineRule="auto"/>
              <w:rPr>
                <w:i/>
                <w:iCs/>
              </w:rPr>
            </w:pPr>
            <w:proofErr w:type="spellStart"/>
            <w:r w:rsidRPr="00734121">
              <w:rPr>
                <w:i/>
                <w:iCs/>
              </w:rPr>
              <w:t>k</w:t>
            </w:r>
            <w:r w:rsidRPr="00734121">
              <w:rPr>
                <w:i/>
                <w:iCs/>
                <w:vertAlign w:val="subscript"/>
              </w:rPr>
              <w:t>t</w:t>
            </w:r>
            <w:r w:rsidR="00650C5F" w:rsidRPr="00734121">
              <w:rPr>
                <w:i/>
                <w:iCs/>
                <w:vertAlign w:val="subscript"/>
              </w:rPr>
              <w:t>r</w:t>
            </w:r>
            <w:proofErr w:type="spellEnd"/>
            <w:r w:rsidRPr="00734121">
              <w:t xml:space="preserve"> = </w:t>
            </w:r>
            <w:r w:rsidR="00650C5F" w:rsidRPr="00734121">
              <w:t>0.54 /h</w:t>
            </w:r>
          </w:p>
        </w:tc>
        <w:tc>
          <w:tcPr>
            <w:tcW w:w="2410" w:type="dxa"/>
          </w:tcPr>
          <w:p w14:paraId="67485FE7" w14:textId="26242364" w:rsidR="005E106A" w:rsidRPr="00734121" w:rsidRDefault="00650C5F" w:rsidP="001E2DA7">
            <w:pPr>
              <w:spacing w:line="276" w:lineRule="auto"/>
            </w:pPr>
            <w:r w:rsidRPr="00734121">
              <w:t>-</w:t>
            </w:r>
          </w:p>
        </w:tc>
      </w:tr>
      <w:tr w:rsidR="00650C5F" w:rsidRPr="00734121" w14:paraId="64AFD7C5" w14:textId="77777777" w:rsidTr="001E2DA7">
        <w:tc>
          <w:tcPr>
            <w:tcW w:w="3397" w:type="dxa"/>
          </w:tcPr>
          <w:p w14:paraId="4E3362DC" w14:textId="48F582B9" w:rsidR="00650C5F" w:rsidRPr="00734121" w:rsidRDefault="00650C5F" w:rsidP="001E2DA7">
            <w:pPr>
              <w:spacing w:line="276" w:lineRule="auto"/>
            </w:pPr>
            <w:r w:rsidRPr="00734121">
              <w:t>Central clearance</w:t>
            </w:r>
          </w:p>
        </w:tc>
        <w:tc>
          <w:tcPr>
            <w:tcW w:w="2410" w:type="dxa"/>
          </w:tcPr>
          <w:p w14:paraId="24647F18" w14:textId="7EA54A66" w:rsidR="00650C5F" w:rsidRPr="00734121" w:rsidRDefault="00650C5F" w:rsidP="001E2DA7">
            <w:pPr>
              <w:spacing w:line="276" w:lineRule="auto"/>
              <w:rPr>
                <w:i/>
                <w:iCs/>
              </w:rPr>
            </w:pPr>
            <w:r w:rsidRPr="00734121">
              <w:rPr>
                <w:i/>
                <w:iCs/>
              </w:rPr>
              <w:t xml:space="preserve">CL/F </w:t>
            </w:r>
            <w:r w:rsidRPr="00734121">
              <w:t>= 6.6 L/h/kg</w:t>
            </w:r>
          </w:p>
        </w:tc>
        <w:tc>
          <w:tcPr>
            <w:tcW w:w="2410" w:type="dxa"/>
          </w:tcPr>
          <w:p w14:paraId="3E6C8825" w14:textId="43F2E57A" w:rsidR="00650C5F" w:rsidRPr="00734121" w:rsidRDefault="00650C5F" w:rsidP="001E2DA7">
            <w:pPr>
              <w:spacing w:line="276" w:lineRule="auto"/>
            </w:pPr>
            <w:r w:rsidRPr="00734121">
              <w:t>14.5</w:t>
            </w:r>
          </w:p>
        </w:tc>
      </w:tr>
      <w:tr w:rsidR="005E106A" w:rsidRPr="00734121" w14:paraId="44EF2E07" w14:textId="5E9413B5" w:rsidTr="001E2DA7">
        <w:tc>
          <w:tcPr>
            <w:tcW w:w="3397" w:type="dxa"/>
          </w:tcPr>
          <w:p w14:paraId="14634134" w14:textId="26C5903F" w:rsidR="005E106A" w:rsidRPr="00734121" w:rsidRDefault="005E106A" w:rsidP="001E2DA7">
            <w:pPr>
              <w:spacing w:line="276" w:lineRule="auto"/>
            </w:pPr>
            <w:r w:rsidRPr="00734121">
              <w:t>Central volume of distribution</w:t>
            </w:r>
          </w:p>
        </w:tc>
        <w:tc>
          <w:tcPr>
            <w:tcW w:w="2410" w:type="dxa"/>
          </w:tcPr>
          <w:p w14:paraId="3EC92076" w14:textId="2A879707" w:rsidR="005E106A" w:rsidRPr="00734121" w:rsidRDefault="005E106A" w:rsidP="001E2DA7">
            <w:pPr>
              <w:spacing w:line="276" w:lineRule="auto"/>
            </w:pPr>
            <w:proofErr w:type="spellStart"/>
            <w:r w:rsidRPr="00734121">
              <w:rPr>
                <w:i/>
                <w:iCs/>
              </w:rPr>
              <w:t>V</w:t>
            </w:r>
            <w:r w:rsidRPr="00734121">
              <w:rPr>
                <w:i/>
                <w:iCs/>
                <w:vertAlign w:val="subscript"/>
              </w:rPr>
              <w:t>c</w:t>
            </w:r>
            <w:proofErr w:type="spellEnd"/>
            <w:r w:rsidR="00650C5F" w:rsidRPr="00734121">
              <w:rPr>
                <w:i/>
                <w:iCs/>
              </w:rPr>
              <w:t>/F</w:t>
            </w:r>
            <w:r w:rsidR="00650C5F" w:rsidRPr="00734121">
              <w:t xml:space="preserve"> </w:t>
            </w:r>
            <w:r w:rsidRPr="00734121">
              <w:t>= 1 L/kg</w:t>
            </w:r>
          </w:p>
        </w:tc>
        <w:tc>
          <w:tcPr>
            <w:tcW w:w="2410" w:type="dxa"/>
          </w:tcPr>
          <w:p w14:paraId="71C4EB15" w14:textId="585A5C99" w:rsidR="005E106A" w:rsidRPr="00734121" w:rsidRDefault="00650C5F" w:rsidP="001E2DA7">
            <w:pPr>
              <w:spacing w:line="276" w:lineRule="auto"/>
            </w:pPr>
            <w:r w:rsidRPr="00734121">
              <w:t>-</w:t>
            </w:r>
          </w:p>
        </w:tc>
      </w:tr>
    </w:tbl>
    <w:p w14:paraId="19941504" w14:textId="77777777" w:rsidR="000468CA" w:rsidRPr="00734121" w:rsidRDefault="000468CA" w:rsidP="00B25387">
      <w:pPr>
        <w:spacing w:line="276" w:lineRule="auto"/>
        <w:rPr>
          <w:b/>
          <w:bCs/>
        </w:rPr>
      </w:pPr>
    </w:p>
    <w:p w14:paraId="32019188" w14:textId="0138E3FB" w:rsidR="000E651B" w:rsidRPr="00734121" w:rsidRDefault="000E651B" w:rsidP="00B25387">
      <w:pPr>
        <w:spacing w:line="276" w:lineRule="auto"/>
        <w:rPr>
          <w:b/>
          <w:bCs/>
        </w:rPr>
      </w:pPr>
    </w:p>
    <w:p w14:paraId="091AEE96" w14:textId="77777777" w:rsidR="00B561B2" w:rsidRPr="00B561B2" w:rsidRDefault="000E651B" w:rsidP="00B561B2">
      <w:pPr>
        <w:pStyle w:val="Heading2"/>
        <w:rPr>
          <w:b/>
          <w:bCs/>
          <w:color w:val="auto"/>
        </w:rPr>
      </w:pPr>
      <w:r w:rsidRPr="00B561B2">
        <w:rPr>
          <w:b/>
          <w:bCs/>
          <w:color w:val="auto"/>
        </w:rPr>
        <w:t>Table S3</w:t>
      </w:r>
      <w:r w:rsidR="00D561D0" w:rsidRPr="00B561B2">
        <w:rPr>
          <w:b/>
          <w:bCs/>
          <w:color w:val="auto"/>
        </w:rPr>
        <w:t xml:space="preserve">. PK model parameters for </w:t>
      </w:r>
      <w:proofErr w:type="spellStart"/>
      <w:r w:rsidRPr="00B561B2">
        <w:rPr>
          <w:b/>
          <w:bCs/>
          <w:color w:val="auto"/>
        </w:rPr>
        <w:t>talazoparib</w:t>
      </w:r>
      <w:proofErr w:type="spellEnd"/>
    </w:p>
    <w:p w14:paraId="1C85FB2F" w14:textId="18E59F8F" w:rsidR="000E651B" w:rsidRPr="00B561B2" w:rsidRDefault="00B561B2" w:rsidP="000E651B">
      <w:pPr>
        <w:spacing w:line="276" w:lineRule="auto"/>
      </w:pPr>
      <w:r w:rsidRPr="00B561B2">
        <w:t xml:space="preserve">Model: </w:t>
      </w:r>
      <w:r w:rsidR="000E651B" w:rsidRPr="00B561B2">
        <w:t>one-compartment model with absorption</w:t>
      </w:r>
      <w:r w:rsidR="00D561D0" w:rsidRPr="00B561B2">
        <w:t>, from</w:t>
      </w:r>
      <w:r w:rsidR="000E651B" w:rsidRPr="00B561B2">
        <w:t xml:space="preserve"> Stewart et al 2014</w:t>
      </w:r>
      <w:r w:rsidR="006157B7" w:rsidRPr="00B561B2">
        <w:t xml:space="preserve"> </w:t>
      </w:r>
      <w:r w:rsidR="006157B7" w:rsidRPr="00B561B2">
        <w:fldChar w:fldCharType="begin"/>
      </w:r>
      <w:r w:rsidR="00782AFE">
        <w:instrText xml:space="preserve"> ADDIN ZOTERO_ITEM CSL_CITATION {"citationID":"gUJllpML","properties":{"formattedCitation":"(15)","plainCitation":"(15)","noteIndex":0},"citationItems":[{"id":5624,"uris":["http://zotero.org/users/4189777/items/7I6MLAI3"],"itemData":{"id":5624,"type":"article-journal","container-title":"Cell Reports","DOI":"10.1016/j.celrep.2014.09.028","ISSN":"22111247","issue":"3","language":"en","page":"829-840","source":"CrossRef","title":"Targeting the DNA Repair Pathway in Ewing Sarcoma","volume":"9","author":[{"family":"Stewart","given":"Elizabeth"},{"family":"Goshorn","given":"Ross"},{"family":"Bradley","given":"Cori"},{"family":"Griffiths","given":"Lyra M."},{"family":"Benavente","given":"Claudia"},{"family":"Twarog","given":"Nathaniel R."},{"family":"Miller","given":"Gregory M."},{"family":"Caufield","given":"William"},{"family":"Freeman","given":"Burgess B."},{"family":"Bahrami","given":"Armita"},{"family":"Pappo","given":"Alberto"},{"family":"Wu","given":"Jianrong"},{"family":"Loh","given":"Amos"},{"family":"Karlström","given":"Åsa"},{"family":"Calabrese","given":"Chris"},{"family":"Gordon","given":"Brittney"},{"family":"Tsurkan","given":"Lyudmila"},{"family":"Hatfield","given":"M. Jason"},{"family":"Potter","given":"Philip M."},{"family":"Snyder","given":"Scott E."},{"family":"Thiagarajan","given":"Suresh"},{"family":"Shirinifard","given":"Abbas"},{"family":"Sablauer","given":"Andras"},{"family":"Shelat","given":"Anang A."},{"family":"Dyer","given":"Michael A."}],"issued":{"date-parts":[["2014",11]]}}}],"schema":"https://github.com/citation-style-language/schema/raw/master/csl-citation.json"} </w:instrText>
      </w:r>
      <w:r w:rsidR="006157B7" w:rsidRPr="00B561B2">
        <w:fldChar w:fldCharType="separate"/>
      </w:r>
      <w:r w:rsidR="00782AFE" w:rsidRPr="00782AFE">
        <w:rPr>
          <w:rFonts w:ascii="Calibri" w:hAnsi="Calibri" w:cs="Calibri"/>
        </w:rPr>
        <w:t>(15)</w:t>
      </w:r>
      <w:r w:rsidR="006157B7" w:rsidRPr="00B561B2">
        <w:fldChar w:fldCharType="end"/>
      </w:r>
      <w:r w:rsidR="00D561D0" w:rsidRPr="00B561B2">
        <w:t>.</w:t>
      </w:r>
      <w:r w:rsidR="00E136A8" w:rsidRPr="00B561B2">
        <w:t xml:space="preserve"> </w:t>
      </w:r>
      <w:r w:rsidR="00E136A8" w:rsidRPr="00734121">
        <w:t>Apparent PK parameters (</w:t>
      </w:r>
      <w:r w:rsidR="001C33B9" w:rsidRPr="00734121">
        <w:t xml:space="preserve">bioavailability </w:t>
      </w:r>
      <w:r w:rsidR="00E136A8" w:rsidRPr="00734121">
        <w:t>F not fitted).</w:t>
      </w:r>
    </w:p>
    <w:tbl>
      <w:tblPr>
        <w:tblStyle w:val="TableGrid"/>
        <w:tblW w:w="0" w:type="auto"/>
        <w:tblLook w:val="04A0" w:firstRow="1" w:lastRow="0" w:firstColumn="1" w:lastColumn="0" w:noHBand="0" w:noVBand="1"/>
      </w:tblPr>
      <w:tblGrid>
        <w:gridCol w:w="3397"/>
        <w:gridCol w:w="2410"/>
      </w:tblGrid>
      <w:tr w:rsidR="000E651B" w:rsidRPr="00734121" w14:paraId="53CC908B" w14:textId="77777777" w:rsidTr="001E2DA7">
        <w:tc>
          <w:tcPr>
            <w:tcW w:w="3397" w:type="dxa"/>
          </w:tcPr>
          <w:p w14:paraId="5BB2305E" w14:textId="77777777" w:rsidR="000E651B" w:rsidRPr="00734121" w:rsidRDefault="000E651B" w:rsidP="001E2DA7">
            <w:pPr>
              <w:spacing w:line="276" w:lineRule="auto"/>
              <w:rPr>
                <w:b/>
                <w:bCs/>
              </w:rPr>
            </w:pPr>
            <w:r w:rsidRPr="00734121">
              <w:rPr>
                <w:b/>
                <w:bCs/>
              </w:rPr>
              <w:t>Parameter</w:t>
            </w:r>
          </w:p>
        </w:tc>
        <w:tc>
          <w:tcPr>
            <w:tcW w:w="2410" w:type="dxa"/>
          </w:tcPr>
          <w:p w14:paraId="5DF67AA9" w14:textId="77777777" w:rsidR="000E651B" w:rsidRPr="00734121" w:rsidRDefault="000E651B" w:rsidP="001E2DA7">
            <w:pPr>
              <w:spacing w:line="276" w:lineRule="auto"/>
              <w:rPr>
                <w:b/>
                <w:bCs/>
              </w:rPr>
            </w:pPr>
            <w:r w:rsidRPr="00734121">
              <w:rPr>
                <w:b/>
                <w:bCs/>
              </w:rPr>
              <w:t>Value</w:t>
            </w:r>
          </w:p>
        </w:tc>
      </w:tr>
      <w:tr w:rsidR="000E651B" w:rsidRPr="00734121" w14:paraId="64E2F69C" w14:textId="77777777" w:rsidTr="001E2DA7">
        <w:tc>
          <w:tcPr>
            <w:tcW w:w="3397" w:type="dxa"/>
          </w:tcPr>
          <w:p w14:paraId="69D1F498" w14:textId="77777777" w:rsidR="000E651B" w:rsidRPr="00734121" w:rsidRDefault="000E651B" w:rsidP="001E2DA7">
            <w:pPr>
              <w:spacing w:line="276" w:lineRule="auto"/>
            </w:pPr>
            <w:r w:rsidRPr="00734121">
              <w:t>Rate of absorption</w:t>
            </w:r>
          </w:p>
        </w:tc>
        <w:tc>
          <w:tcPr>
            <w:tcW w:w="2410" w:type="dxa"/>
          </w:tcPr>
          <w:p w14:paraId="36A14BBA" w14:textId="6243AF10" w:rsidR="000E651B" w:rsidRPr="00734121" w:rsidRDefault="00F778DA" w:rsidP="001E2DA7">
            <w:pPr>
              <w:spacing w:line="276" w:lineRule="auto"/>
            </w:pPr>
            <w:r w:rsidRPr="00734121">
              <w:rPr>
                <w:i/>
                <w:iCs/>
              </w:rPr>
              <w:t>k</w:t>
            </w:r>
            <w:r w:rsidR="000E651B" w:rsidRPr="00734121">
              <w:rPr>
                <w:i/>
                <w:iCs/>
                <w:vertAlign w:val="subscript"/>
              </w:rPr>
              <w:t>a</w:t>
            </w:r>
            <w:r w:rsidR="000E651B" w:rsidRPr="00734121">
              <w:t xml:space="preserve"> = 5 /h</w:t>
            </w:r>
          </w:p>
        </w:tc>
      </w:tr>
      <w:tr w:rsidR="000E651B" w:rsidRPr="00734121" w14:paraId="7C1198DB" w14:textId="77777777" w:rsidTr="001E2DA7">
        <w:tc>
          <w:tcPr>
            <w:tcW w:w="3397" w:type="dxa"/>
          </w:tcPr>
          <w:p w14:paraId="721BA8EB" w14:textId="77777777" w:rsidR="000E651B" w:rsidRPr="00734121" w:rsidRDefault="000E651B" w:rsidP="001E2DA7">
            <w:pPr>
              <w:spacing w:line="276" w:lineRule="auto"/>
            </w:pPr>
            <w:r w:rsidRPr="00734121">
              <w:t>Central clearance</w:t>
            </w:r>
          </w:p>
        </w:tc>
        <w:tc>
          <w:tcPr>
            <w:tcW w:w="2410" w:type="dxa"/>
          </w:tcPr>
          <w:p w14:paraId="2A2C2EF1" w14:textId="7C6836AF" w:rsidR="000E651B" w:rsidRPr="00734121" w:rsidRDefault="000E651B" w:rsidP="001E2DA7">
            <w:pPr>
              <w:spacing w:line="276" w:lineRule="auto"/>
              <w:rPr>
                <w:i/>
                <w:iCs/>
              </w:rPr>
            </w:pPr>
            <w:r w:rsidRPr="00734121">
              <w:rPr>
                <w:i/>
                <w:iCs/>
              </w:rPr>
              <w:t xml:space="preserve">CL/F </w:t>
            </w:r>
            <w:r w:rsidRPr="00734121">
              <w:t>= 0.947 L/h/kg</w:t>
            </w:r>
          </w:p>
        </w:tc>
      </w:tr>
      <w:tr w:rsidR="000E651B" w:rsidRPr="00734121" w14:paraId="23B9E6FF" w14:textId="77777777" w:rsidTr="001E2DA7">
        <w:tc>
          <w:tcPr>
            <w:tcW w:w="3397" w:type="dxa"/>
          </w:tcPr>
          <w:p w14:paraId="4A220A6F" w14:textId="77777777" w:rsidR="000E651B" w:rsidRPr="00734121" w:rsidRDefault="000E651B" w:rsidP="001E2DA7">
            <w:pPr>
              <w:spacing w:line="276" w:lineRule="auto"/>
            </w:pPr>
            <w:r w:rsidRPr="00734121">
              <w:t xml:space="preserve">Central volume of distribution </w:t>
            </w:r>
          </w:p>
        </w:tc>
        <w:tc>
          <w:tcPr>
            <w:tcW w:w="2410" w:type="dxa"/>
          </w:tcPr>
          <w:p w14:paraId="16F72E5A" w14:textId="67864EE7" w:rsidR="000E651B" w:rsidRPr="00734121" w:rsidRDefault="000E651B" w:rsidP="001E2DA7">
            <w:pPr>
              <w:spacing w:line="276" w:lineRule="auto"/>
            </w:pPr>
            <w:proofErr w:type="spellStart"/>
            <w:r w:rsidRPr="00734121">
              <w:rPr>
                <w:i/>
                <w:iCs/>
              </w:rPr>
              <w:t>V</w:t>
            </w:r>
            <w:r w:rsidR="00F778DA" w:rsidRPr="00734121">
              <w:rPr>
                <w:i/>
                <w:iCs/>
                <w:vertAlign w:val="subscript"/>
              </w:rPr>
              <w:t>c</w:t>
            </w:r>
            <w:proofErr w:type="spellEnd"/>
            <w:r w:rsidR="00847E86" w:rsidRPr="00734121">
              <w:rPr>
                <w:i/>
                <w:iCs/>
              </w:rPr>
              <w:t>/F</w:t>
            </w:r>
            <w:r w:rsidR="00847E86" w:rsidRPr="00734121">
              <w:t xml:space="preserve"> </w:t>
            </w:r>
            <w:r w:rsidRPr="00734121">
              <w:t>= 4.12 L/kg</w:t>
            </w:r>
          </w:p>
        </w:tc>
      </w:tr>
    </w:tbl>
    <w:p w14:paraId="5FC2C101" w14:textId="77777777" w:rsidR="000B7467" w:rsidRDefault="000B7467" w:rsidP="002E0DC7">
      <w:pPr>
        <w:spacing w:line="276" w:lineRule="auto"/>
        <w:rPr>
          <w:b/>
          <w:bCs/>
        </w:rPr>
      </w:pPr>
    </w:p>
    <w:p w14:paraId="66E0B089" w14:textId="77777777" w:rsidR="00B561B2" w:rsidRDefault="00B561B2" w:rsidP="002E0DC7">
      <w:pPr>
        <w:spacing w:line="276" w:lineRule="auto"/>
        <w:rPr>
          <w:b/>
          <w:bCs/>
        </w:rPr>
      </w:pPr>
    </w:p>
    <w:p w14:paraId="653DC5BC" w14:textId="77777777" w:rsidR="00B561B2" w:rsidRDefault="00B561B2" w:rsidP="002E0DC7">
      <w:pPr>
        <w:spacing w:line="276" w:lineRule="auto"/>
        <w:rPr>
          <w:b/>
          <w:bCs/>
        </w:rPr>
      </w:pPr>
    </w:p>
    <w:p w14:paraId="26EFBBCC" w14:textId="77777777" w:rsidR="00B561B2" w:rsidRDefault="00B561B2" w:rsidP="002E0DC7">
      <w:pPr>
        <w:spacing w:line="276" w:lineRule="auto"/>
        <w:rPr>
          <w:b/>
          <w:bCs/>
        </w:rPr>
      </w:pPr>
    </w:p>
    <w:p w14:paraId="7D02D1E6" w14:textId="77777777" w:rsidR="00B561B2" w:rsidRDefault="00B561B2" w:rsidP="002E0DC7">
      <w:pPr>
        <w:spacing w:line="276" w:lineRule="auto"/>
        <w:rPr>
          <w:b/>
          <w:bCs/>
        </w:rPr>
      </w:pPr>
    </w:p>
    <w:p w14:paraId="30BAC20E" w14:textId="71FF2124" w:rsidR="00B561B2" w:rsidRPr="0007028F" w:rsidRDefault="00B561B2" w:rsidP="00B561B2">
      <w:pPr>
        <w:pStyle w:val="Heading2"/>
        <w:rPr>
          <w:b/>
          <w:bCs/>
          <w:color w:val="auto"/>
        </w:rPr>
      </w:pPr>
      <w:r w:rsidRPr="0007028F">
        <w:rPr>
          <w:b/>
          <w:bCs/>
          <w:color w:val="auto"/>
        </w:rPr>
        <w:t>Table S4. Phase-specific processes during the cell cycle</w:t>
      </w:r>
    </w:p>
    <w:tbl>
      <w:tblPr>
        <w:tblStyle w:val="GridTable1Light"/>
        <w:tblW w:w="0" w:type="auto"/>
        <w:tblCellMar>
          <w:left w:w="57" w:type="dxa"/>
          <w:right w:w="57" w:type="dxa"/>
        </w:tblCellMar>
        <w:tblLook w:val="06A0" w:firstRow="1" w:lastRow="0" w:firstColumn="1" w:lastColumn="0" w:noHBand="1" w:noVBand="1"/>
      </w:tblPr>
      <w:tblGrid>
        <w:gridCol w:w="2254"/>
        <w:gridCol w:w="2254"/>
        <w:gridCol w:w="2254"/>
        <w:gridCol w:w="2254"/>
      </w:tblGrid>
      <w:tr w:rsidR="0007028F" w14:paraId="39C1F33F" w14:textId="77777777" w:rsidTr="008766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7E24F1" w14:textId="138C4007" w:rsidR="0007028F" w:rsidRPr="0087663E" w:rsidRDefault="0007028F" w:rsidP="0087663E">
            <w:pPr>
              <w:jc w:val="center"/>
              <w:rPr>
                <w:sz w:val="28"/>
                <w:szCs w:val="28"/>
              </w:rPr>
            </w:pPr>
            <w:r w:rsidRPr="0087663E">
              <w:rPr>
                <w:sz w:val="28"/>
                <w:szCs w:val="28"/>
              </w:rPr>
              <w:t>G1</w:t>
            </w:r>
          </w:p>
        </w:tc>
        <w:tc>
          <w:tcPr>
            <w:tcW w:w="2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5BED58" w14:textId="06811A3F" w:rsidR="0007028F" w:rsidRPr="0087663E" w:rsidRDefault="0007028F" w:rsidP="0087663E">
            <w:pPr>
              <w:jc w:val="center"/>
              <w:cnfStyle w:val="100000000000" w:firstRow="1" w:lastRow="0" w:firstColumn="0" w:lastColumn="0" w:oddVBand="0" w:evenVBand="0" w:oddHBand="0" w:evenHBand="0" w:firstRowFirstColumn="0" w:firstRowLastColumn="0" w:lastRowFirstColumn="0" w:lastRowLastColumn="0"/>
              <w:rPr>
                <w:sz w:val="28"/>
                <w:szCs w:val="28"/>
              </w:rPr>
            </w:pPr>
            <w:r w:rsidRPr="0087663E">
              <w:rPr>
                <w:sz w:val="28"/>
                <w:szCs w:val="28"/>
              </w:rPr>
              <w:t>S</w:t>
            </w:r>
          </w:p>
        </w:tc>
        <w:tc>
          <w:tcPr>
            <w:tcW w:w="2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AD20DB" w14:textId="0F210789" w:rsidR="0007028F" w:rsidRPr="0087663E" w:rsidRDefault="0007028F" w:rsidP="0087663E">
            <w:pPr>
              <w:jc w:val="center"/>
              <w:cnfStyle w:val="100000000000" w:firstRow="1" w:lastRow="0" w:firstColumn="0" w:lastColumn="0" w:oddVBand="0" w:evenVBand="0" w:oddHBand="0" w:evenHBand="0" w:firstRowFirstColumn="0" w:firstRowLastColumn="0" w:lastRowFirstColumn="0" w:lastRowLastColumn="0"/>
              <w:rPr>
                <w:sz w:val="28"/>
                <w:szCs w:val="28"/>
              </w:rPr>
            </w:pPr>
            <w:r w:rsidRPr="0087663E">
              <w:rPr>
                <w:sz w:val="28"/>
                <w:szCs w:val="28"/>
              </w:rPr>
              <w:t>G2</w:t>
            </w:r>
          </w:p>
        </w:tc>
        <w:tc>
          <w:tcPr>
            <w:tcW w:w="2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D2743C" w14:textId="012ACAAC" w:rsidR="0007028F" w:rsidRPr="0087663E" w:rsidRDefault="0007028F" w:rsidP="0087663E">
            <w:pPr>
              <w:jc w:val="center"/>
              <w:cnfStyle w:val="100000000000" w:firstRow="1" w:lastRow="0" w:firstColumn="0" w:lastColumn="0" w:oddVBand="0" w:evenVBand="0" w:oddHBand="0" w:evenHBand="0" w:firstRowFirstColumn="0" w:firstRowLastColumn="0" w:lastRowFirstColumn="0" w:lastRowLastColumn="0"/>
              <w:rPr>
                <w:sz w:val="28"/>
                <w:szCs w:val="28"/>
              </w:rPr>
            </w:pPr>
            <w:r w:rsidRPr="0087663E">
              <w:rPr>
                <w:sz w:val="28"/>
                <w:szCs w:val="28"/>
              </w:rPr>
              <w:t>M</w:t>
            </w:r>
          </w:p>
        </w:tc>
      </w:tr>
      <w:tr w:rsidR="00AD3CCF" w14:paraId="25C46150" w14:textId="77777777" w:rsidTr="00A55A91">
        <w:tc>
          <w:tcPr>
            <w:cnfStyle w:val="001000000000" w:firstRow="0" w:lastRow="0" w:firstColumn="1" w:lastColumn="0" w:oddVBand="0" w:evenVBand="0" w:oddHBand="0" w:evenHBand="0" w:firstRowFirstColumn="0" w:firstRowLastColumn="0" w:lastRowFirstColumn="0" w:lastRowLastColumn="0"/>
            <w:tcW w:w="901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275A69" w14:textId="593DB8B5" w:rsidR="00AD3CCF" w:rsidRPr="0007028F" w:rsidRDefault="00A55A91" w:rsidP="00AD3CCF">
            <w:pPr>
              <w:jc w:val="center"/>
            </w:pPr>
            <w:r>
              <w:t xml:space="preserve">Cell </w:t>
            </w:r>
            <w:r w:rsidR="00AD3CCF">
              <w:t>DDR</w:t>
            </w:r>
          </w:p>
        </w:tc>
      </w:tr>
      <w:tr w:rsidR="0007028F" w14:paraId="09CA5964" w14:textId="77777777" w:rsidTr="0087663E">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auto"/>
              <w:left w:val="single" w:sz="4" w:space="0" w:color="auto"/>
              <w:bottom w:val="single" w:sz="4" w:space="0" w:color="auto"/>
              <w:right w:val="single" w:sz="4" w:space="0" w:color="auto"/>
            </w:tcBorders>
          </w:tcPr>
          <w:p w14:paraId="38AE2521" w14:textId="6B7BB83C" w:rsidR="0007028F" w:rsidRPr="00AD3CCF" w:rsidRDefault="0007028F">
            <w:pPr>
              <w:rPr>
                <w:b w:val="0"/>
                <w:bCs w:val="0"/>
              </w:rPr>
            </w:pPr>
            <w:r w:rsidRPr="0007028F">
              <w:rPr>
                <w:b w:val="0"/>
                <w:bCs w:val="0"/>
              </w:rPr>
              <w:t xml:space="preserve">SSB </w:t>
            </w:r>
            <w:r w:rsidR="00201640">
              <w:rPr>
                <w:b w:val="0"/>
                <w:bCs w:val="0"/>
              </w:rPr>
              <w:t>g</w:t>
            </w:r>
            <w:r w:rsidR="00201640" w:rsidRPr="00AD3CCF">
              <w:rPr>
                <w:b w:val="0"/>
                <w:bCs w:val="0"/>
              </w:rPr>
              <w:t>enerat</w:t>
            </w:r>
            <w:r w:rsidR="00201640">
              <w:rPr>
                <w:b w:val="0"/>
                <w:bCs w:val="0"/>
              </w:rPr>
              <w:t>ion</w:t>
            </w:r>
          </w:p>
          <w:p w14:paraId="38E5ABD9" w14:textId="77777777" w:rsidR="0007028F" w:rsidRPr="00AD3CCF" w:rsidRDefault="0007028F">
            <w:pPr>
              <w:rPr>
                <w:b w:val="0"/>
                <w:bCs w:val="0"/>
              </w:rPr>
            </w:pPr>
            <w:r w:rsidRPr="00AD3CCF">
              <w:rPr>
                <w:b w:val="0"/>
                <w:bCs w:val="0"/>
              </w:rPr>
              <w:t>-</w:t>
            </w:r>
          </w:p>
          <w:p w14:paraId="21B71548" w14:textId="29D77877" w:rsidR="0007028F" w:rsidRPr="00AD3CCF" w:rsidRDefault="0007028F">
            <w:pPr>
              <w:rPr>
                <w:b w:val="0"/>
                <w:bCs w:val="0"/>
              </w:rPr>
            </w:pPr>
            <w:r w:rsidRPr="00AD3CCF">
              <w:rPr>
                <w:b w:val="0"/>
                <w:bCs w:val="0"/>
              </w:rPr>
              <w:t>DNA damage</w:t>
            </w:r>
            <w:r w:rsidR="00201640">
              <w:rPr>
                <w:b w:val="0"/>
                <w:bCs w:val="0"/>
              </w:rPr>
              <w:t xml:space="preserve"> repair</w:t>
            </w:r>
          </w:p>
          <w:p w14:paraId="609D7C5F" w14:textId="13A2A01C" w:rsidR="0007028F" w:rsidRPr="00AD3CCF" w:rsidRDefault="00AD3CCF">
            <w:pPr>
              <w:rPr>
                <w:b w:val="0"/>
                <w:bCs w:val="0"/>
              </w:rPr>
            </w:pPr>
            <w:r w:rsidRPr="00AD3CCF">
              <w:rPr>
                <w:b w:val="0"/>
                <w:bCs w:val="0"/>
              </w:rPr>
              <w:t xml:space="preserve">Cell death </w:t>
            </w:r>
          </w:p>
        </w:tc>
        <w:tc>
          <w:tcPr>
            <w:tcW w:w="2254" w:type="dxa"/>
            <w:tcBorders>
              <w:top w:val="single" w:sz="4" w:space="0" w:color="auto"/>
              <w:left w:val="single" w:sz="4" w:space="0" w:color="auto"/>
              <w:bottom w:val="single" w:sz="4" w:space="0" w:color="auto"/>
              <w:right w:val="single" w:sz="4" w:space="0" w:color="auto"/>
            </w:tcBorders>
          </w:tcPr>
          <w:p w14:paraId="732D5903" w14:textId="434985BA" w:rsidR="00CB2441" w:rsidRDefault="00AD3CCF">
            <w:pPr>
              <w:cnfStyle w:val="000000000000" w:firstRow="0" w:lastRow="0" w:firstColumn="0" w:lastColumn="0" w:oddVBand="0" w:evenVBand="0" w:oddHBand="0" w:evenHBand="0" w:firstRowFirstColumn="0" w:firstRowLastColumn="0" w:lastRowFirstColumn="0" w:lastRowLastColumn="0"/>
            </w:pPr>
            <w:r w:rsidRPr="0007028F">
              <w:t>SSB</w:t>
            </w:r>
            <w:r w:rsidRPr="00AD3CCF">
              <w:t xml:space="preserve"> </w:t>
            </w:r>
            <w:r w:rsidR="00CB2441">
              <w:t>generation</w:t>
            </w:r>
          </w:p>
          <w:p w14:paraId="117E9BFD" w14:textId="51B6F6F8" w:rsidR="0007028F" w:rsidRPr="00AD3CCF" w:rsidRDefault="0007028F">
            <w:pPr>
              <w:cnfStyle w:val="000000000000" w:firstRow="0" w:lastRow="0" w:firstColumn="0" w:lastColumn="0" w:oddVBand="0" w:evenVBand="0" w:oddHBand="0" w:evenHBand="0" w:firstRowFirstColumn="0" w:firstRowLastColumn="0" w:lastRowFirstColumn="0" w:lastRowLastColumn="0"/>
            </w:pPr>
            <w:r w:rsidRPr="0007028F">
              <w:t>Conversio</w:t>
            </w:r>
            <w:r w:rsidR="00A66B60">
              <w:t>n</w:t>
            </w:r>
            <w:r w:rsidRPr="0007028F">
              <w:t xml:space="preserve"> SSB-&gt;DSB</w:t>
            </w:r>
          </w:p>
          <w:p w14:paraId="36BDBD08" w14:textId="77777777" w:rsidR="00201640" w:rsidRDefault="00201640">
            <w:pPr>
              <w:cnfStyle w:val="000000000000" w:firstRow="0" w:lastRow="0" w:firstColumn="0" w:lastColumn="0" w:oddVBand="0" w:evenVBand="0" w:oddHBand="0" w:evenHBand="0" w:firstRowFirstColumn="0" w:firstRowLastColumn="0" w:lastRowFirstColumn="0" w:lastRowLastColumn="0"/>
            </w:pPr>
            <w:r w:rsidRPr="00201640">
              <w:t>DNA damage repair</w:t>
            </w:r>
          </w:p>
          <w:p w14:paraId="14B9231A" w14:textId="064C4347" w:rsidR="0007028F" w:rsidRPr="00AD3CCF" w:rsidRDefault="00AD3CCF">
            <w:pPr>
              <w:cnfStyle w:val="000000000000" w:firstRow="0" w:lastRow="0" w:firstColumn="0" w:lastColumn="0" w:oddVBand="0" w:evenVBand="0" w:oddHBand="0" w:evenHBand="0" w:firstRowFirstColumn="0" w:firstRowLastColumn="0" w:lastRowFirstColumn="0" w:lastRowLastColumn="0"/>
            </w:pPr>
            <w:r w:rsidRPr="00AD3CCF">
              <w:t>Cell death</w:t>
            </w:r>
          </w:p>
        </w:tc>
        <w:tc>
          <w:tcPr>
            <w:tcW w:w="2254" w:type="dxa"/>
            <w:tcBorders>
              <w:top w:val="single" w:sz="4" w:space="0" w:color="auto"/>
              <w:left w:val="single" w:sz="4" w:space="0" w:color="auto"/>
              <w:bottom w:val="single" w:sz="4" w:space="0" w:color="auto"/>
              <w:right w:val="single" w:sz="4" w:space="0" w:color="auto"/>
            </w:tcBorders>
          </w:tcPr>
          <w:p w14:paraId="7BFBF21C" w14:textId="23B18F20" w:rsidR="00AD3CCF" w:rsidRPr="00AD3CCF" w:rsidRDefault="00AD3CCF">
            <w:pPr>
              <w:cnfStyle w:val="000000000000" w:firstRow="0" w:lastRow="0" w:firstColumn="0" w:lastColumn="0" w:oddVBand="0" w:evenVBand="0" w:oddHBand="0" w:evenHBand="0" w:firstRowFirstColumn="0" w:firstRowLastColumn="0" w:lastRowFirstColumn="0" w:lastRowLastColumn="0"/>
            </w:pPr>
            <w:r w:rsidRPr="0007028F">
              <w:t>SSB</w:t>
            </w:r>
            <w:r w:rsidRPr="00AD3CCF">
              <w:t xml:space="preserve"> </w:t>
            </w:r>
            <w:r w:rsidR="00CB2441">
              <w:t>generation</w:t>
            </w:r>
          </w:p>
          <w:p w14:paraId="1BEB1233" w14:textId="14076D62" w:rsidR="0007028F" w:rsidRPr="00AD3CCF" w:rsidRDefault="0007028F">
            <w:pPr>
              <w:cnfStyle w:val="000000000000" w:firstRow="0" w:lastRow="0" w:firstColumn="0" w:lastColumn="0" w:oddVBand="0" w:evenVBand="0" w:oddHBand="0" w:evenHBand="0" w:firstRowFirstColumn="0" w:firstRowLastColumn="0" w:lastRowFirstColumn="0" w:lastRowLastColumn="0"/>
            </w:pPr>
            <w:r w:rsidRPr="00AD3CCF">
              <w:t>-</w:t>
            </w:r>
          </w:p>
          <w:p w14:paraId="1F5727B8" w14:textId="31E758A8" w:rsidR="0007028F" w:rsidRPr="00AD3CCF" w:rsidRDefault="00AD3CCF">
            <w:pPr>
              <w:cnfStyle w:val="000000000000" w:firstRow="0" w:lastRow="0" w:firstColumn="0" w:lastColumn="0" w:oddVBand="0" w:evenVBand="0" w:oddHBand="0" w:evenHBand="0" w:firstRowFirstColumn="0" w:firstRowLastColumn="0" w:lastRowFirstColumn="0" w:lastRowLastColumn="0"/>
            </w:pPr>
            <w:r w:rsidRPr="00AD3CCF">
              <w:t>DNA damage</w:t>
            </w:r>
            <w:r w:rsidR="00201640">
              <w:t xml:space="preserve"> repair</w:t>
            </w:r>
          </w:p>
          <w:p w14:paraId="1D846714" w14:textId="7CA1C59A" w:rsidR="0007028F" w:rsidRPr="00AD3CCF" w:rsidRDefault="00AD3CCF">
            <w:pPr>
              <w:cnfStyle w:val="000000000000" w:firstRow="0" w:lastRow="0" w:firstColumn="0" w:lastColumn="0" w:oddVBand="0" w:evenVBand="0" w:oddHBand="0" w:evenHBand="0" w:firstRowFirstColumn="0" w:firstRowLastColumn="0" w:lastRowFirstColumn="0" w:lastRowLastColumn="0"/>
            </w:pPr>
            <w:r w:rsidRPr="00AD3CCF">
              <w:t>Cell death</w:t>
            </w:r>
          </w:p>
        </w:tc>
        <w:tc>
          <w:tcPr>
            <w:tcW w:w="2254" w:type="dxa"/>
            <w:tcBorders>
              <w:top w:val="single" w:sz="4" w:space="0" w:color="auto"/>
              <w:left w:val="single" w:sz="4" w:space="0" w:color="auto"/>
              <w:bottom w:val="single" w:sz="4" w:space="0" w:color="auto"/>
              <w:right w:val="single" w:sz="4" w:space="0" w:color="auto"/>
            </w:tcBorders>
          </w:tcPr>
          <w:p w14:paraId="1C6DC546" w14:textId="77777777" w:rsidR="0007028F" w:rsidRPr="00AD3CCF" w:rsidRDefault="0007028F" w:rsidP="0007028F">
            <w:pPr>
              <w:cnfStyle w:val="000000000000" w:firstRow="0" w:lastRow="0" w:firstColumn="0" w:lastColumn="0" w:oddVBand="0" w:evenVBand="0" w:oddHBand="0" w:evenHBand="0" w:firstRowFirstColumn="0" w:firstRowLastColumn="0" w:lastRowFirstColumn="0" w:lastRowLastColumn="0"/>
            </w:pPr>
            <w:r w:rsidRPr="00AD3CCF">
              <w:t>-</w:t>
            </w:r>
          </w:p>
          <w:p w14:paraId="0D7303B2" w14:textId="77777777" w:rsidR="0007028F" w:rsidRPr="00AD3CCF" w:rsidRDefault="0007028F" w:rsidP="0007028F">
            <w:pPr>
              <w:cnfStyle w:val="000000000000" w:firstRow="0" w:lastRow="0" w:firstColumn="0" w:lastColumn="0" w:oddVBand="0" w:evenVBand="0" w:oddHBand="0" w:evenHBand="0" w:firstRowFirstColumn="0" w:firstRowLastColumn="0" w:lastRowFirstColumn="0" w:lastRowLastColumn="0"/>
            </w:pPr>
            <w:r w:rsidRPr="00AD3CCF">
              <w:t>-</w:t>
            </w:r>
          </w:p>
          <w:p w14:paraId="1A9C6DBB" w14:textId="77777777" w:rsidR="0007028F" w:rsidRPr="00AD3CCF" w:rsidRDefault="0007028F" w:rsidP="0007028F">
            <w:pPr>
              <w:cnfStyle w:val="000000000000" w:firstRow="0" w:lastRow="0" w:firstColumn="0" w:lastColumn="0" w:oddVBand="0" w:evenVBand="0" w:oddHBand="0" w:evenHBand="0" w:firstRowFirstColumn="0" w:firstRowLastColumn="0" w:lastRowFirstColumn="0" w:lastRowLastColumn="0"/>
            </w:pPr>
            <w:r w:rsidRPr="00AD3CCF">
              <w:t>-</w:t>
            </w:r>
          </w:p>
          <w:p w14:paraId="7B731A71" w14:textId="14EB47F4" w:rsidR="00AD3CCF" w:rsidRPr="00AD3CCF" w:rsidRDefault="00AD3CCF" w:rsidP="00AD3CCF">
            <w:pPr>
              <w:cnfStyle w:val="000000000000" w:firstRow="0" w:lastRow="0" w:firstColumn="0" w:lastColumn="0" w:oddVBand="0" w:evenVBand="0" w:oddHBand="0" w:evenHBand="0" w:firstRowFirstColumn="0" w:firstRowLastColumn="0" w:lastRowFirstColumn="0" w:lastRowLastColumn="0"/>
            </w:pPr>
            <w:r w:rsidRPr="00AD3CCF">
              <w:t>Cell death</w:t>
            </w:r>
          </w:p>
        </w:tc>
      </w:tr>
      <w:tr w:rsidR="00AD3CCF" w14:paraId="7E6C0234" w14:textId="77777777" w:rsidTr="00A55A91">
        <w:tc>
          <w:tcPr>
            <w:cnfStyle w:val="001000000000" w:firstRow="0" w:lastRow="0" w:firstColumn="1" w:lastColumn="0" w:oddVBand="0" w:evenVBand="0" w:oddHBand="0" w:evenHBand="0" w:firstRowFirstColumn="0" w:firstRowLastColumn="0" w:lastRowFirstColumn="0" w:lastRowLastColumn="0"/>
            <w:tcW w:w="901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67B10" w14:textId="604D9537" w:rsidR="00AD3CCF" w:rsidRPr="00AD3CCF" w:rsidRDefault="00AD3CCF" w:rsidP="00AD3CCF">
            <w:pPr>
              <w:jc w:val="center"/>
            </w:pPr>
            <w:proofErr w:type="spellStart"/>
            <w:r w:rsidRPr="0007028F">
              <w:t>PARPi</w:t>
            </w:r>
            <w:proofErr w:type="spellEnd"/>
          </w:p>
        </w:tc>
      </w:tr>
      <w:tr w:rsidR="0007028F" w14:paraId="738FA5C6" w14:textId="77777777" w:rsidTr="0087663E">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auto"/>
              <w:left w:val="single" w:sz="4" w:space="0" w:color="auto"/>
              <w:bottom w:val="single" w:sz="4" w:space="0" w:color="auto"/>
              <w:right w:val="single" w:sz="4" w:space="0" w:color="auto"/>
            </w:tcBorders>
          </w:tcPr>
          <w:p w14:paraId="60BBC976" w14:textId="4E4F56BC" w:rsidR="0007028F" w:rsidRPr="00AD3CCF" w:rsidRDefault="00AD3CCF" w:rsidP="0007028F">
            <w:pPr>
              <w:rPr>
                <w:b w:val="0"/>
                <w:bCs w:val="0"/>
              </w:rPr>
            </w:pPr>
            <w:r w:rsidRPr="00AD3CCF">
              <w:rPr>
                <w:b w:val="0"/>
                <w:bCs w:val="0"/>
              </w:rPr>
              <w:t>DNA r</w:t>
            </w:r>
            <w:r w:rsidR="0007028F" w:rsidRPr="0007028F">
              <w:rPr>
                <w:b w:val="0"/>
                <w:bCs w:val="0"/>
              </w:rPr>
              <w:t>epair inhib</w:t>
            </w:r>
            <w:r w:rsidRPr="00AD3CCF">
              <w:rPr>
                <w:b w:val="0"/>
                <w:bCs w:val="0"/>
              </w:rPr>
              <w:t>ition</w:t>
            </w:r>
            <w:r w:rsidR="0007028F" w:rsidRPr="0007028F">
              <w:rPr>
                <w:b w:val="0"/>
                <w:bCs w:val="0"/>
              </w:rPr>
              <w:t xml:space="preserve"> </w:t>
            </w:r>
          </w:p>
        </w:tc>
        <w:tc>
          <w:tcPr>
            <w:tcW w:w="2254" w:type="dxa"/>
            <w:tcBorders>
              <w:top w:val="single" w:sz="4" w:space="0" w:color="auto"/>
              <w:left w:val="single" w:sz="4" w:space="0" w:color="auto"/>
              <w:bottom w:val="single" w:sz="4" w:space="0" w:color="auto"/>
              <w:right w:val="single" w:sz="4" w:space="0" w:color="auto"/>
            </w:tcBorders>
          </w:tcPr>
          <w:p w14:paraId="1F2CA47D" w14:textId="771220BF" w:rsidR="00AD3CCF" w:rsidRPr="00AD3CCF" w:rsidRDefault="00AD3CCF" w:rsidP="0007028F">
            <w:pPr>
              <w:cnfStyle w:val="000000000000" w:firstRow="0" w:lastRow="0" w:firstColumn="0" w:lastColumn="0" w:oddVBand="0" w:evenVBand="0" w:oddHBand="0" w:evenHBand="0" w:firstRowFirstColumn="0" w:firstRowLastColumn="0" w:lastRowFirstColumn="0" w:lastRowLastColumn="0"/>
            </w:pPr>
            <w:r w:rsidRPr="00AD3CCF">
              <w:t>DNA r</w:t>
            </w:r>
            <w:r w:rsidRPr="0007028F">
              <w:t>epair inhib</w:t>
            </w:r>
            <w:r w:rsidRPr="00AD3CCF">
              <w:t>ition</w:t>
            </w:r>
          </w:p>
        </w:tc>
        <w:tc>
          <w:tcPr>
            <w:tcW w:w="2254" w:type="dxa"/>
            <w:tcBorders>
              <w:top w:val="single" w:sz="4" w:space="0" w:color="auto"/>
              <w:left w:val="single" w:sz="4" w:space="0" w:color="auto"/>
              <w:bottom w:val="single" w:sz="4" w:space="0" w:color="auto"/>
              <w:right w:val="single" w:sz="4" w:space="0" w:color="auto"/>
            </w:tcBorders>
          </w:tcPr>
          <w:p w14:paraId="0EAF031D" w14:textId="23A0F1B6" w:rsidR="0007028F" w:rsidRPr="00AD3CCF" w:rsidRDefault="00AD3CCF" w:rsidP="0007028F">
            <w:pPr>
              <w:cnfStyle w:val="000000000000" w:firstRow="0" w:lastRow="0" w:firstColumn="0" w:lastColumn="0" w:oddVBand="0" w:evenVBand="0" w:oddHBand="0" w:evenHBand="0" w:firstRowFirstColumn="0" w:firstRowLastColumn="0" w:lastRowFirstColumn="0" w:lastRowLastColumn="0"/>
            </w:pPr>
            <w:r w:rsidRPr="00AD3CCF">
              <w:t>DNA r</w:t>
            </w:r>
            <w:r w:rsidRPr="0007028F">
              <w:t>epair inhib</w:t>
            </w:r>
            <w:r w:rsidRPr="00AD3CCF">
              <w:t>ition</w:t>
            </w:r>
          </w:p>
        </w:tc>
        <w:tc>
          <w:tcPr>
            <w:tcW w:w="2254" w:type="dxa"/>
            <w:tcBorders>
              <w:top w:val="single" w:sz="4" w:space="0" w:color="auto"/>
              <w:left w:val="single" w:sz="4" w:space="0" w:color="auto"/>
              <w:bottom w:val="single" w:sz="4" w:space="0" w:color="auto"/>
              <w:right w:val="single" w:sz="4" w:space="0" w:color="auto"/>
            </w:tcBorders>
          </w:tcPr>
          <w:p w14:paraId="6B172FBF" w14:textId="0B1FB1D3" w:rsidR="0007028F" w:rsidRPr="00AD3CCF" w:rsidRDefault="00AD3CCF" w:rsidP="0007028F">
            <w:pPr>
              <w:cnfStyle w:val="000000000000" w:firstRow="0" w:lastRow="0" w:firstColumn="0" w:lastColumn="0" w:oddVBand="0" w:evenVBand="0" w:oddHBand="0" w:evenHBand="0" w:firstRowFirstColumn="0" w:firstRowLastColumn="0" w:lastRowFirstColumn="0" w:lastRowLastColumn="0"/>
            </w:pPr>
            <w:r w:rsidRPr="00AD3CCF">
              <w:t>-</w:t>
            </w:r>
          </w:p>
        </w:tc>
      </w:tr>
      <w:tr w:rsidR="00AD3CCF" w14:paraId="07EE1F68" w14:textId="77777777" w:rsidTr="00A55A91">
        <w:tc>
          <w:tcPr>
            <w:cnfStyle w:val="001000000000" w:firstRow="0" w:lastRow="0" w:firstColumn="1" w:lastColumn="0" w:oddVBand="0" w:evenVBand="0" w:oddHBand="0" w:evenHBand="0" w:firstRowFirstColumn="0" w:firstRowLastColumn="0" w:lastRowFirstColumn="0" w:lastRowLastColumn="0"/>
            <w:tcW w:w="901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C0E51" w14:textId="6936DC35" w:rsidR="00AD3CCF" w:rsidRPr="00AD3CCF" w:rsidRDefault="00AD3CCF" w:rsidP="00AD3CCF">
            <w:pPr>
              <w:jc w:val="center"/>
            </w:pPr>
            <w:proofErr w:type="spellStart"/>
            <w:r w:rsidRPr="00AD3CCF">
              <w:t>ATRi</w:t>
            </w:r>
            <w:proofErr w:type="spellEnd"/>
          </w:p>
        </w:tc>
      </w:tr>
      <w:tr w:rsidR="00AD3CCF" w14:paraId="068D7D81" w14:textId="77777777" w:rsidTr="0087663E">
        <w:tc>
          <w:tcPr>
            <w:cnfStyle w:val="001000000000" w:firstRow="0" w:lastRow="0" w:firstColumn="1" w:lastColumn="0" w:oddVBand="0" w:evenVBand="0" w:oddHBand="0" w:evenHBand="0" w:firstRowFirstColumn="0" w:firstRowLastColumn="0" w:lastRowFirstColumn="0" w:lastRowLastColumn="0"/>
            <w:tcW w:w="2254" w:type="dxa"/>
            <w:tcBorders>
              <w:top w:val="single" w:sz="4" w:space="0" w:color="auto"/>
              <w:left w:val="single" w:sz="4" w:space="0" w:color="auto"/>
              <w:bottom w:val="single" w:sz="4" w:space="0" w:color="auto"/>
              <w:right w:val="single" w:sz="4" w:space="0" w:color="auto"/>
            </w:tcBorders>
          </w:tcPr>
          <w:p w14:paraId="66D590D1" w14:textId="77777777" w:rsidR="00AD3CCF" w:rsidRPr="00AD3CCF" w:rsidRDefault="00AD3CCF" w:rsidP="00AD3CCF">
            <w:pPr>
              <w:rPr>
                <w:b w:val="0"/>
                <w:bCs w:val="0"/>
              </w:rPr>
            </w:pPr>
            <w:r w:rsidRPr="00AD3CCF">
              <w:rPr>
                <w:b w:val="0"/>
                <w:bCs w:val="0"/>
              </w:rPr>
              <w:t>DSB r</w:t>
            </w:r>
            <w:r w:rsidRPr="0007028F">
              <w:rPr>
                <w:b w:val="0"/>
                <w:bCs w:val="0"/>
              </w:rPr>
              <w:t>epair inhib</w:t>
            </w:r>
            <w:r w:rsidRPr="00AD3CCF">
              <w:rPr>
                <w:b w:val="0"/>
                <w:bCs w:val="0"/>
              </w:rPr>
              <w:t>ition</w:t>
            </w:r>
            <w:r w:rsidRPr="0007028F">
              <w:rPr>
                <w:b w:val="0"/>
                <w:bCs w:val="0"/>
              </w:rPr>
              <w:t xml:space="preserve"> </w:t>
            </w:r>
          </w:p>
          <w:p w14:paraId="2BAD647C" w14:textId="2A218B94" w:rsidR="00AD3CCF" w:rsidRPr="00AD3CCF" w:rsidRDefault="00AD3CCF" w:rsidP="00AD3CCF">
            <w:pPr>
              <w:rPr>
                <w:b w:val="0"/>
                <w:bCs w:val="0"/>
              </w:rPr>
            </w:pPr>
            <w:r w:rsidRPr="00AD3CCF">
              <w:rPr>
                <w:b w:val="0"/>
                <w:bCs w:val="0"/>
              </w:rPr>
              <w:t>-</w:t>
            </w:r>
          </w:p>
        </w:tc>
        <w:tc>
          <w:tcPr>
            <w:tcW w:w="2254" w:type="dxa"/>
            <w:tcBorders>
              <w:top w:val="single" w:sz="4" w:space="0" w:color="auto"/>
              <w:left w:val="single" w:sz="4" w:space="0" w:color="auto"/>
              <w:bottom w:val="single" w:sz="4" w:space="0" w:color="auto"/>
              <w:right w:val="single" w:sz="4" w:space="0" w:color="auto"/>
            </w:tcBorders>
          </w:tcPr>
          <w:p w14:paraId="4D01AE8E" w14:textId="77777777" w:rsidR="00AD3CCF" w:rsidRPr="00AD3CCF" w:rsidRDefault="00AD3CCF" w:rsidP="00AD3CCF">
            <w:pPr>
              <w:cnfStyle w:val="000000000000" w:firstRow="0" w:lastRow="0" w:firstColumn="0" w:lastColumn="0" w:oddVBand="0" w:evenVBand="0" w:oddHBand="0" w:evenHBand="0" w:firstRowFirstColumn="0" w:firstRowLastColumn="0" w:lastRowFirstColumn="0" w:lastRowLastColumn="0"/>
            </w:pPr>
            <w:r w:rsidRPr="00AD3CCF">
              <w:t>DNA r</w:t>
            </w:r>
            <w:r w:rsidRPr="0007028F">
              <w:t>epair inhib</w:t>
            </w:r>
            <w:r w:rsidRPr="00AD3CCF">
              <w:t>ition</w:t>
            </w:r>
          </w:p>
          <w:p w14:paraId="35F4A990" w14:textId="4A721BE9" w:rsidR="00AD3CCF" w:rsidRPr="00AD3CCF" w:rsidRDefault="00AD3CCF" w:rsidP="00AD3CCF">
            <w:pPr>
              <w:cnfStyle w:val="000000000000" w:firstRow="0" w:lastRow="0" w:firstColumn="0" w:lastColumn="0" w:oddVBand="0" w:evenVBand="0" w:oddHBand="0" w:evenHBand="0" w:firstRowFirstColumn="0" w:firstRowLastColumn="0" w:lastRowFirstColumn="0" w:lastRowLastColumn="0"/>
            </w:pPr>
            <w:r w:rsidRPr="00AD3CCF">
              <w:t>Checkpoint override</w:t>
            </w:r>
          </w:p>
        </w:tc>
        <w:tc>
          <w:tcPr>
            <w:tcW w:w="2254" w:type="dxa"/>
            <w:tcBorders>
              <w:top w:val="single" w:sz="4" w:space="0" w:color="auto"/>
              <w:left w:val="single" w:sz="4" w:space="0" w:color="auto"/>
              <w:bottom w:val="single" w:sz="4" w:space="0" w:color="auto"/>
              <w:right w:val="single" w:sz="4" w:space="0" w:color="auto"/>
            </w:tcBorders>
          </w:tcPr>
          <w:p w14:paraId="17ABBEA1" w14:textId="77777777" w:rsidR="00AD3CCF" w:rsidRPr="00AD3CCF" w:rsidRDefault="00AD3CCF" w:rsidP="00AD3CCF">
            <w:pPr>
              <w:cnfStyle w:val="000000000000" w:firstRow="0" w:lastRow="0" w:firstColumn="0" w:lastColumn="0" w:oddVBand="0" w:evenVBand="0" w:oddHBand="0" w:evenHBand="0" w:firstRowFirstColumn="0" w:firstRowLastColumn="0" w:lastRowFirstColumn="0" w:lastRowLastColumn="0"/>
            </w:pPr>
            <w:r w:rsidRPr="00AD3CCF">
              <w:t>DSB r</w:t>
            </w:r>
            <w:r w:rsidRPr="0007028F">
              <w:t>epair inhib</w:t>
            </w:r>
            <w:r w:rsidRPr="00AD3CCF">
              <w:t>ition</w:t>
            </w:r>
          </w:p>
          <w:p w14:paraId="0619BBDA" w14:textId="32BCDFBC" w:rsidR="00AD3CCF" w:rsidRPr="00AD3CCF" w:rsidRDefault="00AD3CCF" w:rsidP="00AD3CCF">
            <w:pPr>
              <w:cnfStyle w:val="000000000000" w:firstRow="0" w:lastRow="0" w:firstColumn="0" w:lastColumn="0" w:oddVBand="0" w:evenVBand="0" w:oddHBand="0" w:evenHBand="0" w:firstRowFirstColumn="0" w:firstRowLastColumn="0" w:lastRowFirstColumn="0" w:lastRowLastColumn="0"/>
            </w:pPr>
            <w:r w:rsidRPr="00AD3CCF">
              <w:t>Checkpoint override</w:t>
            </w:r>
          </w:p>
        </w:tc>
        <w:tc>
          <w:tcPr>
            <w:tcW w:w="2254" w:type="dxa"/>
            <w:tcBorders>
              <w:top w:val="single" w:sz="4" w:space="0" w:color="auto"/>
              <w:left w:val="single" w:sz="4" w:space="0" w:color="auto"/>
              <w:bottom w:val="single" w:sz="4" w:space="0" w:color="auto"/>
              <w:right w:val="single" w:sz="4" w:space="0" w:color="auto"/>
            </w:tcBorders>
          </w:tcPr>
          <w:p w14:paraId="27EDCD43" w14:textId="77777777" w:rsidR="00AD3CCF" w:rsidRPr="00AD3CCF" w:rsidRDefault="00AD3CCF" w:rsidP="00AD3CCF">
            <w:pPr>
              <w:cnfStyle w:val="000000000000" w:firstRow="0" w:lastRow="0" w:firstColumn="0" w:lastColumn="0" w:oddVBand="0" w:evenVBand="0" w:oddHBand="0" w:evenHBand="0" w:firstRowFirstColumn="0" w:firstRowLastColumn="0" w:lastRowFirstColumn="0" w:lastRowLastColumn="0"/>
            </w:pPr>
            <w:r w:rsidRPr="00AD3CCF">
              <w:t xml:space="preserve">- </w:t>
            </w:r>
          </w:p>
          <w:p w14:paraId="24485910" w14:textId="29E74278" w:rsidR="00AD3CCF" w:rsidRPr="00AD3CCF" w:rsidRDefault="00AD3CCF" w:rsidP="00AD3CCF">
            <w:pPr>
              <w:cnfStyle w:val="000000000000" w:firstRow="0" w:lastRow="0" w:firstColumn="0" w:lastColumn="0" w:oddVBand="0" w:evenVBand="0" w:oddHBand="0" w:evenHBand="0" w:firstRowFirstColumn="0" w:firstRowLastColumn="0" w:lastRowFirstColumn="0" w:lastRowLastColumn="0"/>
            </w:pPr>
            <w:r w:rsidRPr="00AD3CCF">
              <w:t>Checkpoint override</w:t>
            </w:r>
          </w:p>
        </w:tc>
      </w:tr>
    </w:tbl>
    <w:p w14:paraId="1D420A46" w14:textId="77777777" w:rsidR="00492F28" w:rsidRDefault="00492F28">
      <w:pPr>
        <w:rPr>
          <w:b/>
          <w:bCs/>
        </w:rPr>
      </w:pPr>
    </w:p>
    <w:p w14:paraId="15F788F0" w14:textId="77777777" w:rsidR="00492F28" w:rsidRDefault="00492F28">
      <w:pPr>
        <w:rPr>
          <w:b/>
          <w:bCs/>
        </w:rPr>
      </w:pPr>
    </w:p>
    <w:p w14:paraId="32E6D548" w14:textId="77777777" w:rsidR="00D617AF" w:rsidRDefault="00D617AF">
      <w:pPr>
        <w:rPr>
          <w:rFonts w:asciiTheme="majorHAnsi" w:eastAsiaTheme="majorEastAsia" w:hAnsiTheme="majorHAnsi" w:cstheme="majorBidi"/>
          <w:b/>
          <w:bCs/>
          <w:sz w:val="26"/>
          <w:szCs w:val="26"/>
        </w:rPr>
      </w:pPr>
      <w:r>
        <w:rPr>
          <w:b/>
          <w:bCs/>
        </w:rPr>
        <w:br w:type="page"/>
      </w:r>
    </w:p>
    <w:p w14:paraId="307DC69F" w14:textId="0DD8028F" w:rsidR="00492F28" w:rsidRPr="00267032" w:rsidRDefault="00492F28" w:rsidP="00492F28">
      <w:pPr>
        <w:pStyle w:val="Heading2"/>
        <w:rPr>
          <w:b/>
          <w:bCs/>
          <w:color w:val="auto"/>
        </w:rPr>
      </w:pPr>
      <w:r w:rsidRPr="00267032">
        <w:rPr>
          <w:b/>
          <w:bCs/>
          <w:color w:val="auto"/>
        </w:rPr>
        <w:t>Table S5. PD model parameters</w:t>
      </w:r>
      <w:r w:rsidR="00716B35">
        <w:rPr>
          <w:b/>
          <w:bCs/>
          <w:color w:val="auto"/>
        </w:rPr>
        <w:t xml:space="preserve"> fixed across all simulations</w:t>
      </w:r>
    </w:p>
    <w:p w14:paraId="0D21A13C" w14:textId="769CB934" w:rsidR="00315192" w:rsidRDefault="00315192" w:rsidP="00DF708C">
      <w:pPr>
        <w:spacing w:after="60"/>
      </w:pPr>
      <w:r w:rsidRPr="0026273C">
        <w:rPr>
          <w:i/>
          <w:iCs/>
        </w:rPr>
        <w:t>DAU = arbitrary unit of DNA damage</w:t>
      </w:r>
      <w:r w:rsidR="00816F4B">
        <w:rPr>
          <w:i/>
          <w:iCs/>
        </w:rPr>
        <w:t>.</w:t>
      </w:r>
    </w:p>
    <w:tbl>
      <w:tblPr>
        <w:tblStyle w:val="TableGrid"/>
        <w:tblW w:w="0" w:type="auto"/>
        <w:tblCellMar>
          <w:top w:w="28" w:type="dxa"/>
          <w:left w:w="57" w:type="dxa"/>
          <w:bottom w:w="28" w:type="dxa"/>
          <w:right w:w="57" w:type="dxa"/>
        </w:tblCellMar>
        <w:tblLook w:val="04A0" w:firstRow="1" w:lastRow="0" w:firstColumn="1" w:lastColumn="0" w:noHBand="0" w:noVBand="1"/>
      </w:tblPr>
      <w:tblGrid>
        <w:gridCol w:w="2830"/>
        <w:gridCol w:w="1251"/>
        <w:gridCol w:w="893"/>
        <w:gridCol w:w="833"/>
        <w:gridCol w:w="3209"/>
      </w:tblGrid>
      <w:tr w:rsidR="00315192" w14:paraId="3C492FD4" w14:textId="77777777" w:rsidTr="6F83B6A8">
        <w:tc>
          <w:tcPr>
            <w:tcW w:w="2830" w:type="dxa"/>
            <w:vAlign w:val="center"/>
          </w:tcPr>
          <w:p w14:paraId="77BDF3AE" w14:textId="7E262607" w:rsidR="00315192" w:rsidRPr="009751DB" w:rsidRDefault="00315192" w:rsidP="00315192">
            <w:pPr>
              <w:rPr>
                <w:b/>
                <w:bCs/>
              </w:rPr>
            </w:pPr>
            <w:r w:rsidRPr="009751DB">
              <w:rPr>
                <w:b/>
                <w:bCs/>
              </w:rPr>
              <w:t>Parameter</w:t>
            </w:r>
          </w:p>
        </w:tc>
        <w:tc>
          <w:tcPr>
            <w:tcW w:w="1251" w:type="dxa"/>
            <w:vAlign w:val="center"/>
          </w:tcPr>
          <w:p w14:paraId="55AFE6D8" w14:textId="41DF366D" w:rsidR="00315192" w:rsidRPr="00315192" w:rsidRDefault="00BB01B0" w:rsidP="00315192">
            <w:pPr>
              <w:rPr>
                <w:b/>
                <w:bCs/>
              </w:rPr>
            </w:pPr>
            <w:r>
              <w:rPr>
                <w:b/>
                <w:bCs/>
              </w:rPr>
              <w:t>Notation in equations</w:t>
            </w:r>
          </w:p>
        </w:tc>
        <w:tc>
          <w:tcPr>
            <w:tcW w:w="893" w:type="dxa"/>
            <w:vAlign w:val="center"/>
          </w:tcPr>
          <w:p w14:paraId="4D3A56D1" w14:textId="50833C5F" w:rsidR="00315192" w:rsidRPr="009751DB" w:rsidRDefault="00315192" w:rsidP="00315192">
            <w:pPr>
              <w:rPr>
                <w:b/>
                <w:bCs/>
              </w:rPr>
            </w:pPr>
            <w:r w:rsidRPr="009751DB">
              <w:rPr>
                <w:b/>
                <w:bCs/>
              </w:rPr>
              <w:t>Value</w:t>
            </w:r>
          </w:p>
        </w:tc>
        <w:tc>
          <w:tcPr>
            <w:tcW w:w="833" w:type="dxa"/>
            <w:vAlign w:val="center"/>
          </w:tcPr>
          <w:p w14:paraId="52216C76" w14:textId="6891D426" w:rsidR="00315192" w:rsidRPr="009751DB" w:rsidRDefault="00315192" w:rsidP="00315192">
            <w:pPr>
              <w:rPr>
                <w:b/>
                <w:bCs/>
              </w:rPr>
            </w:pPr>
            <w:r w:rsidRPr="009751DB">
              <w:rPr>
                <w:b/>
                <w:bCs/>
              </w:rPr>
              <w:t>Units</w:t>
            </w:r>
          </w:p>
        </w:tc>
        <w:tc>
          <w:tcPr>
            <w:tcW w:w="3209" w:type="dxa"/>
            <w:vAlign w:val="center"/>
          </w:tcPr>
          <w:p w14:paraId="674AD138" w14:textId="3C68E47C" w:rsidR="00315192" w:rsidRPr="009751DB" w:rsidRDefault="00315192" w:rsidP="00315192">
            <w:pPr>
              <w:rPr>
                <w:b/>
                <w:bCs/>
              </w:rPr>
            </w:pPr>
            <w:r w:rsidRPr="009751DB">
              <w:rPr>
                <w:b/>
                <w:bCs/>
              </w:rPr>
              <w:t>Source</w:t>
            </w:r>
            <w:r w:rsidR="006D3989" w:rsidRPr="009751DB">
              <w:rPr>
                <w:b/>
                <w:bCs/>
              </w:rPr>
              <w:t xml:space="preserve"> / rationale</w:t>
            </w:r>
          </w:p>
        </w:tc>
      </w:tr>
      <w:tr w:rsidR="006C51A6" w14:paraId="27EC1905" w14:textId="77777777" w:rsidTr="6F83B6A8">
        <w:tc>
          <w:tcPr>
            <w:tcW w:w="2830" w:type="dxa"/>
            <w:vAlign w:val="center"/>
          </w:tcPr>
          <w:p w14:paraId="5FB3317B" w14:textId="32CF9370" w:rsidR="006C51A6" w:rsidRPr="009751DB" w:rsidRDefault="003B3082" w:rsidP="00315192">
            <w:pPr>
              <w:rPr>
                <w:rFonts w:cstheme="minorHAnsi"/>
              </w:rPr>
            </w:pPr>
            <w:r w:rsidRPr="009751DB">
              <w:rPr>
                <w:rFonts w:cstheme="minorHAnsi"/>
              </w:rPr>
              <w:t xml:space="preserve">Number of </w:t>
            </w:r>
            <w:r w:rsidRPr="009751DB">
              <w:t xml:space="preserve">cell </w:t>
            </w:r>
            <w:r w:rsidR="00DB0A0A">
              <w:br/>
            </w:r>
            <w:r w:rsidRPr="009751DB">
              <w:t>sub-populations</w:t>
            </w:r>
          </w:p>
        </w:tc>
        <w:tc>
          <w:tcPr>
            <w:tcW w:w="1251" w:type="dxa"/>
            <w:vAlign w:val="center"/>
          </w:tcPr>
          <w:p w14:paraId="787E1A04" w14:textId="65B5E458" w:rsidR="006C51A6" w:rsidRDefault="00F06066" w:rsidP="004239B8">
            <w:pPr>
              <w:jc w:val="center"/>
              <w:rPr>
                <w:rFonts w:ascii="Calibri" w:eastAsia="Calibri" w:hAnsi="Calibri" w:cs="Times New Roman"/>
                <w:sz w:val="20"/>
                <w:szCs w:val="20"/>
              </w:rPr>
            </w:pPr>
            <w:r>
              <w:rPr>
                <w:rFonts w:ascii="Calibri" w:eastAsia="Calibri" w:hAnsi="Calibri" w:cs="Times New Roman"/>
                <w:sz w:val="20"/>
                <w:szCs w:val="20"/>
              </w:rPr>
              <w:t>-</w:t>
            </w:r>
          </w:p>
        </w:tc>
        <w:tc>
          <w:tcPr>
            <w:tcW w:w="893" w:type="dxa"/>
            <w:vAlign w:val="center"/>
          </w:tcPr>
          <w:p w14:paraId="18B8FF98" w14:textId="0E05EFCB" w:rsidR="006C51A6" w:rsidRPr="009751DB" w:rsidRDefault="00F06066" w:rsidP="004239B8">
            <w:pPr>
              <w:jc w:val="center"/>
            </w:pPr>
            <w:r>
              <w:t>5</w:t>
            </w:r>
          </w:p>
        </w:tc>
        <w:tc>
          <w:tcPr>
            <w:tcW w:w="833" w:type="dxa"/>
            <w:vAlign w:val="center"/>
          </w:tcPr>
          <w:p w14:paraId="0C3232AE" w14:textId="253E3F50" w:rsidR="006C51A6" w:rsidRPr="009751DB" w:rsidRDefault="003B3082" w:rsidP="004239B8">
            <w:pPr>
              <w:jc w:val="center"/>
              <w:rPr>
                <w:rFonts w:cstheme="minorHAnsi"/>
              </w:rPr>
            </w:pPr>
            <w:r w:rsidRPr="009751DB">
              <w:rPr>
                <w:rFonts w:cstheme="minorHAnsi"/>
              </w:rPr>
              <w:t>-</w:t>
            </w:r>
          </w:p>
        </w:tc>
        <w:tc>
          <w:tcPr>
            <w:tcW w:w="3209" w:type="dxa"/>
            <w:vAlign w:val="center"/>
          </w:tcPr>
          <w:p w14:paraId="7CCEE31F" w14:textId="100B0D87" w:rsidR="006C51A6" w:rsidRPr="009751DB" w:rsidRDefault="004502C7" w:rsidP="00315192">
            <w:r w:rsidRPr="009751DB">
              <w:t xml:space="preserve">Minimum value </w:t>
            </w:r>
            <w:r w:rsidR="00B15632">
              <w:t>beyond</w:t>
            </w:r>
            <w:r w:rsidRPr="009751DB">
              <w:t xml:space="preserve"> which no </w:t>
            </w:r>
            <w:r w:rsidR="00B15632">
              <w:t>significant</w:t>
            </w:r>
            <w:r w:rsidRPr="009751DB">
              <w:t xml:space="preserve"> </w:t>
            </w:r>
            <w:r w:rsidR="000E14A4">
              <w:t>difference</w:t>
            </w:r>
            <w:r w:rsidRPr="009751DB">
              <w:t xml:space="preserve"> </w:t>
            </w:r>
            <w:r w:rsidR="009751DB" w:rsidRPr="009751DB">
              <w:t>was</w:t>
            </w:r>
            <w:r w:rsidRPr="009751DB">
              <w:t xml:space="preserve"> observed in the results</w:t>
            </w:r>
          </w:p>
        </w:tc>
      </w:tr>
      <w:tr w:rsidR="003D0368" w14:paraId="09A142DA" w14:textId="77777777" w:rsidTr="6F83B6A8">
        <w:tc>
          <w:tcPr>
            <w:tcW w:w="2830" w:type="dxa"/>
            <w:vAlign w:val="center"/>
          </w:tcPr>
          <w:p w14:paraId="104091DB" w14:textId="72B54703" w:rsidR="003D0368" w:rsidRPr="009751DB" w:rsidRDefault="005B674C" w:rsidP="00315192">
            <w:pPr>
              <w:rPr>
                <w:rFonts w:cstheme="minorHAnsi"/>
              </w:rPr>
            </w:pPr>
            <w:r>
              <w:t>M</w:t>
            </w:r>
            <w:r w:rsidRPr="00734121">
              <w:t>aximum thickness</w:t>
            </w:r>
            <w:r>
              <w:t xml:space="preserve"> of </w:t>
            </w:r>
            <w:r w:rsidR="00F16ABE">
              <w:t>outer layer with proliferating cells</w:t>
            </w:r>
          </w:p>
        </w:tc>
        <w:tc>
          <w:tcPr>
            <w:tcW w:w="1251" w:type="dxa"/>
            <w:vAlign w:val="center"/>
          </w:tcPr>
          <w:p w14:paraId="18284B24" w14:textId="3337A66E" w:rsidR="003D0368" w:rsidRDefault="004F1A48" w:rsidP="004239B8">
            <w:pPr>
              <w:jc w:val="center"/>
              <w:rPr>
                <w:rFonts w:ascii="Calibri" w:eastAsia="Calibri" w:hAnsi="Calibri" w:cs="Times New Roman"/>
                <w:sz w:val="20"/>
                <w:szCs w:val="20"/>
              </w:rPr>
            </w:pPr>
            <m:oMathPara>
              <m:oMath>
                <m:sSubSup>
                  <m:sSubSupPr>
                    <m:ctrlPr>
                      <w:rPr>
                        <w:rFonts w:ascii="Cambria Math" w:hAnsi="Cambria Math"/>
                        <w:i/>
                      </w:rPr>
                    </m:ctrlPr>
                  </m:sSubSupPr>
                  <m:e>
                    <m:r>
                      <w:rPr>
                        <w:rFonts w:ascii="Cambria Math" w:hAnsi="Cambria Math"/>
                      </w:rPr>
                      <m:t>r</m:t>
                    </m:r>
                  </m:e>
                  <m:sub>
                    <m:r>
                      <w:rPr>
                        <w:rFonts w:ascii="Cambria Math" w:hAnsi="Cambria Math"/>
                      </w:rPr>
                      <m:t>shell</m:t>
                    </m:r>
                  </m:sub>
                  <m:sup>
                    <m:r>
                      <w:rPr>
                        <w:rFonts w:ascii="Cambria Math" w:hAnsi="Cambria Math"/>
                      </w:rPr>
                      <m:t>MAX</m:t>
                    </m:r>
                  </m:sup>
                </m:sSubSup>
              </m:oMath>
            </m:oMathPara>
          </w:p>
        </w:tc>
        <w:tc>
          <w:tcPr>
            <w:tcW w:w="893" w:type="dxa"/>
            <w:vAlign w:val="center"/>
          </w:tcPr>
          <w:p w14:paraId="5CD7551E" w14:textId="0355B13B" w:rsidR="003D0368" w:rsidRPr="009751DB" w:rsidRDefault="00AD07EB" w:rsidP="004239B8">
            <w:pPr>
              <w:jc w:val="center"/>
            </w:pPr>
            <w:r>
              <w:t>0.25</w:t>
            </w:r>
          </w:p>
        </w:tc>
        <w:tc>
          <w:tcPr>
            <w:tcW w:w="833" w:type="dxa"/>
            <w:vAlign w:val="center"/>
          </w:tcPr>
          <w:p w14:paraId="4BE94876" w14:textId="34382FC7" w:rsidR="003D0368" w:rsidRPr="009751DB" w:rsidRDefault="003D0368" w:rsidP="004239B8">
            <w:pPr>
              <w:jc w:val="center"/>
              <w:rPr>
                <w:rFonts w:cstheme="minorHAnsi"/>
              </w:rPr>
            </w:pPr>
            <w:r>
              <w:rPr>
                <w:rFonts w:cstheme="minorHAnsi"/>
              </w:rPr>
              <w:t>mm</w:t>
            </w:r>
          </w:p>
        </w:tc>
        <w:tc>
          <w:tcPr>
            <w:tcW w:w="3209" w:type="dxa"/>
            <w:vAlign w:val="center"/>
          </w:tcPr>
          <w:p w14:paraId="4F8DAFE2" w14:textId="60EC5F99" w:rsidR="003D0368" w:rsidRPr="009751DB" w:rsidRDefault="0043591A" w:rsidP="00315192">
            <w:r>
              <w:t>Plausible value taken</w:t>
            </w:r>
            <w:r w:rsidR="00014C11">
              <w:t xml:space="preserve"> from </w:t>
            </w:r>
            <w:r w:rsidR="005B674C" w:rsidRPr="00813AB5">
              <w:fldChar w:fldCharType="begin"/>
            </w:r>
            <w:r w:rsidR="00782AFE">
              <w:instrText xml:space="preserve"> ADDIN ZOTERO_ITEM CSL_CITATION {"citationID":"dkbcDMcq","properties":{"formattedCitation":"(2)","plainCitation":"(2)","noteIndex":0},"citationItems":[{"id":33539,"uris":["http://zotero.org/users/4189777/items/BHMZID3A"],"itemData":{"id":33539,"type":"article-journal","abstract":"The formation of hypoxic microenvironments within solid tumors is known to contribute to radiation resistance, chemotherapy resistance, immune suppression, increased metastasis, and an overall poor prognosis. It is therefore crucial to understand the spatial and molecular mechanisms that contribute to tumor hypoxia formation to improve the efﬁcacy of radiation treatment, develop hypoxia-directed therapies, and increase patient survival. The objective of this study is to present a number of complementary novel methods for quantifying tumor hypoxia and proliferation in multiplexed immunoﬂuorescence images, especially in relation to the location of perfused blood vessels. A standard marker analysis strategy is to take a positive pixel count approach, in which a threshold for positive stain is used to compute a positive area fraction for hypoxia. This work is a reassessment of that approach, utilizing not only cell segmentation but also distance to nearest blood vessel in order to incorporate spatial information into the analysis. We describe a reproducible pipeline for the visualization and quantitative analysis of hypoxia using a vessel distance analysis approach. This methodological pipeline can serve to further elucidate the relationship between vessel distance and microenvironment-linked markers such as hypoxia and proliferation, can help to quantify parameters relating to oxygen consumption and hypoxic tolerance in tissues, as well as potentially serve as a hypothesis generating tool for future studies testing hypoxia-linked markers.","container-title":"Frontiers in Bioengineering and Biotechnology","DOI":"10.3389/fbioe.2019.00397","ISSN":"2296-4185","journalAbbreviation":"Front. Bioeng. Biotechnol.","language":"en","page":"397","source":"DOI.org (Crossref)","title":"Quantitative Visualization of Hypoxia and Proliferation Gradients Within Histological Tissue Sections","volume":"7","author":[{"family":"Zaidi","given":"Mark"},{"family":"Fu","given":"Fred"},{"family":"Cojocari","given":"Dan"},{"family":"McKee","given":"Trevor D."},{"family":"Wouters","given":"Bradly G."}],"issued":{"date-parts":[["2019",12,5]]}}}],"schema":"https://github.com/citation-style-language/schema/raw/master/csl-citation.json"} </w:instrText>
            </w:r>
            <w:r w:rsidR="005B674C" w:rsidRPr="00813AB5">
              <w:fldChar w:fldCharType="separate"/>
            </w:r>
            <w:r w:rsidR="00782AFE" w:rsidRPr="00782AFE">
              <w:rPr>
                <w:rFonts w:ascii="Calibri" w:hAnsi="Calibri" w:cs="Calibri"/>
              </w:rPr>
              <w:t>(2)</w:t>
            </w:r>
            <w:r w:rsidR="005B674C" w:rsidRPr="00813AB5">
              <w:fldChar w:fldCharType="end"/>
            </w:r>
          </w:p>
        </w:tc>
      </w:tr>
      <w:tr w:rsidR="003D0368" w14:paraId="3BC42CEB" w14:textId="77777777" w:rsidTr="6F83B6A8">
        <w:tc>
          <w:tcPr>
            <w:tcW w:w="2830" w:type="dxa"/>
            <w:vAlign w:val="center"/>
          </w:tcPr>
          <w:p w14:paraId="37EB191A" w14:textId="5F30DA78" w:rsidR="003D0368" w:rsidRPr="009751DB" w:rsidRDefault="00D97A14" w:rsidP="00315192">
            <w:pPr>
              <w:rPr>
                <w:rFonts w:cstheme="minorHAnsi"/>
              </w:rPr>
            </w:pPr>
            <w:r>
              <w:rPr>
                <w:rFonts w:eastAsiaTheme="minorEastAsia"/>
              </w:rPr>
              <w:t>R</w:t>
            </w:r>
            <w:r w:rsidR="00DD5D45" w:rsidRPr="00734121">
              <w:rPr>
                <w:rFonts w:eastAsiaTheme="minorEastAsia"/>
              </w:rPr>
              <w:t>ate of core shrinkage</w:t>
            </w:r>
            <w:r>
              <w:rPr>
                <w:rFonts w:eastAsiaTheme="minorEastAsia"/>
              </w:rPr>
              <w:t xml:space="preserve"> (when outer layer depletes)</w:t>
            </w:r>
          </w:p>
        </w:tc>
        <w:tc>
          <w:tcPr>
            <w:tcW w:w="1251" w:type="dxa"/>
            <w:vAlign w:val="center"/>
          </w:tcPr>
          <w:p w14:paraId="512EBE7B" w14:textId="481B7FE1" w:rsidR="003D0368" w:rsidRDefault="004F1A48" w:rsidP="004239B8">
            <w:pPr>
              <w:jc w:val="center"/>
              <w:rPr>
                <w:rFonts w:ascii="Calibri" w:eastAsia="Calibri" w:hAnsi="Calibri" w:cs="Times New Roman"/>
                <w:sz w:val="20"/>
                <w:szCs w:val="20"/>
              </w:rPr>
            </w:pPr>
            <m:oMathPara>
              <m:oMath>
                <m:sSub>
                  <m:sSubPr>
                    <m:ctrlPr>
                      <w:rPr>
                        <w:rFonts w:ascii="Cambria Math" w:eastAsiaTheme="minorEastAsia" w:hAnsi="Cambria Math"/>
                        <w:i/>
                      </w:rPr>
                    </m:ctrlPr>
                  </m:sSubPr>
                  <m:e>
                    <m:r>
                      <w:rPr>
                        <w:rFonts w:ascii="Cambria Math" w:eastAsiaTheme="minorEastAsia" w:hAnsi="Cambria Math"/>
                      </w:rPr>
                      <m:t>s</m:t>
                    </m:r>
                  </m:e>
                  <m:sub>
                    <m:r>
                      <w:rPr>
                        <w:rFonts w:ascii="Cambria Math" w:eastAsiaTheme="minorEastAsia" w:hAnsi="Cambria Math"/>
                      </w:rPr>
                      <m:t>core</m:t>
                    </m:r>
                  </m:sub>
                </m:sSub>
              </m:oMath>
            </m:oMathPara>
          </w:p>
        </w:tc>
        <w:tc>
          <w:tcPr>
            <w:tcW w:w="893" w:type="dxa"/>
            <w:vAlign w:val="center"/>
          </w:tcPr>
          <w:p w14:paraId="094E4BD4" w14:textId="31F9FBAB" w:rsidR="003D0368" w:rsidRPr="009751DB" w:rsidRDefault="00D07E4E" w:rsidP="004239B8">
            <w:pPr>
              <w:jc w:val="center"/>
            </w:pPr>
            <w:r w:rsidRPr="00D07E4E">
              <w:t>0.005</w:t>
            </w:r>
          </w:p>
        </w:tc>
        <w:tc>
          <w:tcPr>
            <w:tcW w:w="833" w:type="dxa"/>
            <w:vAlign w:val="center"/>
          </w:tcPr>
          <w:p w14:paraId="1BBFC103" w14:textId="396126F1" w:rsidR="003D0368" w:rsidRPr="009751DB" w:rsidRDefault="009234BF" w:rsidP="004239B8">
            <w:pPr>
              <w:jc w:val="center"/>
              <w:rPr>
                <w:rFonts w:cstheme="minorHAnsi"/>
              </w:rPr>
            </w:pPr>
            <w:r>
              <w:rPr>
                <w:rFonts w:cstheme="minorHAnsi"/>
              </w:rPr>
              <w:t>/h</w:t>
            </w:r>
          </w:p>
        </w:tc>
        <w:tc>
          <w:tcPr>
            <w:tcW w:w="3209" w:type="dxa"/>
            <w:vAlign w:val="center"/>
          </w:tcPr>
          <w:p w14:paraId="265C3E06" w14:textId="14615887" w:rsidR="003D0368" w:rsidRPr="009751DB" w:rsidRDefault="00C22C27" w:rsidP="00315192">
            <w:r>
              <w:t>To fit the dynamics of tumour regression</w:t>
            </w:r>
          </w:p>
        </w:tc>
      </w:tr>
      <w:tr w:rsidR="00841754" w14:paraId="3E3D1397" w14:textId="77777777" w:rsidTr="6F83B6A8">
        <w:tc>
          <w:tcPr>
            <w:tcW w:w="2830" w:type="dxa"/>
            <w:vAlign w:val="center"/>
          </w:tcPr>
          <w:p w14:paraId="423B9D29" w14:textId="4E7148E0" w:rsidR="00841754" w:rsidRDefault="00841754" w:rsidP="00315192">
            <w:pPr>
              <w:rPr>
                <w:rFonts w:eastAsiaTheme="minorEastAsia"/>
              </w:rPr>
            </w:pPr>
            <w:r>
              <w:rPr>
                <w:rFonts w:eastAsiaTheme="minorEastAsia"/>
              </w:rPr>
              <w:t xml:space="preserve">Length </w:t>
            </w:r>
            <w:r w:rsidR="00D617AF">
              <w:rPr>
                <w:rFonts w:eastAsiaTheme="minorEastAsia"/>
              </w:rPr>
              <w:t xml:space="preserve">of </w:t>
            </w:r>
            <w:r>
              <w:rPr>
                <w:rFonts w:eastAsiaTheme="minorEastAsia"/>
              </w:rPr>
              <w:t>G1 phase</w:t>
            </w:r>
          </w:p>
        </w:tc>
        <w:tc>
          <w:tcPr>
            <w:tcW w:w="1251" w:type="dxa"/>
            <w:vAlign w:val="center"/>
          </w:tcPr>
          <w:p w14:paraId="040916E0" w14:textId="2604734C" w:rsidR="00841754" w:rsidRDefault="00841754" w:rsidP="004239B8">
            <w:pPr>
              <w:jc w:val="center"/>
              <w:rPr>
                <w:rFonts w:ascii="Calibri" w:eastAsia="Calibri" w:hAnsi="Calibri" w:cs="Calibri"/>
              </w:rPr>
            </w:pPr>
            <w:r>
              <w:rPr>
                <w:rFonts w:ascii="Calibri" w:eastAsia="Calibri" w:hAnsi="Calibri" w:cs="Calibri"/>
              </w:rPr>
              <w:t>-</w:t>
            </w:r>
          </w:p>
        </w:tc>
        <w:tc>
          <w:tcPr>
            <w:tcW w:w="893" w:type="dxa"/>
            <w:vAlign w:val="center"/>
          </w:tcPr>
          <w:p w14:paraId="6BBF2ED8" w14:textId="7435422C" w:rsidR="00841754" w:rsidRPr="00D07E4E" w:rsidRDefault="00841754" w:rsidP="004239B8">
            <w:pPr>
              <w:jc w:val="center"/>
            </w:pPr>
            <w:r>
              <w:rPr>
                <w:rFonts w:ascii="Calibri" w:eastAsia="Calibri" w:hAnsi="Calibri" w:cs="Calibri"/>
              </w:rPr>
              <w:t>0.5*</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d</m:t>
                  </m:r>
                </m:sub>
              </m:sSub>
            </m:oMath>
          </w:p>
        </w:tc>
        <w:tc>
          <w:tcPr>
            <w:tcW w:w="833" w:type="dxa"/>
            <w:vAlign w:val="center"/>
          </w:tcPr>
          <w:p w14:paraId="2074F966" w14:textId="38D8410A" w:rsidR="00841754" w:rsidRDefault="004239B8" w:rsidP="004239B8">
            <w:pPr>
              <w:jc w:val="center"/>
              <w:rPr>
                <w:rFonts w:cstheme="minorHAnsi"/>
              </w:rPr>
            </w:pPr>
            <w:r>
              <w:rPr>
                <w:rFonts w:cstheme="minorHAnsi"/>
              </w:rPr>
              <w:t>h</w:t>
            </w:r>
          </w:p>
        </w:tc>
        <w:tc>
          <w:tcPr>
            <w:tcW w:w="3209" w:type="dxa"/>
            <w:vMerge w:val="restart"/>
            <w:vAlign w:val="center"/>
          </w:tcPr>
          <w:p w14:paraId="42908B4E" w14:textId="5AC104B1" w:rsidR="00841754" w:rsidRDefault="5A9303A8" w:rsidP="00315192">
            <w:r>
              <w:t>Proportions in</w:t>
            </w:r>
            <w:r w:rsidR="2AC05E82">
              <w:t xml:space="preserve"> the range of </w:t>
            </w:r>
            <w:r>
              <w:t xml:space="preserve">typical rapidly proliferating </w:t>
            </w:r>
            <w:r w:rsidR="1DC3785A">
              <w:t>eukaryotic cell</w:t>
            </w:r>
            <w:r w:rsidR="6A11E186">
              <w:t xml:space="preserve"> </w:t>
            </w:r>
            <w:r w:rsidR="009325F2">
              <w:fldChar w:fldCharType="begin"/>
            </w:r>
            <w:r w:rsidR="00807072">
              <w:instrText xml:space="preserve"> ADDIN ZOTERO_ITEM CSL_CITATION {"citationID":"hTbH99pY","properties":{"formattedCitation":"(17)","plainCitation":"(17)","noteIndex":0},"citationItems":[{"id":34124,"uris":["http://zotero.org/users/4189777/items/GTVMCGE7"],"itemData":{"id":34124,"type":"book","edition":"Ninth edition","event-place":"New York, NY","ISBN":"978-0-19-758391-3","language":"eng","number-of-pages":"788","publisher":"Oxford University Press","publisher-place":"New York, NY","source":"K10plus ISBN","title":"The cell: a molecular approach","title-short":"The cell","author":[{"family":"Cooper","given":"Geoffrey M."},{"family":"Adams","given":"Kenneth W."}],"issued":{"date-parts":[["2023"]]}}}],"schema":"https://github.com/citation-style-language/schema/raw/master/csl-citation.json"} </w:instrText>
            </w:r>
            <w:r w:rsidR="009325F2">
              <w:fldChar w:fldCharType="separate"/>
            </w:r>
            <w:r w:rsidR="00807072" w:rsidRPr="00807072">
              <w:rPr>
                <w:rFonts w:ascii="Calibri" w:hAnsi="Calibri" w:cs="Calibri"/>
              </w:rPr>
              <w:t>(17)</w:t>
            </w:r>
            <w:r w:rsidR="009325F2">
              <w:fldChar w:fldCharType="end"/>
            </w:r>
          </w:p>
        </w:tc>
      </w:tr>
      <w:tr w:rsidR="00841754" w14:paraId="710374D3" w14:textId="77777777" w:rsidTr="6F83B6A8">
        <w:tc>
          <w:tcPr>
            <w:tcW w:w="2830" w:type="dxa"/>
            <w:vAlign w:val="center"/>
          </w:tcPr>
          <w:p w14:paraId="4BE2D31C" w14:textId="7D620187" w:rsidR="00841754" w:rsidRDefault="00851B7C" w:rsidP="00315192">
            <w:pPr>
              <w:rPr>
                <w:rFonts w:eastAsiaTheme="minorEastAsia"/>
              </w:rPr>
            </w:pPr>
            <w:r>
              <w:rPr>
                <w:rFonts w:eastAsiaTheme="minorEastAsia"/>
              </w:rPr>
              <w:t xml:space="preserve">Length </w:t>
            </w:r>
            <w:r w:rsidR="00D617AF">
              <w:rPr>
                <w:rFonts w:eastAsiaTheme="minorEastAsia"/>
              </w:rPr>
              <w:t xml:space="preserve">of </w:t>
            </w:r>
            <w:r>
              <w:rPr>
                <w:rFonts w:eastAsiaTheme="minorEastAsia"/>
              </w:rPr>
              <w:t>S phase</w:t>
            </w:r>
          </w:p>
        </w:tc>
        <w:tc>
          <w:tcPr>
            <w:tcW w:w="1251" w:type="dxa"/>
            <w:vAlign w:val="center"/>
          </w:tcPr>
          <w:p w14:paraId="57C9B568" w14:textId="5B0664B8" w:rsidR="00841754" w:rsidRDefault="004239B8" w:rsidP="004239B8">
            <w:pPr>
              <w:jc w:val="center"/>
              <w:rPr>
                <w:rFonts w:ascii="Calibri" w:eastAsia="Calibri" w:hAnsi="Calibri" w:cs="Calibri"/>
              </w:rPr>
            </w:pPr>
            <w:r>
              <w:rPr>
                <w:rFonts w:ascii="Calibri" w:eastAsia="Calibri" w:hAnsi="Calibri" w:cs="Calibri"/>
              </w:rPr>
              <w:t>-</w:t>
            </w:r>
          </w:p>
        </w:tc>
        <w:tc>
          <w:tcPr>
            <w:tcW w:w="893" w:type="dxa"/>
            <w:vAlign w:val="center"/>
          </w:tcPr>
          <w:p w14:paraId="7041479F" w14:textId="3F245A89" w:rsidR="00841754" w:rsidRPr="00D07E4E" w:rsidRDefault="00841754" w:rsidP="004239B8">
            <w:pPr>
              <w:jc w:val="center"/>
            </w:pPr>
            <w:r>
              <w:rPr>
                <w:rFonts w:ascii="Calibri" w:eastAsia="Calibri" w:hAnsi="Calibri" w:cs="Calibri"/>
              </w:rPr>
              <w:t>0.3*</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d</m:t>
                  </m:r>
                </m:sub>
              </m:sSub>
            </m:oMath>
          </w:p>
        </w:tc>
        <w:tc>
          <w:tcPr>
            <w:tcW w:w="833" w:type="dxa"/>
            <w:vAlign w:val="center"/>
          </w:tcPr>
          <w:p w14:paraId="13658DBC" w14:textId="5B4401A3" w:rsidR="00841754" w:rsidRDefault="004239B8" w:rsidP="004239B8">
            <w:pPr>
              <w:jc w:val="center"/>
              <w:rPr>
                <w:rFonts w:cstheme="minorHAnsi"/>
              </w:rPr>
            </w:pPr>
            <w:r>
              <w:rPr>
                <w:rFonts w:cstheme="minorHAnsi"/>
              </w:rPr>
              <w:t>h</w:t>
            </w:r>
          </w:p>
        </w:tc>
        <w:tc>
          <w:tcPr>
            <w:tcW w:w="3209" w:type="dxa"/>
            <w:vMerge/>
            <w:vAlign w:val="center"/>
          </w:tcPr>
          <w:p w14:paraId="39FB1939" w14:textId="77777777" w:rsidR="00841754" w:rsidRDefault="00841754" w:rsidP="00315192"/>
        </w:tc>
      </w:tr>
      <w:tr w:rsidR="00841754" w14:paraId="7AADB28D" w14:textId="77777777" w:rsidTr="6F83B6A8">
        <w:tc>
          <w:tcPr>
            <w:tcW w:w="2830" w:type="dxa"/>
            <w:vAlign w:val="center"/>
          </w:tcPr>
          <w:p w14:paraId="7A2D348D" w14:textId="1F31C55E" w:rsidR="00841754" w:rsidRDefault="00851B7C" w:rsidP="00315192">
            <w:pPr>
              <w:rPr>
                <w:rFonts w:eastAsiaTheme="minorEastAsia"/>
              </w:rPr>
            </w:pPr>
            <w:r>
              <w:rPr>
                <w:rFonts w:eastAsiaTheme="minorEastAsia"/>
              </w:rPr>
              <w:t xml:space="preserve">Length </w:t>
            </w:r>
            <w:r w:rsidR="00D617AF">
              <w:rPr>
                <w:rFonts w:eastAsiaTheme="minorEastAsia"/>
              </w:rPr>
              <w:t xml:space="preserve">of </w:t>
            </w:r>
            <w:r>
              <w:rPr>
                <w:rFonts w:eastAsiaTheme="minorEastAsia"/>
              </w:rPr>
              <w:t>G2 phase</w:t>
            </w:r>
          </w:p>
        </w:tc>
        <w:tc>
          <w:tcPr>
            <w:tcW w:w="1251" w:type="dxa"/>
            <w:vAlign w:val="center"/>
          </w:tcPr>
          <w:p w14:paraId="33460EA4" w14:textId="1F52DC42" w:rsidR="00841754" w:rsidRDefault="004239B8" w:rsidP="004239B8">
            <w:pPr>
              <w:jc w:val="center"/>
              <w:rPr>
                <w:rFonts w:ascii="Calibri" w:eastAsia="Calibri" w:hAnsi="Calibri" w:cs="Calibri"/>
              </w:rPr>
            </w:pPr>
            <w:r>
              <w:rPr>
                <w:rFonts w:ascii="Calibri" w:eastAsia="Calibri" w:hAnsi="Calibri" w:cs="Calibri"/>
              </w:rPr>
              <w:t>-</w:t>
            </w:r>
          </w:p>
        </w:tc>
        <w:tc>
          <w:tcPr>
            <w:tcW w:w="893" w:type="dxa"/>
            <w:vAlign w:val="center"/>
          </w:tcPr>
          <w:p w14:paraId="21AC8884" w14:textId="484198D6" w:rsidR="00841754" w:rsidRPr="00D07E4E" w:rsidRDefault="00841754" w:rsidP="004239B8">
            <w:pPr>
              <w:jc w:val="center"/>
            </w:pPr>
            <w:r>
              <w:rPr>
                <w:rFonts w:ascii="Calibri" w:eastAsia="Calibri" w:hAnsi="Calibri" w:cs="Calibri"/>
              </w:rPr>
              <w:t>0.</w:t>
            </w:r>
            <w:r w:rsidR="00C43299">
              <w:rPr>
                <w:rFonts w:ascii="Calibri" w:eastAsia="Calibri" w:hAnsi="Calibri" w:cs="Calibri"/>
              </w:rPr>
              <w:t>1</w:t>
            </w:r>
            <w:r>
              <w:rPr>
                <w:rFonts w:ascii="Calibri" w:eastAsia="Calibri" w:hAnsi="Calibri" w:cs="Calibri"/>
              </w:rPr>
              <w:t>5*</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d</m:t>
                  </m:r>
                </m:sub>
              </m:sSub>
            </m:oMath>
          </w:p>
        </w:tc>
        <w:tc>
          <w:tcPr>
            <w:tcW w:w="833" w:type="dxa"/>
            <w:vAlign w:val="center"/>
          </w:tcPr>
          <w:p w14:paraId="72FDE8BF" w14:textId="5AFF9E5C" w:rsidR="00841754" w:rsidRDefault="004239B8" w:rsidP="004239B8">
            <w:pPr>
              <w:jc w:val="center"/>
              <w:rPr>
                <w:rFonts w:cstheme="minorHAnsi"/>
              </w:rPr>
            </w:pPr>
            <w:r>
              <w:rPr>
                <w:rFonts w:cstheme="minorHAnsi"/>
              </w:rPr>
              <w:t>h</w:t>
            </w:r>
          </w:p>
        </w:tc>
        <w:tc>
          <w:tcPr>
            <w:tcW w:w="3209" w:type="dxa"/>
            <w:vMerge/>
            <w:vAlign w:val="center"/>
          </w:tcPr>
          <w:p w14:paraId="11D6DB74" w14:textId="77777777" w:rsidR="00841754" w:rsidRDefault="00841754" w:rsidP="00315192"/>
        </w:tc>
      </w:tr>
      <w:tr w:rsidR="00841754" w14:paraId="3EB8D2F1" w14:textId="77777777" w:rsidTr="6F83B6A8">
        <w:tc>
          <w:tcPr>
            <w:tcW w:w="2830" w:type="dxa"/>
            <w:vAlign w:val="center"/>
          </w:tcPr>
          <w:p w14:paraId="1AFE689C" w14:textId="1DFE48C4" w:rsidR="00841754" w:rsidRDefault="00851B7C" w:rsidP="00315192">
            <w:pPr>
              <w:rPr>
                <w:rFonts w:eastAsiaTheme="minorEastAsia"/>
              </w:rPr>
            </w:pPr>
            <w:r>
              <w:rPr>
                <w:rFonts w:eastAsiaTheme="minorEastAsia"/>
              </w:rPr>
              <w:t xml:space="preserve">Length </w:t>
            </w:r>
            <w:r w:rsidR="00D617AF">
              <w:rPr>
                <w:rFonts w:eastAsiaTheme="minorEastAsia"/>
              </w:rPr>
              <w:t xml:space="preserve">of </w:t>
            </w:r>
            <w:r>
              <w:rPr>
                <w:rFonts w:eastAsiaTheme="minorEastAsia"/>
              </w:rPr>
              <w:t>M phase</w:t>
            </w:r>
          </w:p>
        </w:tc>
        <w:tc>
          <w:tcPr>
            <w:tcW w:w="1251" w:type="dxa"/>
            <w:vAlign w:val="center"/>
          </w:tcPr>
          <w:p w14:paraId="2CFFEB6F" w14:textId="48D89BA7" w:rsidR="00841754" w:rsidRDefault="004239B8" w:rsidP="004239B8">
            <w:pPr>
              <w:jc w:val="center"/>
              <w:rPr>
                <w:rFonts w:ascii="Calibri" w:eastAsia="Calibri" w:hAnsi="Calibri" w:cs="Calibri"/>
              </w:rPr>
            </w:pPr>
            <w:r>
              <w:rPr>
                <w:rFonts w:ascii="Calibri" w:eastAsia="Calibri" w:hAnsi="Calibri" w:cs="Calibri"/>
              </w:rPr>
              <w:t>-</w:t>
            </w:r>
          </w:p>
        </w:tc>
        <w:tc>
          <w:tcPr>
            <w:tcW w:w="893" w:type="dxa"/>
            <w:vAlign w:val="center"/>
          </w:tcPr>
          <w:p w14:paraId="70F7D517" w14:textId="70B215C7" w:rsidR="00841754" w:rsidRPr="00D07E4E" w:rsidRDefault="00841754" w:rsidP="004239B8">
            <w:pPr>
              <w:jc w:val="center"/>
            </w:pPr>
            <w:r>
              <w:rPr>
                <w:rFonts w:ascii="Calibri" w:eastAsia="Calibri" w:hAnsi="Calibri" w:cs="Calibri"/>
              </w:rPr>
              <w:t>0.05*</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d</m:t>
                  </m:r>
                </m:sub>
              </m:sSub>
            </m:oMath>
          </w:p>
        </w:tc>
        <w:tc>
          <w:tcPr>
            <w:tcW w:w="833" w:type="dxa"/>
            <w:vAlign w:val="center"/>
          </w:tcPr>
          <w:p w14:paraId="6EB6D667" w14:textId="1B6B0897" w:rsidR="00841754" w:rsidRDefault="004239B8" w:rsidP="004239B8">
            <w:pPr>
              <w:jc w:val="center"/>
              <w:rPr>
                <w:rFonts w:cstheme="minorHAnsi"/>
              </w:rPr>
            </w:pPr>
            <w:r>
              <w:rPr>
                <w:rFonts w:cstheme="minorHAnsi"/>
              </w:rPr>
              <w:t>h</w:t>
            </w:r>
          </w:p>
        </w:tc>
        <w:tc>
          <w:tcPr>
            <w:tcW w:w="3209" w:type="dxa"/>
            <w:vMerge/>
            <w:vAlign w:val="center"/>
          </w:tcPr>
          <w:p w14:paraId="774C21C7" w14:textId="577C329C" w:rsidR="00841754" w:rsidRDefault="00841754" w:rsidP="00315192"/>
        </w:tc>
      </w:tr>
      <w:tr w:rsidR="00682734" w14:paraId="3A85A7B7" w14:textId="77777777" w:rsidTr="6F83B6A8">
        <w:trPr>
          <w:trHeight w:val="572"/>
        </w:trPr>
        <w:tc>
          <w:tcPr>
            <w:tcW w:w="2830" w:type="dxa"/>
            <w:vAlign w:val="center"/>
          </w:tcPr>
          <w:p w14:paraId="5EBCB3BA" w14:textId="2BF4A3D4" w:rsidR="00682734" w:rsidRPr="00877EB7" w:rsidRDefault="00682734" w:rsidP="00315192">
            <w:r w:rsidRPr="00877EB7">
              <w:rPr>
                <w:rFonts w:cstheme="minorHAnsi"/>
              </w:rPr>
              <w:t>Rate of endogenous generation of DSB damage</w:t>
            </w:r>
          </w:p>
        </w:tc>
        <w:tc>
          <w:tcPr>
            <w:tcW w:w="1251" w:type="dxa"/>
            <w:vAlign w:val="center"/>
          </w:tcPr>
          <w:p w14:paraId="72B088FA" w14:textId="5A043253" w:rsidR="00682734" w:rsidRPr="00877EB7" w:rsidRDefault="004F1A48" w:rsidP="004239B8">
            <w:pPr>
              <w:jc w:val="center"/>
            </w:pPr>
            <m:oMathPara>
              <m:oMath>
                <m:sSub>
                  <m:sSubPr>
                    <m:ctrlPr>
                      <w:rPr>
                        <w:rFonts w:ascii="Cambria Math" w:hAnsi="Cambria Math" w:cstheme="minorHAnsi"/>
                        <w:sz w:val="20"/>
                        <w:szCs w:val="20"/>
                      </w:rPr>
                    </m:ctrlPr>
                  </m:sSubPr>
                  <m:e>
                    <m:r>
                      <w:rPr>
                        <w:rFonts w:ascii="Cambria Math" w:hAnsi="Cambria Math" w:cstheme="minorHAnsi"/>
                        <w:sz w:val="20"/>
                        <w:szCs w:val="20"/>
                      </w:rPr>
                      <m:t>r</m:t>
                    </m:r>
                  </m:e>
                  <m:sub>
                    <m:r>
                      <w:rPr>
                        <w:rFonts w:ascii="Cambria Math" w:hAnsi="Cambria Math" w:cstheme="minorHAnsi"/>
                        <w:sz w:val="20"/>
                        <w:szCs w:val="20"/>
                      </w:rPr>
                      <m:t>dsb</m:t>
                    </m:r>
                  </m:sub>
                </m:sSub>
              </m:oMath>
            </m:oMathPara>
          </w:p>
        </w:tc>
        <w:tc>
          <w:tcPr>
            <w:tcW w:w="893" w:type="dxa"/>
            <w:vAlign w:val="center"/>
          </w:tcPr>
          <w:p w14:paraId="0847CD00" w14:textId="0D1597E6" w:rsidR="00682734" w:rsidRPr="00877EB7" w:rsidRDefault="00682734" w:rsidP="004239B8">
            <w:pPr>
              <w:jc w:val="center"/>
            </w:pPr>
            <w:r w:rsidRPr="00877EB7">
              <w:t>0</w:t>
            </w:r>
          </w:p>
        </w:tc>
        <w:tc>
          <w:tcPr>
            <w:tcW w:w="833" w:type="dxa"/>
            <w:vAlign w:val="center"/>
          </w:tcPr>
          <w:p w14:paraId="45903817" w14:textId="58D288BA" w:rsidR="00682734" w:rsidRPr="00877EB7" w:rsidRDefault="00682734" w:rsidP="004239B8">
            <w:pPr>
              <w:jc w:val="center"/>
            </w:pPr>
            <w:r w:rsidRPr="00877EB7">
              <w:rPr>
                <w:rFonts w:cstheme="minorHAnsi"/>
              </w:rPr>
              <w:t>DAU/h</w:t>
            </w:r>
          </w:p>
        </w:tc>
        <w:tc>
          <w:tcPr>
            <w:tcW w:w="3209" w:type="dxa"/>
            <w:vAlign w:val="center"/>
          </w:tcPr>
          <w:p w14:paraId="48C4A1F2" w14:textId="5AAF4894" w:rsidR="00717541" w:rsidRPr="00877EB7" w:rsidRDefault="00702E40" w:rsidP="00315192">
            <w:pPr>
              <w:rPr>
                <w:color w:val="FF0000"/>
              </w:rPr>
            </w:pPr>
            <w:r w:rsidRPr="00D900DB">
              <w:t>The</w:t>
            </w:r>
            <w:r w:rsidR="00717541" w:rsidRPr="00D900DB">
              <w:t xml:space="preserve"> main endogenous source</w:t>
            </w:r>
            <w:r w:rsidR="00877EB7" w:rsidRPr="00D900DB">
              <w:t xml:space="preserve"> of DSBs</w:t>
            </w:r>
            <w:r w:rsidR="00717541" w:rsidRPr="00D900DB">
              <w:t xml:space="preserve"> is </w:t>
            </w:r>
            <w:r w:rsidR="002B18D6" w:rsidRPr="00D900DB">
              <w:t xml:space="preserve">fork collapse </w:t>
            </w:r>
            <w:r w:rsidR="00D900DB" w:rsidRPr="00D900DB">
              <w:t xml:space="preserve">triggered by SSBs </w:t>
            </w:r>
            <w:r w:rsidR="002B18D6" w:rsidRPr="00D900DB">
              <w:t xml:space="preserve">during </w:t>
            </w:r>
            <w:r w:rsidR="002B5C63" w:rsidRPr="00D900DB">
              <w:t xml:space="preserve">DNA </w:t>
            </w:r>
            <w:r w:rsidR="00717541" w:rsidRPr="00D900DB">
              <w:t>replication</w:t>
            </w:r>
            <w:r w:rsidR="00B750A7">
              <w:t>, i.e. SSBs converted into DSBs</w:t>
            </w:r>
            <w:r w:rsidR="002020D3">
              <w:t xml:space="preserve"> during S phase</w:t>
            </w:r>
            <w:r w:rsidR="00D900DB" w:rsidRPr="00D900DB">
              <w:t xml:space="preserve"> </w:t>
            </w:r>
            <w:r w:rsidR="009B3EEC" w:rsidRPr="00D900DB">
              <w:fldChar w:fldCharType="begin"/>
            </w:r>
            <w:r w:rsidR="00807072">
              <w:instrText xml:space="preserve"> ADDIN ZOTERO_ITEM CSL_CITATION {"citationID":"q6LnnuaQ","properties":{"formattedCitation":"(18)","plainCitation":"(18)","noteIndex":0},"citationItems":[{"id":34141,"uris":["http://zotero.org/users/4189777/items/S7DYNU86"],"itemData":{"id":34141,"type":"article-journal","container-title":"Mutagenesis","DOI":"10.1093/mutage/15.4.289","ISSN":"14643804","issue":"4","page":"289-302","source":"DOI.org (Crossref)","title":"Mechanisms of DNA double-strand break repair and their potential to induce chromosomal aberrations","volume":"15","author":[{"family":"Pfeiffer","given":"P."}],"issued":{"date-parts":[["2000",7,1]]}}}],"schema":"https://github.com/citation-style-language/schema/raw/master/csl-citation.json"} </w:instrText>
            </w:r>
            <w:r w:rsidR="009B3EEC" w:rsidRPr="00D900DB">
              <w:fldChar w:fldCharType="separate"/>
            </w:r>
            <w:r w:rsidR="00807072" w:rsidRPr="00807072">
              <w:rPr>
                <w:rFonts w:ascii="Calibri" w:hAnsi="Calibri" w:cs="Calibri"/>
              </w:rPr>
              <w:t>(18)</w:t>
            </w:r>
            <w:r w:rsidR="009B3EEC" w:rsidRPr="00D900DB">
              <w:fldChar w:fldCharType="end"/>
            </w:r>
          </w:p>
        </w:tc>
      </w:tr>
      <w:tr w:rsidR="00682734" w14:paraId="45FB2C7F" w14:textId="77777777" w:rsidTr="6F83B6A8">
        <w:tc>
          <w:tcPr>
            <w:tcW w:w="2830" w:type="dxa"/>
            <w:vAlign w:val="center"/>
          </w:tcPr>
          <w:p w14:paraId="347FF96A" w14:textId="5CA1CE2A" w:rsidR="00682734" w:rsidRPr="009751DB" w:rsidRDefault="00682734" w:rsidP="00315192">
            <w:r w:rsidRPr="009751DB">
              <w:rPr>
                <w:rFonts w:cstheme="minorHAnsi"/>
              </w:rPr>
              <w:t>Baseline rate of transformation of SSB into lethal DSB</w:t>
            </w:r>
            <w:r w:rsidR="006A3162">
              <w:rPr>
                <w:rFonts w:cstheme="minorHAnsi"/>
              </w:rPr>
              <w:t xml:space="preserve"> (S phase)</w:t>
            </w:r>
          </w:p>
        </w:tc>
        <w:tc>
          <w:tcPr>
            <w:tcW w:w="1251" w:type="dxa"/>
            <w:vAlign w:val="center"/>
          </w:tcPr>
          <w:p w14:paraId="4EF0CA50" w14:textId="47B010D9" w:rsidR="00682734" w:rsidRDefault="004F1A48" w:rsidP="004239B8">
            <w:pPr>
              <w:jc w:val="center"/>
            </w:pPr>
            <m:oMathPara>
              <m:oMath>
                <m:sSub>
                  <m:sSubPr>
                    <m:ctrlPr>
                      <w:rPr>
                        <w:rFonts w:ascii="Cambria Math" w:hAnsi="Cambria Math" w:cstheme="minorHAnsi"/>
                        <w:sz w:val="20"/>
                        <w:szCs w:val="20"/>
                      </w:rPr>
                    </m:ctrlPr>
                  </m:sSubPr>
                  <m:e>
                    <m:r>
                      <w:rPr>
                        <w:rFonts w:ascii="Cambria Math" w:hAnsi="Cambria Math" w:cstheme="minorHAnsi"/>
                        <w:sz w:val="20"/>
                        <w:szCs w:val="20"/>
                      </w:rPr>
                      <m:t>r</m:t>
                    </m:r>
                  </m:e>
                  <m:sub>
                    <m:r>
                      <w:rPr>
                        <w:rFonts w:ascii="Cambria Math" w:hAnsi="Cambria Math" w:cstheme="minorHAnsi"/>
                        <w:sz w:val="20"/>
                        <w:szCs w:val="20"/>
                      </w:rPr>
                      <m:t>conv</m:t>
                    </m:r>
                  </m:sub>
                </m:sSub>
              </m:oMath>
            </m:oMathPara>
          </w:p>
        </w:tc>
        <w:tc>
          <w:tcPr>
            <w:tcW w:w="893" w:type="dxa"/>
            <w:vAlign w:val="center"/>
          </w:tcPr>
          <w:p w14:paraId="2C901A7F" w14:textId="270A5356" w:rsidR="00682734" w:rsidRPr="009751DB" w:rsidRDefault="00682734" w:rsidP="004239B8">
            <w:pPr>
              <w:jc w:val="center"/>
            </w:pPr>
            <w:r>
              <w:t>0.03</w:t>
            </w:r>
          </w:p>
        </w:tc>
        <w:tc>
          <w:tcPr>
            <w:tcW w:w="833" w:type="dxa"/>
            <w:vAlign w:val="center"/>
          </w:tcPr>
          <w:p w14:paraId="2F553C73" w14:textId="5BAF89BD" w:rsidR="00682734" w:rsidRPr="009751DB" w:rsidRDefault="00682734" w:rsidP="004239B8">
            <w:pPr>
              <w:jc w:val="center"/>
            </w:pPr>
            <w:r w:rsidRPr="009751DB">
              <w:rPr>
                <w:rFonts w:cstheme="minorHAnsi"/>
              </w:rPr>
              <w:t>/h</w:t>
            </w:r>
          </w:p>
        </w:tc>
        <w:tc>
          <w:tcPr>
            <w:tcW w:w="3209" w:type="dxa"/>
            <w:vAlign w:val="center"/>
          </w:tcPr>
          <w:p w14:paraId="73FCD819" w14:textId="1A9278D0" w:rsidR="00682734" w:rsidRPr="009751DB" w:rsidRDefault="00C05C5C" w:rsidP="00315192">
            <w:r>
              <w:t>To fit the TGI data</w:t>
            </w:r>
          </w:p>
        </w:tc>
      </w:tr>
      <w:tr w:rsidR="00F06066" w14:paraId="0A964414" w14:textId="77777777" w:rsidTr="6F83B6A8">
        <w:tc>
          <w:tcPr>
            <w:tcW w:w="2830" w:type="dxa"/>
            <w:vAlign w:val="center"/>
          </w:tcPr>
          <w:p w14:paraId="05330F8D" w14:textId="492D7B48" w:rsidR="00F06066" w:rsidRPr="009751DB" w:rsidRDefault="00E140C4" w:rsidP="00315192">
            <w:pPr>
              <w:rPr>
                <w:rFonts w:cstheme="minorHAnsi"/>
              </w:rPr>
            </w:pPr>
            <w:r w:rsidRPr="00E140C4">
              <w:rPr>
                <w:rFonts w:cstheme="minorHAnsi"/>
              </w:rPr>
              <w:t>Baseline rate of SSB damage repair</w:t>
            </w:r>
          </w:p>
        </w:tc>
        <w:tc>
          <w:tcPr>
            <w:tcW w:w="1251" w:type="dxa"/>
            <w:vAlign w:val="center"/>
          </w:tcPr>
          <w:p w14:paraId="12E858DC" w14:textId="0FA164E7" w:rsidR="00F06066" w:rsidRDefault="004F1A48" w:rsidP="004239B8">
            <w:pPr>
              <w:jc w:val="center"/>
              <w:rPr>
                <w:rFonts w:ascii="Calibri" w:eastAsia="Calibri" w:hAnsi="Calibri" w:cs="Times New Roman"/>
                <w:sz w:val="20"/>
                <w:szCs w:val="20"/>
              </w:rPr>
            </w:pPr>
            <m:oMathPara>
              <m:oMath>
                <m:sSub>
                  <m:sSubPr>
                    <m:ctrlPr>
                      <w:rPr>
                        <w:rFonts w:ascii="Cambria Math" w:hAnsi="Cambria Math" w:cstheme="minorHAnsi"/>
                        <w:sz w:val="20"/>
                        <w:szCs w:val="20"/>
                      </w:rPr>
                    </m:ctrlPr>
                  </m:sSubPr>
                  <m:e>
                    <m:r>
                      <w:rPr>
                        <w:rFonts w:ascii="Cambria Math" w:hAnsi="Cambria Math" w:cstheme="minorHAnsi"/>
                        <w:sz w:val="20"/>
                        <w:szCs w:val="20"/>
                      </w:rPr>
                      <m:t>rep</m:t>
                    </m:r>
                  </m:e>
                  <m:sub>
                    <m:r>
                      <w:rPr>
                        <w:rFonts w:ascii="Cambria Math" w:hAnsi="Cambria Math" w:cstheme="minorHAnsi"/>
                        <w:sz w:val="20"/>
                        <w:szCs w:val="20"/>
                      </w:rPr>
                      <m:t>ssb</m:t>
                    </m:r>
                  </m:sub>
                </m:sSub>
              </m:oMath>
            </m:oMathPara>
          </w:p>
        </w:tc>
        <w:tc>
          <w:tcPr>
            <w:tcW w:w="893" w:type="dxa"/>
            <w:vAlign w:val="center"/>
          </w:tcPr>
          <w:p w14:paraId="76A5B215" w14:textId="500C7E94" w:rsidR="00F06066" w:rsidRDefault="007E7706" w:rsidP="004239B8">
            <w:pPr>
              <w:jc w:val="center"/>
            </w:pPr>
            <w:r>
              <w:t>0.35</w:t>
            </w:r>
          </w:p>
        </w:tc>
        <w:tc>
          <w:tcPr>
            <w:tcW w:w="833" w:type="dxa"/>
            <w:vAlign w:val="center"/>
          </w:tcPr>
          <w:p w14:paraId="4DADB861" w14:textId="3D66745F" w:rsidR="00F06066" w:rsidRPr="009751DB" w:rsidRDefault="007E7706" w:rsidP="004239B8">
            <w:pPr>
              <w:jc w:val="center"/>
              <w:rPr>
                <w:rFonts w:cstheme="minorHAnsi"/>
              </w:rPr>
            </w:pPr>
            <w:r>
              <w:rPr>
                <w:rFonts w:cstheme="minorHAnsi"/>
              </w:rPr>
              <w:t>/h</w:t>
            </w:r>
          </w:p>
        </w:tc>
        <w:tc>
          <w:tcPr>
            <w:tcW w:w="3209" w:type="dxa"/>
            <w:vAlign w:val="center"/>
          </w:tcPr>
          <w:p w14:paraId="1C8738AF" w14:textId="473F6D39" w:rsidR="00F06066" w:rsidRPr="009751DB" w:rsidRDefault="007E7706" w:rsidP="00315192">
            <w:r>
              <w:t>To fit the TGI data</w:t>
            </w:r>
          </w:p>
        </w:tc>
      </w:tr>
      <w:tr w:rsidR="00F06066" w14:paraId="43CB941B" w14:textId="77777777" w:rsidTr="6F83B6A8">
        <w:tc>
          <w:tcPr>
            <w:tcW w:w="2830" w:type="dxa"/>
            <w:vAlign w:val="center"/>
          </w:tcPr>
          <w:p w14:paraId="484D9482" w14:textId="6E44E18F" w:rsidR="00F06066" w:rsidRPr="009751DB" w:rsidRDefault="005102E9" w:rsidP="00315192">
            <w:pPr>
              <w:rPr>
                <w:rFonts w:cstheme="minorHAnsi"/>
              </w:rPr>
            </w:pPr>
            <w:r w:rsidRPr="00E140C4">
              <w:rPr>
                <w:rFonts w:cstheme="minorHAnsi"/>
              </w:rPr>
              <w:t xml:space="preserve">Baseline rate of </w:t>
            </w:r>
            <w:r>
              <w:rPr>
                <w:rFonts w:cstheme="minorHAnsi"/>
              </w:rPr>
              <w:t>D</w:t>
            </w:r>
            <w:r w:rsidRPr="00E140C4">
              <w:rPr>
                <w:rFonts w:cstheme="minorHAnsi"/>
              </w:rPr>
              <w:t>SB damage repair</w:t>
            </w:r>
          </w:p>
        </w:tc>
        <w:tc>
          <w:tcPr>
            <w:tcW w:w="1251" w:type="dxa"/>
            <w:vAlign w:val="center"/>
          </w:tcPr>
          <w:p w14:paraId="63471278" w14:textId="0481D089" w:rsidR="00F06066" w:rsidRDefault="004F1A48" w:rsidP="004239B8">
            <w:pPr>
              <w:jc w:val="center"/>
              <w:rPr>
                <w:rFonts w:ascii="Calibri" w:eastAsia="Calibri" w:hAnsi="Calibri" w:cs="Times New Roman"/>
                <w:sz w:val="20"/>
                <w:szCs w:val="20"/>
              </w:rPr>
            </w:pPr>
            <m:oMathPara>
              <m:oMath>
                <m:sSub>
                  <m:sSubPr>
                    <m:ctrlPr>
                      <w:rPr>
                        <w:rFonts w:ascii="Cambria Math" w:hAnsi="Cambria Math" w:cstheme="minorHAnsi"/>
                        <w:sz w:val="20"/>
                        <w:szCs w:val="20"/>
                      </w:rPr>
                    </m:ctrlPr>
                  </m:sSubPr>
                  <m:e>
                    <m:r>
                      <w:rPr>
                        <w:rFonts w:ascii="Cambria Math" w:hAnsi="Cambria Math" w:cstheme="minorHAnsi"/>
                        <w:sz w:val="20"/>
                        <w:szCs w:val="20"/>
                      </w:rPr>
                      <m:t>rep</m:t>
                    </m:r>
                  </m:e>
                  <m:sub>
                    <m:r>
                      <w:rPr>
                        <w:rFonts w:ascii="Cambria Math" w:hAnsi="Cambria Math" w:cstheme="minorHAnsi"/>
                        <w:sz w:val="20"/>
                        <w:szCs w:val="20"/>
                      </w:rPr>
                      <m:t>dsb</m:t>
                    </m:r>
                  </m:sub>
                </m:sSub>
              </m:oMath>
            </m:oMathPara>
          </w:p>
        </w:tc>
        <w:tc>
          <w:tcPr>
            <w:tcW w:w="893" w:type="dxa"/>
            <w:vAlign w:val="center"/>
          </w:tcPr>
          <w:p w14:paraId="389C7E3B" w14:textId="3A8F20B5" w:rsidR="00F06066" w:rsidRDefault="005102E9" w:rsidP="004239B8">
            <w:pPr>
              <w:jc w:val="center"/>
            </w:pPr>
            <w:r>
              <w:t>0.1</w:t>
            </w:r>
          </w:p>
        </w:tc>
        <w:tc>
          <w:tcPr>
            <w:tcW w:w="833" w:type="dxa"/>
            <w:vAlign w:val="center"/>
          </w:tcPr>
          <w:p w14:paraId="66A361D7" w14:textId="6D4BA621" w:rsidR="00F06066" w:rsidRPr="009751DB" w:rsidRDefault="005102E9" w:rsidP="004239B8">
            <w:pPr>
              <w:jc w:val="center"/>
              <w:rPr>
                <w:rFonts w:cstheme="minorHAnsi"/>
              </w:rPr>
            </w:pPr>
            <w:r>
              <w:rPr>
                <w:rFonts w:cstheme="minorHAnsi"/>
              </w:rPr>
              <w:t>/h</w:t>
            </w:r>
          </w:p>
        </w:tc>
        <w:tc>
          <w:tcPr>
            <w:tcW w:w="3209" w:type="dxa"/>
            <w:vAlign w:val="center"/>
          </w:tcPr>
          <w:p w14:paraId="24ED6F17" w14:textId="2A8AA1DB" w:rsidR="00F06066" w:rsidRPr="009751DB" w:rsidRDefault="005102E9" w:rsidP="00315192">
            <w:r>
              <w:t>To fit the TGI data</w:t>
            </w:r>
            <w:r w:rsidR="00705CD9">
              <w:t xml:space="preserve">, but slower than </w:t>
            </w:r>
            <w:r w:rsidR="00705CD9" w:rsidRPr="00E140C4">
              <w:rPr>
                <w:rFonts w:cstheme="minorHAnsi"/>
              </w:rPr>
              <w:t>SSB</w:t>
            </w:r>
            <w:r w:rsidR="00705CD9">
              <w:rPr>
                <w:rFonts w:cstheme="minorHAnsi"/>
              </w:rPr>
              <w:t xml:space="preserve"> repair </w:t>
            </w:r>
          </w:p>
        </w:tc>
      </w:tr>
      <w:tr w:rsidR="00931E0F" w14:paraId="437B50EA" w14:textId="77777777" w:rsidTr="6F83B6A8">
        <w:tc>
          <w:tcPr>
            <w:tcW w:w="2830" w:type="dxa"/>
            <w:vAlign w:val="center"/>
          </w:tcPr>
          <w:p w14:paraId="3CA98885" w14:textId="19B005A7" w:rsidR="00931E0F" w:rsidRPr="00E140C4" w:rsidRDefault="00257C95" w:rsidP="00315192">
            <w:pPr>
              <w:rPr>
                <w:rFonts w:cstheme="minorHAnsi"/>
              </w:rPr>
            </w:pPr>
            <w:r w:rsidRPr="00E140C4">
              <w:rPr>
                <w:rFonts w:cstheme="minorHAnsi"/>
              </w:rPr>
              <w:t xml:space="preserve">Baseline </w:t>
            </w:r>
            <w:r>
              <w:rPr>
                <w:rFonts w:cstheme="minorHAnsi"/>
              </w:rPr>
              <w:t>r</w:t>
            </w:r>
            <w:r w:rsidR="0001142B" w:rsidRPr="0001142B">
              <w:rPr>
                <w:rFonts w:cstheme="minorHAnsi"/>
              </w:rPr>
              <w:t>ate of damage-induced cell death</w:t>
            </w:r>
          </w:p>
        </w:tc>
        <w:tc>
          <w:tcPr>
            <w:tcW w:w="1251" w:type="dxa"/>
            <w:vAlign w:val="center"/>
          </w:tcPr>
          <w:p w14:paraId="4EE71FD2" w14:textId="3EBE2D66" w:rsidR="00931E0F" w:rsidRDefault="004F1A48" w:rsidP="004239B8">
            <w:pPr>
              <w:jc w:val="center"/>
              <w:rPr>
                <w:rFonts w:ascii="Calibri" w:eastAsia="Calibri" w:hAnsi="Calibri" w:cs="Calibri"/>
                <w:sz w:val="20"/>
                <w:szCs w:val="20"/>
              </w:rPr>
            </w:pPr>
            <m:oMathPara>
              <m:oMath>
                <m:sSub>
                  <m:sSubPr>
                    <m:ctrlPr>
                      <w:rPr>
                        <w:rFonts w:ascii="Cambria Math" w:hAnsi="Cambria Math" w:cstheme="minorHAnsi"/>
                        <w:sz w:val="20"/>
                        <w:szCs w:val="20"/>
                      </w:rPr>
                    </m:ctrlPr>
                  </m:sSubPr>
                  <m:e>
                    <m:r>
                      <w:rPr>
                        <w:rFonts w:ascii="Cambria Math" w:hAnsi="Cambria Math" w:cstheme="minorHAnsi"/>
                        <w:sz w:val="20"/>
                        <w:szCs w:val="20"/>
                      </w:rPr>
                      <m:t>r</m:t>
                    </m:r>
                  </m:e>
                  <m:sub>
                    <m:r>
                      <w:rPr>
                        <w:rFonts w:ascii="Cambria Math" w:hAnsi="Cambria Math" w:cstheme="minorHAnsi"/>
                        <w:sz w:val="20"/>
                        <w:szCs w:val="20"/>
                      </w:rPr>
                      <m:t>kill</m:t>
                    </m:r>
                  </m:sub>
                </m:sSub>
              </m:oMath>
            </m:oMathPara>
          </w:p>
        </w:tc>
        <w:tc>
          <w:tcPr>
            <w:tcW w:w="893" w:type="dxa"/>
            <w:vAlign w:val="center"/>
          </w:tcPr>
          <w:p w14:paraId="13BC9C66" w14:textId="29B1C871" w:rsidR="00931E0F" w:rsidRDefault="0001142B" w:rsidP="004239B8">
            <w:pPr>
              <w:jc w:val="center"/>
            </w:pPr>
            <w:r>
              <w:t>3</w:t>
            </w:r>
          </w:p>
        </w:tc>
        <w:tc>
          <w:tcPr>
            <w:tcW w:w="833" w:type="dxa"/>
            <w:vAlign w:val="center"/>
          </w:tcPr>
          <w:p w14:paraId="45C8B81E" w14:textId="31AE6A24" w:rsidR="00931E0F" w:rsidRDefault="00545AA0" w:rsidP="004239B8">
            <w:pPr>
              <w:jc w:val="center"/>
              <w:rPr>
                <w:rFonts w:cstheme="minorHAnsi"/>
              </w:rPr>
            </w:pPr>
            <w:r w:rsidRPr="00EC299B">
              <w:rPr>
                <w:rStyle w:val="cf01"/>
                <w:rFonts w:cstheme="minorHAnsi"/>
                <w:sz w:val="20"/>
                <w:szCs w:val="20"/>
              </w:rPr>
              <w:t>/DAU/h</w:t>
            </w:r>
          </w:p>
        </w:tc>
        <w:tc>
          <w:tcPr>
            <w:tcW w:w="3209" w:type="dxa"/>
            <w:vAlign w:val="center"/>
          </w:tcPr>
          <w:p w14:paraId="404C202E" w14:textId="3BFB2BE0" w:rsidR="00931E0F" w:rsidRDefault="0001142B" w:rsidP="00315192">
            <w:r>
              <w:t>To fit the TGI data</w:t>
            </w:r>
          </w:p>
        </w:tc>
      </w:tr>
      <w:tr w:rsidR="00931E0F" w14:paraId="71E68F27" w14:textId="77777777" w:rsidTr="6F83B6A8">
        <w:tc>
          <w:tcPr>
            <w:tcW w:w="2830" w:type="dxa"/>
            <w:vAlign w:val="center"/>
          </w:tcPr>
          <w:p w14:paraId="7D7E882E" w14:textId="5310A14F" w:rsidR="00931E0F" w:rsidRPr="00E140C4" w:rsidRDefault="00683CC8" w:rsidP="00315192">
            <w:pPr>
              <w:rPr>
                <w:rFonts w:cstheme="minorHAnsi"/>
              </w:rPr>
            </w:pPr>
            <w:r>
              <w:rPr>
                <w:rFonts w:cstheme="minorHAnsi"/>
              </w:rPr>
              <w:t>R</w:t>
            </w:r>
            <w:r w:rsidRPr="0001142B">
              <w:rPr>
                <w:rFonts w:cstheme="minorHAnsi"/>
              </w:rPr>
              <w:t>ate of damage-induced cell death</w:t>
            </w:r>
            <w:r>
              <w:rPr>
                <w:rFonts w:cstheme="minorHAnsi"/>
              </w:rPr>
              <w:t xml:space="preserve"> in G1</w:t>
            </w:r>
            <w:r w:rsidR="00C11D5B">
              <w:rPr>
                <w:rFonts w:cstheme="minorHAnsi"/>
              </w:rPr>
              <w:t xml:space="preserve"> phase</w:t>
            </w:r>
          </w:p>
        </w:tc>
        <w:tc>
          <w:tcPr>
            <w:tcW w:w="1251" w:type="dxa"/>
            <w:vAlign w:val="center"/>
          </w:tcPr>
          <w:p w14:paraId="7A3B3947" w14:textId="7D87906A" w:rsidR="00931E0F" w:rsidRDefault="004F1A48" w:rsidP="004239B8">
            <w:pPr>
              <w:jc w:val="center"/>
              <w:rPr>
                <w:rFonts w:ascii="Calibri" w:eastAsia="Calibri" w:hAnsi="Calibri" w:cs="Calibri"/>
                <w:sz w:val="20"/>
                <w:szCs w:val="20"/>
              </w:rPr>
            </w:pPr>
            <m:oMathPara>
              <m:oMath>
                <m:sSubSup>
                  <m:sSubSupPr>
                    <m:ctrlPr>
                      <w:rPr>
                        <w:rFonts w:ascii="Cambria Math" w:eastAsiaTheme="minorEastAsia" w:hAnsi="Cambria Math" w:cstheme="minorHAnsi"/>
                        <w:i/>
                        <w:sz w:val="20"/>
                        <w:szCs w:val="20"/>
                      </w:rPr>
                    </m:ctrlPr>
                  </m:sSubSupPr>
                  <m:e>
                    <m:r>
                      <w:rPr>
                        <w:rFonts w:ascii="Cambria Math" w:eastAsiaTheme="minorEastAsia" w:hAnsi="Cambria Math" w:cstheme="minorHAnsi"/>
                        <w:sz w:val="20"/>
                        <w:szCs w:val="20"/>
                      </w:rPr>
                      <m:t>r</m:t>
                    </m:r>
                  </m:e>
                  <m:sub>
                    <m:r>
                      <w:rPr>
                        <w:rFonts w:ascii="Cambria Math" w:eastAsiaTheme="minorEastAsia" w:hAnsi="Cambria Math" w:cstheme="minorHAnsi"/>
                        <w:sz w:val="20"/>
                        <w:szCs w:val="20"/>
                      </w:rPr>
                      <m:t>kill</m:t>
                    </m:r>
                  </m:sub>
                  <m:sup>
                    <m:r>
                      <w:rPr>
                        <w:rFonts w:ascii="Cambria Math" w:eastAsiaTheme="minorEastAsia" w:hAnsi="Cambria Math" w:cstheme="minorHAnsi"/>
                        <w:sz w:val="20"/>
                        <w:szCs w:val="20"/>
                      </w:rPr>
                      <m:t>G1</m:t>
                    </m:r>
                  </m:sup>
                </m:sSubSup>
              </m:oMath>
            </m:oMathPara>
          </w:p>
        </w:tc>
        <w:tc>
          <w:tcPr>
            <w:tcW w:w="893" w:type="dxa"/>
            <w:vAlign w:val="center"/>
          </w:tcPr>
          <w:p w14:paraId="4D1160A3" w14:textId="54BC2E97" w:rsidR="00931E0F" w:rsidRDefault="00043E0D" w:rsidP="004239B8">
            <w:pPr>
              <w:jc w:val="center"/>
            </w:pPr>
            <w:r>
              <w:t>0</w:t>
            </w:r>
          </w:p>
        </w:tc>
        <w:tc>
          <w:tcPr>
            <w:tcW w:w="833" w:type="dxa"/>
            <w:vAlign w:val="center"/>
          </w:tcPr>
          <w:p w14:paraId="2EB53332" w14:textId="24152E01" w:rsidR="00931E0F" w:rsidRDefault="00043E0D" w:rsidP="004239B8">
            <w:pPr>
              <w:jc w:val="center"/>
              <w:rPr>
                <w:rFonts w:cstheme="minorHAnsi"/>
              </w:rPr>
            </w:pPr>
            <w:r w:rsidRPr="00EC299B">
              <w:rPr>
                <w:rStyle w:val="cf01"/>
                <w:rFonts w:cstheme="minorHAnsi"/>
                <w:sz w:val="20"/>
                <w:szCs w:val="20"/>
              </w:rPr>
              <w:t>/DAU/h</w:t>
            </w:r>
          </w:p>
        </w:tc>
        <w:tc>
          <w:tcPr>
            <w:tcW w:w="3209" w:type="dxa"/>
            <w:vAlign w:val="center"/>
          </w:tcPr>
          <w:p w14:paraId="7879C0CE" w14:textId="09024257" w:rsidR="00931E0F" w:rsidRDefault="00043E0D" w:rsidP="00315192">
            <w:r>
              <w:t xml:space="preserve">To reflect that cells are more resistant to </w:t>
            </w:r>
            <w:r w:rsidR="005623EE">
              <w:t xml:space="preserve">DNA </w:t>
            </w:r>
            <w:r>
              <w:t xml:space="preserve">damage in G1: </w:t>
            </w:r>
            <w:r w:rsidRPr="00222ED7">
              <w:t xml:space="preserve">more likely to arrest and repair rather than </w:t>
            </w:r>
            <w:r>
              <w:t xml:space="preserve">immediately </w:t>
            </w:r>
            <w:r w:rsidRPr="00222ED7">
              <w:t>undergo apoptosis</w:t>
            </w:r>
          </w:p>
        </w:tc>
      </w:tr>
      <w:tr w:rsidR="00317C73" w14:paraId="3B4C86BB" w14:textId="77777777" w:rsidTr="6F83B6A8">
        <w:tc>
          <w:tcPr>
            <w:tcW w:w="2830" w:type="dxa"/>
            <w:vAlign w:val="center"/>
          </w:tcPr>
          <w:p w14:paraId="459DB50F" w14:textId="380284B0" w:rsidR="00317C73" w:rsidRPr="00E140C4" w:rsidRDefault="00683CC8" w:rsidP="00315192">
            <w:pPr>
              <w:rPr>
                <w:rFonts w:cstheme="minorHAnsi"/>
              </w:rPr>
            </w:pPr>
            <w:r>
              <w:rPr>
                <w:rFonts w:cstheme="minorHAnsi"/>
              </w:rPr>
              <w:t>R</w:t>
            </w:r>
            <w:r w:rsidRPr="0001142B">
              <w:rPr>
                <w:rFonts w:cstheme="minorHAnsi"/>
              </w:rPr>
              <w:t>ate of damage-induced cell death</w:t>
            </w:r>
            <w:r>
              <w:rPr>
                <w:rFonts w:cstheme="minorHAnsi"/>
              </w:rPr>
              <w:t xml:space="preserve"> in S and G2</w:t>
            </w:r>
            <w:r w:rsidR="00C11D5B">
              <w:rPr>
                <w:rFonts w:cstheme="minorHAnsi"/>
              </w:rPr>
              <w:t xml:space="preserve"> phases</w:t>
            </w:r>
          </w:p>
        </w:tc>
        <w:tc>
          <w:tcPr>
            <w:tcW w:w="1251" w:type="dxa"/>
            <w:vAlign w:val="center"/>
          </w:tcPr>
          <w:p w14:paraId="4E37E155" w14:textId="4EA43120" w:rsidR="00317C73" w:rsidRDefault="004F1A48" w:rsidP="004239B8">
            <w:pPr>
              <w:jc w:val="center"/>
              <w:rPr>
                <w:rFonts w:ascii="Calibri" w:eastAsia="Calibri" w:hAnsi="Calibri" w:cs="Calibri"/>
                <w:sz w:val="20"/>
                <w:szCs w:val="20"/>
              </w:rPr>
            </w:pPr>
            <m:oMathPara>
              <m:oMath>
                <m:sSubSup>
                  <m:sSubSupPr>
                    <m:ctrlPr>
                      <w:rPr>
                        <w:rFonts w:ascii="Cambria Math" w:eastAsiaTheme="minorEastAsia" w:hAnsi="Cambria Math" w:cstheme="minorHAnsi"/>
                        <w:i/>
                        <w:sz w:val="20"/>
                        <w:szCs w:val="20"/>
                      </w:rPr>
                    </m:ctrlPr>
                  </m:sSubSupPr>
                  <m:e>
                    <m:r>
                      <w:rPr>
                        <w:rFonts w:ascii="Cambria Math" w:eastAsiaTheme="minorEastAsia" w:hAnsi="Cambria Math" w:cstheme="minorHAnsi"/>
                        <w:sz w:val="20"/>
                        <w:szCs w:val="20"/>
                      </w:rPr>
                      <m:t>r</m:t>
                    </m:r>
                  </m:e>
                  <m:sub>
                    <m:r>
                      <w:rPr>
                        <w:rFonts w:ascii="Cambria Math" w:eastAsiaTheme="minorEastAsia" w:hAnsi="Cambria Math" w:cstheme="minorHAnsi"/>
                        <w:sz w:val="20"/>
                        <w:szCs w:val="20"/>
                      </w:rPr>
                      <m:t>kill</m:t>
                    </m:r>
                  </m:sub>
                  <m:sup>
                    <m:r>
                      <w:rPr>
                        <w:rFonts w:ascii="Cambria Math" w:eastAsiaTheme="minorEastAsia" w:hAnsi="Cambria Math" w:cstheme="minorHAnsi"/>
                        <w:sz w:val="20"/>
                        <w:szCs w:val="20"/>
                      </w:rPr>
                      <m:t>S,G2</m:t>
                    </m:r>
                  </m:sup>
                </m:sSubSup>
              </m:oMath>
            </m:oMathPara>
          </w:p>
        </w:tc>
        <w:tc>
          <w:tcPr>
            <w:tcW w:w="893" w:type="dxa"/>
            <w:vAlign w:val="center"/>
          </w:tcPr>
          <w:p w14:paraId="50CC5CC9" w14:textId="39F5E1FE" w:rsidR="00317C73" w:rsidRDefault="004F1A48" w:rsidP="004239B8">
            <w:pPr>
              <w:jc w:val="center"/>
            </w:pPr>
            <m:oMathPara>
              <m:oMath>
                <m:sSub>
                  <m:sSubPr>
                    <m:ctrlPr>
                      <w:rPr>
                        <w:rFonts w:ascii="Cambria Math" w:hAnsi="Cambria Math" w:cstheme="minorHAnsi"/>
                        <w:sz w:val="20"/>
                        <w:szCs w:val="20"/>
                      </w:rPr>
                    </m:ctrlPr>
                  </m:sSubPr>
                  <m:e>
                    <m:r>
                      <w:rPr>
                        <w:rFonts w:ascii="Cambria Math" w:hAnsi="Cambria Math" w:cstheme="minorHAnsi"/>
                        <w:sz w:val="20"/>
                        <w:szCs w:val="20"/>
                      </w:rPr>
                      <m:t>r</m:t>
                    </m:r>
                  </m:e>
                  <m:sub>
                    <m:r>
                      <w:rPr>
                        <w:rFonts w:ascii="Cambria Math" w:hAnsi="Cambria Math" w:cstheme="minorHAnsi"/>
                        <w:sz w:val="20"/>
                        <w:szCs w:val="20"/>
                      </w:rPr>
                      <m:t>kill</m:t>
                    </m:r>
                  </m:sub>
                </m:sSub>
              </m:oMath>
            </m:oMathPara>
          </w:p>
        </w:tc>
        <w:tc>
          <w:tcPr>
            <w:tcW w:w="833" w:type="dxa"/>
            <w:vAlign w:val="center"/>
          </w:tcPr>
          <w:p w14:paraId="4B105BDE" w14:textId="124549E3" w:rsidR="00317C73" w:rsidRDefault="001E4DCB" w:rsidP="004239B8">
            <w:pPr>
              <w:jc w:val="center"/>
              <w:rPr>
                <w:rFonts w:cstheme="minorHAnsi"/>
              </w:rPr>
            </w:pPr>
            <w:r w:rsidRPr="00EC299B">
              <w:rPr>
                <w:rStyle w:val="cf01"/>
                <w:rFonts w:cstheme="minorHAnsi"/>
                <w:sz w:val="20"/>
                <w:szCs w:val="20"/>
              </w:rPr>
              <w:t>/DAU/h</w:t>
            </w:r>
          </w:p>
        </w:tc>
        <w:tc>
          <w:tcPr>
            <w:tcW w:w="3209" w:type="dxa"/>
            <w:vAlign w:val="center"/>
          </w:tcPr>
          <w:p w14:paraId="4DA12D1D" w14:textId="3A0556EA" w:rsidR="00317C73" w:rsidRDefault="00376896" w:rsidP="00315192">
            <w:r>
              <w:t xml:space="preserve">To reflect that cells </w:t>
            </w:r>
            <w:r w:rsidRPr="00222ED7">
              <w:t>are vulnerable to lethal</w:t>
            </w:r>
            <w:r w:rsidR="00B6629C">
              <w:t xml:space="preserve"> DNA</w:t>
            </w:r>
            <w:r w:rsidRPr="00222ED7">
              <w:t xml:space="preserve"> damage due to the critical processes of DNA replication and preparation for mitosis</w:t>
            </w:r>
            <w:r>
              <w:t xml:space="preserve"> </w:t>
            </w:r>
          </w:p>
        </w:tc>
      </w:tr>
      <w:tr w:rsidR="00317C73" w14:paraId="295C9627" w14:textId="77777777" w:rsidTr="6F83B6A8">
        <w:tc>
          <w:tcPr>
            <w:tcW w:w="2830" w:type="dxa"/>
            <w:vAlign w:val="center"/>
          </w:tcPr>
          <w:p w14:paraId="7FD51779" w14:textId="13FEC778" w:rsidR="00317C73" w:rsidRPr="00E140C4" w:rsidRDefault="00C11D5B" w:rsidP="00315192">
            <w:pPr>
              <w:rPr>
                <w:rFonts w:cstheme="minorHAnsi"/>
              </w:rPr>
            </w:pPr>
            <w:r>
              <w:rPr>
                <w:rFonts w:cstheme="minorHAnsi"/>
              </w:rPr>
              <w:t>R</w:t>
            </w:r>
            <w:r w:rsidRPr="0001142B">
              <w:rPr>
                <w:rFonts w:cstheme="minorHAnsi"/>
              </w:rPr>
              <w:t>ate of damage-induced cell death</w:t>
            </w:r>
            <w:r>
              <w:rPr>
                <w:rFonts w:cstheme="minorHAnsi"/>
              </w:rPr>
              <w:t xml:space="preserve"> in M phase</w:t>
            </w:r>
          </w:p>
        </w:tc>
        <w:tc>
          <w:tcPr>
            <w:tcW w:w="1251" w:type="dxa"/>
            <w:vAlign w:val="center"/>
          </w:tcPr>
          <w:p w14:paraId="2CF2894D" w14:textId="73F6BBF3" w:rsidR="00317C73" w:rsidRDefault="004F1A48" w:rsidP="004239B8">
            <w:pPr>
              <w:jc w:val="center"/>
              <w:rPr>
                <w:rFonts w:ascii="Calibri" w:eastAsia="Calibri" w:hAnsi="Calibri" w:cs="Calibri"/>
                <w:sz w:val="20"/>
                <w:szCs w:val="20"/>
              </w:rPr>
            </w:pPr>
            <m:oMathPara>
              <m:oMath>
                <m:sSubSup>
                  <m:sSubSupPr>
                    <m:ctrlPr>
                      <w:rPr>
                        <w:rFonts w:ascii="Cambria Math" w:eastAsiaTheme="minorEastAsia" w:hAnsi="Cambria Math" w:cstheme="minorHAnsi"/>
                        <w:i/>
                        <w:sz w:val="20"/>
                        <w:szCs w:val="20"/>
                      </w:rPr>
                    </m:ctrlPr>
                  </m:sSubSupPr>
                  <m:e>
                    <m:r>
                      <w:rPr>
                        <w:rFonts w:ascii="Cambria Math" w:eastAsiaTheme="minorEastAsia" w:hAnsi="Cambria Math" w:cstheme="minorHAnsi"/>
                        <w:sz w:val="20"/>
                        <w:szCs w:val="20"/>
                      </w:rPr>
                      <m:t>r</m:t>
                    </m:r>
                  </m:e>
                  <m:sub>
                    <m:r>
                      <w:rPr>
                        <w:rFonts w:ascii="Cambria Math" w:eastAsiaTheme="minorEastAsia" w:hAnsi="Cambria Math" w:cstheme="minorHAnsi"/>
                        <w:sz w:val="20"/>
                        <w:szCs w:val="20"/>
                      </w:rPr>
                      <m:t>kill</m:t>
                    </m:r>
                  </m:sub>
                  <m:sup>
                    <m:r>
                      <w:rPr>
                        <w:rFonts w:ascii="Cambria Math" w:eastAsiaTheme="minorEastAsia" w:hAnsi="Cambria Math" w:cstheme="minorHAnsi"/>
                        <w:sz w:val="20"/>
                        <w:szCs w:val="20"/>
                      </w:rPr>
                      <m:t>M</m:t>
                    </m:r>
                  </m:sup>
                </m:sSubSup>
              </m:oMath>
            </m:oMathPara>
          </w:p>
        </w:tc>
        <w:tc>
          <w:tcPr>
            <w:tcW w:w="893" w:type="dxa"/>
            <w:vAlign w:val="center"/>
          </w:tcPr>
          <w:p w14:paraId="6F8A0AB0" w14:textId="219E4B5D" w:rsidR="00317C73" w:rsidRDefault="001E4DCB" w:rsidP="004239B8">
            <w:pPr>
              <w:jc w:val="center"/>
            </w:pPr>
            <w:r>
              <w:rPr>
                <w:rFonts w:ascii="Calibri" w:eastAsia="Calibri" w:hAnsi="Calibri" w:cs="Calibri"/>
                <w:sz w:val="20"/>
                <w:szCs w:val="20"/>
              </w:rPr>
              <w:t>2.5*</w:t>
            </w:r>
            <m:oMath>
              <m:sSub>
                <m:sSubPr>
                  <m:ctrlPr>
                    <w:rPr>
                      <w:rFonts w:ascii="Cambria Math" w:hAnsi="Cambria Math" w:cstheme="minorHAnsi"/>
                      <w:sz w:val="20"/>
                      <w:szCs w:val="20"/>
                    </w:rPr>
                  </m:ctrlPr>
                </m:sSubPr>
                <m:e>
                  <m:r>
                    <w:rPr>
                      <w:rFonts w:ascii="Cambria Math" w:hAnsi="Cambria Math" w:cstheme="minorHAnsi"/>
                      <w:sz w:val="20"/>
                      <w:szCs w:val="20"/>
                    </w:rPr>
                    <m:t>r</m:t>
                  </m:r>
                </m:e>
                <m:sub>
                  <m:r>
                    <w:rPr>
                      <w:rFonts w:ascii="Cambria Math" w:hAnsi="Cambria Math" w:cstheme="minorHAnsi"/>
                      <w:sz w:val="20"/>
                      <w:szCs w:val="20"/>
                    </w:rPr>
                    <m:t>kill</m:t>
                  </m:r>
                </m:sub>
              </m:sSub>
            </m:oMath>
          </w:p>
        </w:tc>
        <w:tc>
          <w:tcPr>
            <w:tcW w:w="833" w:type="dxa"/>
            <w:vAlign w:val="center"/>
          </w:tcPr>
          <w:p w14:paraId="1DC8F93A" w14:textId="07303A52" w:rsidR="00317C73" w:rsidRDefault="001E4DCB" w:rsidP="004239B8">
            <w:pPr>
              <w:jc w:val="center"/>
              <w:rPr>
                <w:rFonts w:cstheme="minorHAnsi"/>
              </w:rPr>
            </w:pPr>
            <w:r w:rsidRPr="00EC299B">
              <w:rPr>
                <w:rStyle w:val="cf01"/>
                <w:rFonts w:cstheme="minorHAnsi"/>
                <w:sz w:val="20"/>
                <w:szCs w:val="20"/>
              </w:rPr>
              <w:t>/DAU/h</w:t>
            </w:r>
          </w:p>
        </w:tc>
        <w:tc>
          <w:tcPr>
            <w:tcW w:w="3209" w:type="dxa"/>
            <w:vAlign w:val="center"/>
          </w:tcPr>
          <w:p w14:paraId="420DE024" w14:textId="3CEEBD36" w:rsidR="00317C73" w:rsidRDefault="001E4DCB" w:rsidP="00315192">
            <w:r>
              <w:t>To reflect mitotic catastrophe</w:t>
            </w:r>
          </w:p>
        </w:tc>
      </w:tr>
      <w:tr w:rsidR="00315192" w14:paraId="1F78FE5F" w14:textId="77777777" w:rsidTr="6F83B6A8">
        <w:tc>
          <w:tcPr>
            <w:tcW w:w="2830" w:type="dxa"/>
            <w:vAlign w:val="center"/>
          </w:tcPr>
          <w:p w14:paraId="0FEDEB0B" w14:textId="6D0F2E28" w:rsidR="00315192" w:rsidRPr="009751DB" w:rsidRDefault="00873272" w:rsidP="00315192">
            <w:r w:rsidRPr="00EC299B">
              <w:rPr>
                <w:rFonts w:cstheme="minorHAnsi"/>
                <w:sz w:val="20"/>
                <w:szCs w:val="20"/>
              </w:rPr>
              <w:t>Baseline rate of cell transfer towards delayed cell death in response to DNA damage</w:t>
            </w:r>
          </w:p>
        </w:tc>
        <w:tc>
          <w:tcPr>
            <w:tcW w:w="1251" w:type="dxa"/>
            <w:vAlign w:val="center"/>
          </w:tcPr>
          <w:p w14:paraId="09003B1A" w14:textId="7764DB71" w:rsidR="00315192" w:rsidRDefault="004F1A48" w:rsidP="004239B8">
            <w:pPr>
              <w:jc w:val="center"/>
            </w:pPr>
            <m:oMathPara>
              <m:oMath>
                <m:sSub>
                  <m:sSubPr>
                    <m:ctrlPr>
                      <w:rPr>
                        <w:rFonts w:ascii="Cambria Math" w:hAnsi="Cambria Math" w:cstheme="minorHAnsi"/>
                        <w:sz w:val="20"/>
                        <w:szCs w:val="20"/>
                      </w:rPr>
                    </m:ctrlPr>
                  </m:sSubPr>
                  <m:e>
                    <m:r>
                      <w:rPr>
                        <w:rFonts w:ascii="Cambria Math" w:hAnsi="Cambria Math" w:cstheme="minorHAnsi"/>
                        <w:sz w:val="20"/>
                        <w:szCs w:val="20"/>
                      </w:rPr>
                      <m:t>r</m:t>
                    </m:r>
                  </m:e>
                  <m:sub>
                    <m:r>
                      <w:rPr>
                        <w:rFonts w:ascii="Cambria Math" w:eastAsiaTheme="minorEastAsia" w:hAnsi="Cambria Math"/>
                      </w:rPr>
                      <m:t>delay_kill</m:t>
                    </m:r>
                  </m:sub>
                </m:sSub>
              </m:oMath>
            </m:oMathPara>
          </w:p>
        </w:tc>
        <w:tc>
          <w:tcPr>
            <w:tcW w:w="893" w:type="dxa"/>
            <w:vAlign w:val="center"/>
          </w:tcPr>
          <w:p w14:paraId="355EB89F" w14:textId="6FAA61B4" w:rsidR="00315192" w:rsidRPr="009751DB" w:rsidRDefault="00CA52AA" w:rsidP="004239B8">
            <w:pPr>
              <w:jc w:val="center"/>
            </w:pPr>
            <w:r>
              <w:t>4</w:t>
            </w:r>
          </w:p>
        </w:tc>
        <w:tc>
          <w:tcPr>
            <w:tcW w:w="833" w:type="dxa"/>
            <w:vAlign w:val="center"/>
          </w:tcPr>
          <w:p w14:paraId="0DDD8B60" w14:textId="134223C6" w:rsidR="00315192" w:rsidRPr="009751DB" w:rsidRDefault="006A36D9" w:rsidP="004239B8">
            <w:pPr>
              <w:jc w:val="center"/>
            </w:pPr>
            <w:r w:rsidRPr="00EC299B">
              <w:rPr>
                <w:rFonts w:cstheme="minorHAnsi"/>
                <w:sz w:val="20"/>
                <w:szCs w:val="20"/>
              </w:rPr>
              <w:t>/DAU/h</w:t>
            </w:r>
          </w:p>
        </w:tc>
        <w:tc>
          <w:tcPr>
            <w:tcW w:w="3209" w:type="dxa"/>
            <w:vAlign w:val="center"/>
          </w:tcPr>
          <w:p w14:paraId="07388CAA" w14:textId="02BF6EF3" w:rsidR="00315192" w:rsidRPr="009751DB" w:rsidRDefault="00355D17" w:rsidP="00315192">
            <w:r>
              <w:t xml:space="preserve">To fit the TGI data, in particular the delay </w:t>
            </w:r>
            <w:r w:rsidR="00E42140">
              <w:t>in tumour response</w:t>
            </w:r>
          </w:p>
        </w:tc>
      </w:tr>
      <w:tr w:rsidR="00DB5484" w14:paraId="18E89798" w14:textId="77777777" w:rsidTr="6F83B6A8">
        <w:tc>
          <w:tcPr>
            <w:tcW w:w="2830" w:type="dxa"/>
            <w:vAlign w:val="center"/>
          </w:tcPr>
          <w:p w14:paraId="7AEE5A0A" w14:textId="4B203723" w:rsidR="00DB5484" w:rsidRDefault="00DB5484" w:rsidP="00DB5484">
            <w:r w:rsidRPr="006B64C2">
              <w:t xml:space="preserve">Baseline rate of </w:t>
            </w:r>
            <w:r w:rsidR="00DE572A" w:rsidRPr="006B64C2">
              <w:t xml:space="preserve">cell </w:t>
            </w:r>
            <w:r w:rsidRPr="006B64C2">
              <w:rPr>
                <w:rFonts w:cstheme="minorHAnsi"/>
              </w:rPr>
              <w:t>death</w:t>
            </w:r>
            <w:r w:rsidR="00CA7943" w:rsidRPr="006B64C2">
              <w:rPr>
                <w:rFonts w:cstheme="minorHAnsi"/>
              </w:rPr>
              <w:t xml:space="preserve"> of fated cells</w:t>
            </w:r>
          </w:p>
        </w:tc>
        <w:tc>
          <w:tcPr>
            <w:tcW w:w="1251" w:type="dxa"/>
            <w:vAlign w:val="center"/>
          </w:tcPr>
          <w:p w14:paraId="138B9A42" w14:textId="106433B1" w:rsidR="00DB5484" w:rsidRDefault="004F1A48" w:rsidP="00DB5484">
            <w:pPr>
              <w:jc w:val="center"/>
            </w:pPr>
            <m:oMathPara>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kill.fated</m:t>
                    </m:r>
                  </m:sub>
                </m:sSub>
              </m:oMath>
            </m:oMathPara>
          </w:p>
        </w:tc>
        <w:tc>
          <w:tcPr>
            <w:tcW w:w="893" w:type="dxa"/>
            <w:vAlign w:val="center"/>
          </w:tcPr>
          <w:p w14:paraId="25013522" w14:textId="6F1FB7DC" w:rsidR="00DB5484" w:rsidRPr="009751DB" w:rsidRDefault="00DB5484" w:rsidP="00DB5484">
            <w:pPr>
              <w:jc w:val="center"/>
            </w:pPr>
            <w:r>
              <w:t>0.01</w:t>
            </w:r>
          </w:p>
        </w:tc>
        <w:tc>
          <w:tcPr>
            <w:tcW w:w="833" w:type="dxa"/>
            <w:vAlign w:val="center"/>
          </w:tcPr>
          <w:p w14:paraId="3A602ACD" w14:textId="7B6664D5" w:rsidR="00DB5484" w:rsidRPr="00FD6A12" w:rsidRDefault="006B64C2" w:rsidP="00DB5484">
            <w:pPr>
              <w:jc w:val="center"/>
              <w:rPr>
                <w:color w:val="FF0000"/>
              </w:rPr>
            </w:pPr>
            <w:r w:rsidRPr="00EC299B">
              <w:rPr>
                <w:rFonts w:cstheme="minorHAnsi"/>
                <w:sz w:val="20"/>
                <w:szCs w:val="20"/>
              </w:rPr>
              <w:t>/h</w:t>
            </w:r>
          </w:p>
        </w:tc>
        <w:tc>
          <w:tcPr>
            <w:tcW w:w="3209" w:type="dxa"/>
            <w:vAlign w:val="center"/>
          </w:tcPr>
          <w:p w14:paraId="1656BEF6" w14:textId="0F8286C8" w:rsidR="00DB5484" w:rsidRPr="009751DB" w:rsidRDefault="00F53049" w:rsidP="00DB5484">
            <w:r>
              <w:t>To fit the dynamics of tumour regression</w:t>
            </w:r>
          </w:p>
        </w:tc>
      </w:tr>
    </w:tbl>
    <w:p w14:paraId="654734EC" w14:textId="0B0690E7" w:rsidR="002E0DC7" w:rsidRPr="003B7E4D" w:rsidRDefault="002E0DC7" w:rsidP="003B7E4D">
      <w:pPr>
        <w:pStyle w:val="Heading2"/>
        <w:rPr>
          <w:b/>
          <w:bCs/>
          <w:color w:val="auto"/>
        </w:rPr>
      </w:pPr>
      <w:r w:rsidRPr="00BA1DD2">
        <w:rPr>
          <w:b/>
          <w:bCs/>
          <w:color w:val="auto"/>
        </w:rPr>
        <w:t>Table S</w:t>
      </w:r>
      <w:r w:rsidR="003B7E4D" w:rsidRPr="00BA1DD2">
        <w:rPr>
          <w:b/>
          <w:bCs/>
          <w:color w:val="auto"/>
        </w:rPr>
        <w:t>6</w:t>
      </w:r>
      <w:r w:rsidR="00746B8C" w:rsidRPr="00BA1DD2">
        <w:rPr>
          <w:b/>
          <w:bCs/>
          <w:color w:val="auto"/>
        </w:rPr>
        <w:t xml:space="preserve">. </w:t>
      </w:r>
      <w:r w:rsidR="00D561D0" w:rsidRPr="00BA1DD2">
        <w:rPr>
          <w:b/>
          <w:bCs/>
          <w:color w:val="auto"/>
        </w:rPr>
        <w:t>Model p</w:t>
      </w:r>
      <w:r w:rsidR="00746B8C" w:rsidRPr="003B7E4D">
        <w:rPr>
          <w:b/>
          <w:bCs/>
          <w:color w:val="auto"/>
        </w:rPr>
        <w:t>arameters</w:t>
      </w:r>
      <w:r w:rsidR="00D561D0" w:rsidRPr="003B7E4D">
        <w:rPr>
          <w:b/>
          <w:bCs/>
          <w:color w:val="auto"/>
        </w:rPr>
        <w:t xml:space="preserve"> characterising the cancer cell line</w:t>
      </w:r>
      <w:r w:rsidR="00746B8C" w:rsidRPr="003B7E4D">
        <w:rPr>
          <w:b/>
          <w:bCs/>
          <w:color w:val="auto"/>
        </w:rPr>
        <w:t xml:space="preserve"> </w:t>
      </w:r>
      <w:r w:rsidR="00EF74C1" w:rsidRPr="003B7E4D">
        <w:rPr>
          <w:b/>
          <w:bCs/>
          <w:color w:val="auto"/>
        </w:rPr>
        <w:t>of</w:t>
      </w:r>
      <w:r w:rsidR="00746B8C" w:rsidRPr="003B7E4D">
        <w:rPr>
          <w:b/>
          <w:bCs/>
          <w:color w:val="auto"/>
        </w:rPr>
        <w:t xml:space="preserve"> </w:t>
      </w:r>
      <w:r w:rsidR="00F06040" w:rsidRPr="003B7E4D">
        <w:rPr>
          <w:b/>
          <w:bCs/>
          <w:color w:val="auto"/>
        </w:rPr>
        <w:t xml:space="preserve">the </w:t>
      </w:r>
      <w:r w:rsidR="00746B8C" w:rsidRPr="003B7E4D">
        <w:rPr>
          <w:b/>
          <w:bCs/>
          <w:color w:val="auto"/>
        </w:rPr>
        <w:t>PDX panel.</w:t>
      </w:r>
    </w:p>
    <w:p w14:paraId="77C61F18" w14:textId="5149B07C" w:rsidR="002E0DC7" w:rsidRDefault="002E0DC7" w:rsidP="002E0DC7">
      <w:pPr>
        <w:spacing w:line="276" w:lineRule="auto"/>
        <w:jc w:val="both"/>
        <w:rPr>
          <w:rFonts w:ascii="Calibri" w:hAnsi="Calibri" w:cs="Calibri"/>
          <w:color w:val="000000"/>
        </w:rPr>
      </w:pPr>
      <w:r w:rsidRPr="00734121">
        <w:t>Table of cell specific DDR parameters for each PDX across the genetic background</w:t>
      </w:r>
      <w:r w:rsidRPr="00734121">
        <w:rPr>
          <w:rFonts w:ascii="Calibri" w:hAnsi="Calibri" w:cs="Calibri"/>
          <w:color w:val="000000"/>
        </w:rPr>
        <w:t xml:space="preserve"> groups. For a full </w:t>
      </w:r>
      <w:r w:rsidRPr="007D20FB">
        <w:rPr>
          <w:rFonts w:ascii="Calibri" w:hAnsi="Calibri" w:cs="Calibri"/>
          <w:color w:val="000000"/>
        </w:rPr>
        <w:t>definition of the parameters see Table 1</w:t>
      </w:r>
      <w:r w:rsidR="009D08A5" w:rsidRPr="007D20FB">
        <w:rPr>
          <w:rFonts w:ascii="Calibri" w:hAnsi="Calibri" w:cs="Calibri"/>
          <w:color w:val="000000"/>
        </w:rPr>
        <w:t xml:space="preserve"> in main</w:t>
      </w:r>
      <w:r w:rsidRPr="007D20FB">
        <w:rPr>
          <w:rFonts w:ascii="Calibri" w:hAnsi="Calibri" w:cs="Calibri"/>
          <w:color w:val="000000"/>
        </w:rPr>
        <w:t>.</w:t>
      </w:r>
      <w:r w:rsidR="00690701" w:rsidRPr="007D20FB">
        <w:rPr>
          <w:rFonts w:ascii="Calibri" w:hAnsi="Calibri" w:cs="Calibri"/>
          <w:color w:val="000000"/>
        </w:rPr>
        <w:t xml:space="preserve"> </w:t>
      </w:r>
      <w:r w:rsidR="007D20FB" w:rsidRPr="007D20FB">
        <w:t xml:space="preserve">DAU = arbitrary unit of DNA damage. </w:t>
      </w:r>
      <w:r w:rsidR="00690701" w:rsidRPr="00734121">
        <w:rPr>
          <w:rFonts w:ascii="Calibri" w:hAnsi="Calibri" w:cs="Calibri"/>
          <w:color w:val="000000"/>
        </w:rPr>
        <w:t>(*) HR for DSB</w:t>
      </w:r>
      <w:r w:rsidR="007D6913" w:rsidRPr="00734121">
        <w:rPr>
          <w:rFonts w:ascii="Calibri" w:hAnsi="Calibri" w:cs="Calibri"/>
          <w:color w:val="000000"/>
        </w:rPr>
        <w:t xml:space="preserve"> repai</w:t>
      </w:r>
      <w:r w:rsidR="00851AE4" w:rsidRPr="00734121">
        <w:rPr>
          <w:rFonts w:ascii="Calibri" w:hAnsi="Calibri" w:cs="Calibri"/>
          <w:color w:val="000000"/>
        </w:rPr>
        <w:t>r</w:t>
      </w:r>
      <w:r w:rsidR="00044BF5" w:rsidRPr="00734121">
        <w:rPr>
          <w:rFonts w:ascii="Calibri" w:hAnsi="Calibri" w:cs="Calibri"/>
          <w:color w:val="000000"/>
        </w:rPr>
        <w:t xml:space="preserve"> only</w:t>
      </w:r>
      <w:r w:rsidR="00A272B6" w:rsidRPr="00734121">
        <w:rPr>
          <w:rFonts w:ascii="Calibri" w:hAnsi="Calibri" w:cs="Calibri"/>
          <w:color w:val="000000"/>
        </w:rPr>
        <w:t>.</w:t>
      </w:r>
    </w:p>
    <w:tbl>
      <w:tblPr>
        <w:tblStyle w:val="PlainTable1"/>
        <w:tblW w:w="9072" w:type="dxa"/>
        <w:tblLayout w:type="fixed"/>
        <w:tblCellMar>
          <w:left w:w="57" w:type="dxa"/>
          <w:right w:w="57" w:type="dxa"/>
        </w:tblCellMar>
        <w:tblLook w:val="0680" w:firstRow="0" w:lastRow="0" w:firstColumn="1" w:lastColumn="0" w:noHBand="1" w:noVBand="1"/>
      </w:tblPr>
      <w:tblGrid>
        <w:gridCol w:w="993"/>
        <w:gridCol w:w="1134"/>
        <w:gridCol w:w="1134"/>
        <w:gridCol w:w="1417"/>
        <w:gridCol w:w="1098"/>
        <w:gridCol w:w="1099"/>
        <w:gridCol w:w="1098"/>
        <w:gridCol w:w="1099"/>
      </w:tblGrid>
      <w:tr w:rsidR="00526F2D" w:rsidRPr="00526F2D" w14:paraId="3692F48C" w14:textId="77777777" w:rsidTr="001E2DA7">
        <w:trPr>
          <w:trHeight w:val="339"/>
        </w:trPr>
        <w:tc>
          <w:tcPr>
            <w:cnfStyle w:val="001000000000" w:firstRow="0" w:lastRow="0" w:firstColumn="1" w:lastColumn="0" w:oddVBand="0" w:evenVBand="0" w:oddHBand="0" w:evenHBand="0" w:firstRowFirstColumn="0" w:firstRowLastColumn="0" w:lastRowFirstColumn="0" w:lastRowLastColumn="0"/>
            <w:tcW w:w="993" w:type="dxa"/>
            <w:tcBorders>
              <w:top w:val="nil"/>
              <w:left w:val="nil"/>
              <w:bottom w:val="nil"/>
            </w:tcBorders>
            <w:noWrap/>
          </w:tcPr>
          <w:p w14:paraId="0852AD29" w14:textId="77777777" w:rsidR="00526F2D" w:rsidRPr="00526F2D" w:rsidRDefault="00526F2D" w:rsidP="001E2DA7">
            <w:pPr>
              <w:rPr>
                <w:rFonts w:ascii="Calibri" w:hAnsi="Calibri" w:cs="Calibri"/>
                <w:color w:val="000000"/>
              </w:rPr>
            </w:pPr>
          </w:p>
        </w:tc>
        <w:tc>
          <w:tcPr>
            <w:tcW w:w="1134" w:type="dxa"/>
            <w:vMerge w:val="restart"/>
            <w:vAlign w:val="center"/>
          </w:tcPr>
          <w:p w14:paraId="66C9ADC6"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sidRPr="00526F2D">
              <w:rPr>
                <w:rFonts w:ascii="Calibri" w:hAnsi="Calibri" w:cs="Calibri"/>
                <w:b/>
                <w:bCs/>
                <w:color w:val="000000"/>
              </w:rPr>
              <w:t>PDX</w:t>
            </w:r>
          </w:p>
        </w:tc>
        <w:tc>
          <w:tcPr>
            <w:tcW w:w="1134" w:type="dxa"/>
            <w:vMerge w:val="restart"/>
            <w:vAlign w:val="center"/>
          </w:tcPr>
          <w:p w14:paraId="621C6164"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sidRPr="00526F2D">
              <w:rPr>
                <w:rFonts w:ascii="Calibri" w:hAnsi="Calibri" w:cs="Calibri"/>
                <w:b/>
                <w:bCs/>
                <w:color w:val="000000"/>
              </w:rPr>
              <w:t>Cell doubling time</w:t>
            </w:r>
          </w:p>
        </w:tc>
        <w:tc>
          <w:tcPr>
            <w:tcW w:w="1417" w:type="dxa"/>
            <w:vMerge w:val="restart"/>
            <w:vAlign w:val="center"/>
          </w:tcPr>
          <w:p w14:paraId="75D118B5"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sidRPr="00526F2D">
              <w:rPr>
                <w:rFonts w:ascii="Calibri" w:hAnsi="Calibri" w:cs="Calibri"/>
                <w:b/>
                <w:bCs/>
                <w:color w:val="000000"/>
              </w:rPr>
              <w:t>SSB endogenous damage</w:t>
            </w:r>
          </w:p>
        </w:tc>
        <w:tc>
          <w:tcPr>
            <w:tcW w:w="4394" w:type="dxa"/>
            <w:gridSpan w:val="4"/>
            <w:noWrap/>
            <w:vAlign w:val="center"/>
          </w:tcPr>
          <w:p w14:paraId="71ADE0B8"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sidRPr="00526F2D">
              <w:rPr>
                <w:rFonts w:ascii="Calibri" w:hAnsi="Calibri" w:cs="Calibri"/>
                <w:b/>
                <w:bCs/>
                <w:color w:val="000000"/>
              </w:rPr>
              <w:t>DNA damage repair</w:t>
            </w:r>
          </w:p>
        </w:tc>
      </w:tr>
      <w:tr w:rsidR="00526F2D" w:rsidRPr="00526F2D" w14:paraId="774D1401" w14:textId="77777777" w:rsidTr="001E2DA7">
        <w:trPr>
          <w:trHeight w:val="339"/>
        </w:trPr>
        <w:tc>
          <w:tcPr>
            <w:cnfStyle w:val="001000000000" w:firstRow="0" w:lastRow="0" w:firstColumn="1" w:lastColumn="0" w:oddVBand="0" w:evenVBand="0" w:oddHBand="0" w:evenHBand="0" w:firstRowFirstColumn="0" w:firstRowLastColumn="0" w:lastRowFirstColumn="0" w:lastRowLastColumn="0"/>
            <w:tcW w:w="993" w:type="dxa"/>
            <w:tcBorders>
              <w:top w:val="nil"/>
              <w:left w:val="nil"/>
              <w:bottom w:val="nil"/>
            </w:tcBorders>
            <w:noWrap/>
          </w:tcPr>
          <w:p w14:paraId="3EBC6285" w14:textId="77777777" w:rsidR="00526F2D" w:rsidRPr="00526F2D" w:rsidRDefault="00526F2D" w:rsidP="001E2DA7">
            <w:pPr>
              <w:rPr>
                <w:rFonts w:ascii="Calibri" w:hAnsi="Calibri" w:cs="Calibri"/>
                <w:color w:val="000000"/>
              </w:rPr>
            </w:pPr>
          </w:p>
        </w:tc>
        <w:tc>
          <w:tcPr>
            <w:tcW w:w="1134" w:type="dxa"/>
            <w:vMerge/>
            <w:vAlign w:val="center"/>
          </w:tcPr>
          <w:p w14:paraId="5C1C62FA"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p>
        </w:tc>
        <w:tc>
          <w:tcPr>
            <w:tcW w:w="1134" w:type="dxa"/>
            <w:vMerge/>
            <w:vAlign w:val="center"/>
          </w:tcPr>
          <w:p w14:paraId="480E08C8"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p>
        </w:tc>
        <w:tc>
          <w:tcPr>
            <w:tcW w:w="1417" w:type="dxa"/>
            <w:vMerge/>
            <w:vAlign w:val="center"/>
          </w:tcPr>
          <w:p w14:paraId="5D73B313"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p>
        </w:tc>
        <w:tc>
          <w:tcPr>
            <w:tcW w:w="2197" w:type="dxa"/>
            <w:gridSpan w:val="2"/>
            <w:noWrap/>
            <w:vAlign w:val="center"/>
          </w:tcPr>
          <w:p w14:paraId="3AA9D89D"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sidRPr="00526F2D">
              <w:rPr>
                <w:rFonts w:ascii="Calibri" w:hAnsi="Calibri" w:cs="Calibri"/>
                <w:b/>
                <w:bCs/>
                <w:color w:val="000000"/>
              </w:rPr>
              <w:t>Pathway PARP</w:t>
            </w:r>
          </w:p>
        </w:tc>
        <w:tc>
          <w:tcPr>
            <w:tcW w:w="2197" w:type="dxa"/>
            <w:gridSpan w:val="2"/>
            <w:noWrap/>
            <w:vAlign w:val="center"/>
          </w:tcPr>
          <w:p w14:paraId="20E7CA6A"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b/>
                <w:bCs/>
              </w:rPr>
            </w:pPr>
            <w:r w:rsidRPr="00526F2D">
              <w:rPr>
                <w:rFonts w:ascii="Calibri" w:hAnsi="Calibri" w:cs="Calibri"/>
                <w:b/>
                <w:bCs/>
                <w:color w:val="000000"/>
              </w:rPr>
              <w:t>Pathway ATR/HR(*)</w:t>
            </w:r>
          </w:p>
        </w:tc>
      </w:tr>
      <w:tr w:rsidR="00526F2D" w:rsidRPr="00526F2D" w14:paraId="45E1C487" w14:textId="77777777" w:rsidTr="001E2DA7">
        <w:trPr>
          <w:trHeight w:val="339"/>
        </w:trPr>
        <w:tc>
          <w:tcPr>
            <w:cnfStyle w:val="001000000000" w:firstRow="0" w:lastRow="0" w:firstColumn="1" w:lastColumn="0" w:oddVBand="0" w:evenVBand="0" w:oddHBand="0" w:evenHBand="0" w:firstRowFirstColumn="0" w:firstRowLastColumn="0" w:lastRowFirstColumn="0" w:lastRowLastColumn="0"/>
            <w:tcW w:w="993" w:type="dxa"/>
            <w:tcBorders>
              <w:top w:val="nil"/>
              <w:left w:val="nil"/>
              <w:bottom w:val="nil"/>
            </w:tcBorders>
            <w:noWrap/>
          </w:tcPr>
          <w:p w14:paraId="63055FD9" w14:textId="77777777" w:rsidR="00526F2D" w:rsidRPr="00526F2D" w:rsidRDefault="00526F2D" w:rsidP="001E2DA7">
            <w:pPr>
              <w:rPr>
                <w:rFonts w:ascii="Calibri" w:hAnsi="Calibri" w:cs="Calibri"/>
                <w:color w:val="000000"/>
              </w:rPr>
            </w:pPr>
          </w:p>
        </w:tc>
        <w:tc>
          <w:tcPr>
            <w:tcW w:w="1134" w:type="dxa"/>
            <w:vMerge/>
          </w:tcPr>
          <w:p w14:paraId="603B00D7" w14:textId="77777777" w:rsidR="00526F2D" w:rsidRPr="00526F2D" w:rsidRDefault="00526F2D" w:rsidP="001E2DA7">
            <w:pP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p>
        </w:tc>
        <w:tc>
          <w:tcPr>
            <w:tcW w:w="1134" w:type="dxa"/>
            <w:vMerge/>
            <w:vAlign w:val="center"/>
          </w:tcPr>
          <w:p w14:paraId="529C1F5B"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p>
        </w:tc>
        <w:tc>
          <w:tcPr>
            <w:tcW w:w="1417" w:type="dxa"/>
            <w:vMerge/>
            <w:vAlign w:val="center"/>
          </w:tcPr>
          <w:p w14:paraId="4A6BCB70"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p>
        </w:tc>
        <w:tc>
          <w:tcPr>
            <w:tcW w:w="1098" w:type="dxa"/>
            <w:noWrap/>
            <w:vAlign w:val="center"/>
          </w:tcPr>
          <w:p w14:paraId="24685850"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sidRPr="00526F2D">
              <w:rPr>
                <w:rFonts w:ascii="Calibri" w:hAnsi="Calibri" w:cs="Calibri"/>
                <w:b/>
                <w:bCs/>
                <w:color w:val="000000"/>
              </w:rPr>
              <w:t>SSB</w:t>
            </w:r>
          </w:p>
        </w:tc>
        <w:tc>
          <w:tcPr>
            <w:tcW w:w="1099" w:type="dxa"/>
            <w:vAlign w:val="center"/>
          </w:tcPr>
          <w:p w14:paraId="5210B99F"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i/>
                <w:iCs/>
                <w:color w:val="000000"/>
              </w:rPr>
            </w:pPr>
            <w:r w:rsidRPr="00526F2D">
              <w:rPr>
                <w:rFonts w:ascii="Calibri" w:hAnsi="Calibri" w:cs="Calibri"/>
                <w:b/>
                <w:bCs/>
                <w:color w:val="000000"/>
              </w:rPr>
              <w:t>DSB</w:t>
            </w:r>
          </w:p>
        </w:tc>
        <w:tc>
          <w:tcPr>
            <w:tcW w:w="1098" w:type="dxa"/>
            <w:noWrap/>
            <w:vAlign w:val="center"/>
          </w:tcPr>
          <w:p w14:paraId="66ADEA51"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sidRPr="00526F2D">
              <w:rPr>
                <w:b/>
                <w:bCs/>
              </w:rPr>
              <w:t>SSB</w:t>
            </w:r>
          </w:p>
        </w:tc>
        <w:tc>
          <w:tcPr>
            <w:tcW w:w="1099" w:type="dxa"/>
            <w:noWrap/>
            <w:vAlign w:val="center"/>
          </w:tcPr>
          <w:p w14:paraId="3903124C"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sidRPr="00526F2D">
              <w:rPr>
                <w:b/>
                <w:bCs/>
              </w:rPr>
              <w:t>DSB</w:t>
            </w:r>
          </w:p>
        </w:tc>
      </w:tr>
      <w:tr w:rsidR="00526F2D" w:rsidRPr="00526F2D" w14:paraId="15172C3A" w14:textId="77777777" w:rsidTr="001E2DA7">
        <w:trPr>
          <w:trHeight w:val="338"/>
        </w:trPr>
        <w:tc>
          <w:tcPr>
            <w:cnfStyle w:val="001000000000" w:firstRow="0" w:lastRow="0" w:firstColumn="1" w:lastColumn="0" w:oddVBand="0" w:evenVBand="0" w:oddHBand="0" w:evenHBand="0" w:firstRowFirstColumn="0" w:firstRowLastColumn="0" w:lastRowFirstColumn="0" w:lastRowLastColumn="0"/>
            <w:tcW w:w="993" w:type="dxa"/>
            <w:tcBorders>
              <w:top w:val="nil"/>
              <w:left w:val="nil"/>
            </w:tcBorders>
            <w:noWrap/>
            <w:vAlign w:val="center"/>
          </w:tcPr>
          <w:p w14:paraId="013D3D7F" w14:textId="77777777" w:rsidR="00526F2D" w:rsidRPr="00526F2D" w:rsidRDefault="00526F2D" w:rsidP="001E2DA7">
            <w:pPr>
              <w:jc w:val="center"/>
              <w:rPr>
                <w:rFonts w:ascii="Calibri" w:hAnsi="Calibri" w:cs="Calibri"/>
                <w:color w:val="000000"/>
              </w:rPr>
            </w:pPr>
          </w:p>
        </w:tc>
        <w:tc>
          <w:tcPr>
            <w:tcW w:w="1134" w:type="dxa"/>
            <w:vMerge/>
          </w:tcPr>
          <w:p w14:paraId="256CEB6F"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
        </w:tc>
        <w:tc>
          <w:tcPr>
            <w:tcW w:w="1134" w:type="dxa"/>
            <w:vAlign w:val="center"/>
          </w:tcPr>
          <w:p w14:paraId="5E90C0F0"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i/>
                <w:iCs/>
              </w:rPr>
            </w:pPr>
            <w:proofErr w:type="spellStart"/>
            <w:r w:rsidRPr="00526F2D">
              <w:rPr>
                <w:i/>
                <w:iCs/>
              </w:rPr>
              <w:t>t</w:t>
            </w:r>
            <w:r w:rsidRPr="00526F2D">
              <w:rPr>
                <w:i/>
                <w:iCs/>
                <w:vertAlign w:val="subscript"/>
              </w:rPr>
              <w:t>doub</w:t>
            </w:r>
            <w:proofErr w:type="spellEnd"/>
          </w:p>
        </w:tc>
        <w:tc>
          <w:tcPr>
            <w:tcW w:w="1417" w:type="dxa"/>
            <w:vAlign w:val="center"/>
          </w:tcPr>
          <w:p w14:paraId="7246A4B1"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proofErr w:type="spellStart"/>
            <w:r w:rsidRPr="00526F2D">
              <w:rPr>
                <w:i/>
                <w:iCs/>
              </w:rPr>
              <w:t>r</w:t>
            </w:r>
            <w:r w:rsidRPr="00526F2D">
              <w:rPr>
                <w:i/>
                <w:iCs/>
                <w:vertAlign w:val="subscript"/>
              </w:rPr>
              <w:t>ssb</w:t>
            </w:r>
            <w:proofErr w:type="spellEnd"/>
          </w:p>
        </w:tc>
        <w:tc>
          <w:tcPr>
            <w:tcW w:w="1098" w:type="dxa"/>
            <w:noWrap/>
            <w:vAlign w:val="center"/>
          </w:tcPr>
          <w:p w14:paraId="1B29193B"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i/>
                <w:iCs/>
              </w:rPr>
              <w:t>def</w:t>
            </w:r>
            <w:r w:rsidRPr="00526F2D">
              <w:rPr>
                <w:i/>
                <w:iCs/>
                <w:vertAlign w:val="subscript"/>
              </w:rPr>
              <w:t>1</w:t>
            </w:r>
          </w:p>
        </w:tc>
        <w:tc>
          <w:tcPr>
            <w:tcW w:w="1099" w:type="dxa"/>
            <w:vAlign w:val="center"/>
          </w:tcPr>
          <w:p w14:paraId="12B9BAE3"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i/>
                <w:iCs/>
              </w:rPr>
              <w:t>def</w:t>
            </w:r>
            <w:r w:rsidRPr="00526F2D">
              <w:rPr>
                <w:i/>
                <w:iCs/>
                <w:vertAlign w:val="subscript"/>
              </w:rPr>
              <w:t>3</w:t>
            </w:r>
          </w:p>
        </w:tc>
        <w:tc>
          <w:tcPr>
            <w:tcW w:w="1098" w:type="dxa"/>
            <w:noWrap/>
            <w:vAlign w:val="center"/>
          </w:tcPr>
          <w:p w14:paraId="7A4350C1"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i/>
                <w:iCs/>
              </w:rPr>
              <w:t>def</w:t>
            </w:r>
            <w:r w:rsidRPr="00526F2D">
              <w:rPr>
                <w:i/>
                <w:iCs/>
                <w:vertAlign w:val="subscript"/>
              </w:rPr>
              <w:t>2</w:t>
            </w:r>
          </w:p>
        </w:tc>
        <w:tc>
          <w:tcPr>
            <w:tcW w:w="1099" w:type="dxa"/>
            <w:noWrap/>
            <w:vAlign w:val="center"/>
          </w:tcPr>
          <w:p w14:paraId="037E0875"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i/>
                <w:iCs/>
              </w:rPr>
              <w:t>def</w:t>
            </w:r>
            <w:r w:rsidRPr="00526F2D">
              <w:rPr>
                <w:i/>
                <w:iCs/>
                <w:vertAlign w:val="subscript"/>
              </w:rPr>
              <w:t>4</w:t>
            </w:r>
          </w:p>
        </w:tc>
      </w:tr>
      <w:tr w:rsidR="00526F2D" w:rsidRPr="00526F2D" w14:paraId="0B42CA88" w14:textId="77777777" w:rsidTr="001E2DA7">
        <w:trPr>
          <w:trHeight w:val="338"/>
        </w:trPr>
        <w:tc>
          <w:tcPr>
            <w:cnfStyle w:val="001000000000" w:firstRow="0" w:lastRow="0" w:firstColumn="1" w:lastColumn="0" w:oddVBand="0" w:evenVBand="0" w:oddHBand="0" w:evenHBand="0" w:firstRowFirstColumn="0" w:firstRowLastColumn="0" w:lastRowFirstColumn="0" w:lastRowLastColumn="0"/>
            <w:tcW w:w="993" w:type="dxa"/>
            <w:vMerge w:val="restart"/>
            <w:noWrap/>
            <w:vAlign w:val="center"/>
            <w:hideMark/>
          </w:tcPr>
          <w:p w14:paraId="350857A1" w14:textId="77777777" w:rsidR="00526F2D" w:rsidRPr="00526F2D" w:rsidRDefault="00526F2D" w:rsidP="001E2DA7">
            <w:pPr>
              <w:jc w:val="center"/>
              <w:rPr>
                <w:rFonts w:ascii="Calibri" w:hAnsi="Calibri" w:cs="Calibri"/>
                <w:color w:val="000000"/>
              </w:rPr>
            </w:pPr>
            <w:proofErr w:type="spellStart"/>
            <w:r w:rsidRPr="00526F2D">
              <w:rPr>
                <w:rFonts w:ascii="Calibri" w:hAnsi="Calibri" w:cs="Calibri"/>
                <w:color w:val="000000"/>
              </w:rPr>
              <w:t>BRCAm</w:t>
            </w:r>
            <w:proofErr w:type="spellEnd"/>
          </w:p>
        </w:tc>
        <w:tc>
          <w:tcPr>
            <w:tcW w:w="1134" w:type="dxa"/>
            <w:vAlign w:val="center"/>
          </w:tcPr>
          <w:p w14:paraId="1C169BEC" w14:textId="000345F2"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HBCx</w:t>
            </w:r>
            <w:r w:rsidR="003362EA">
              <w:rPr>
                <w:rFonts w:ascii="Calibri" w:hAnsi="Calibri" w:cs="Calibri"/>
                <w:color w:val="000000"/>
              </w:rPr>
              <w:t>-</w:t>
            </w:r>
            <w:r w:rsidRPr="00526F2D">
              <w:rPr>
                <w:rFonts w:ascii="Calibri" w:hAnsi="Calibri" w:cs="Calibri"/>
                <w:color w:val="000000"/>
              </w:rPr>
              <w:t>10</w:t>
            </w:r>
          </w:p>
        </w:tc>
        <w:tc>
          <w:tcPr>
            <w:tcW w:w="1134" w:type="dxa"/>
          </w:tcPr>
          <w:p w14:paraId="2A687DCF" w14:textId="2D8ABDE3" w:rsidR="00526F2D" w:rsidRPr="00526F2D" w:rsidRDefault="00A139EE"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22</w:t>
            </w:r>
          </w:p>
        </w:tc>
        <w:tc>
          <w:tcPr>
            <w:tcW w:w="1417" w:type="dxa"/>
          </w:tcPr>
          <w:p w14:paraId="05AF3636"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26F2D">
              <w:rPr>
                <w:rFonts w:ascii="Calibri" w:hAnsi="Calibri" w:cs="Calibri"/>
              </w:rPr>
              <w:t>0.0005</w:t>
            </w:r>
          </w:p>
        </w:tc>
        <w:tc>
          <w:tcPr>
            <w:tcW w:w="1098" w:type="dxa"/>
            <w:noWrap/>
          </w:tcPr>
          <w:p w14:paraId="2DBF5816"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tcPr>
          <w:p w14:paraId="20A30CC0"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8" w:type="dxa"/>
            <w:noWrap/>
          </w:tcPr>
          <w:p w14:paraId="2A2CE38A"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noWrap/>
          </w:tcPr>
          <w:p w14:paraId="1721EB0B" w14:textId="5C7B46C3" w:rsidR="00526F2D" w:rsidRPr="00526F2D" w:rsidRDefault="001D30E8"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85</w:t>
            </w:r>
            <w:r w:rsidR="006D10B1">
              <w:rPr>
                <w:rFonts w:ascii="Calibri" w:hAnsi="Calibri" w:cs="Calibri"/>
                <w:color w:val="000000"/>
              </w:rPr>
              <w:t xml:space="preserve"> </w:t>
            </w:r>
            <w:r>
              <w:rPr>
                <w:rFonts w:ascii="Calibri" w:hAnsi="Calibri" w:cs="Calibri"/>
                <w:color w:val="000000"/>
              </w:rPr>
              <w:t>%</w:t>
            </w:r>
          </w:p>
        </w:tc>
      </w:tr>
      <w:tr w:rsidR="00526F2D" w:rsidRPr="00526F2D" w14:paraId="005AD576" w14:textId="77777777" w:rsidTr="001E2DA7">
        <w:trPr>
          <w:trHeight w:val="338"/>
        </w:trPr>
        <w:tc>
          <w:tcPr>
            <w:cnfStyle w:val="001000000000" w:firstRow="0" w:lastRow="0" w:firstColumn="1" w:lastColumn="0" w:oddVBand="0" w:evenVBand="0" w:oddHBand="0" w:evenHBand="0" w:firstRowFirstColumn="0" w:firstRowLastColumn="0" w:lastRowFirstColumn="0" w:lastRowLastColumn="0"/>
            <w:tcW w:w="993" w:type="dxa"/>
            <w:vMerge/>
            <w:noWrap/>
          </w:tcPr>
          <w:p w14:paraId="1C608C77" w14:textId="77777777" w:rsidR="00526F2D" w:rsidRPr="00526F2D" w:rsidRDefault="00526F2D" w:rsidP="001E2DA7">
            <w:pPr>
              <w:rPr>
                <w:rFonts w:ascii="Calibri" w:hAnsi="Calibri" w:cs="Calibri"/>
                <w:color w:val="000000"/>
              </w:rPr>
            </w:pPr>
          </w:p>
        </w:tc>
        <w:tc>
          <w:tcPr>
            <w:tcW w:w="1134" w:type="dxa"/>
            <w:vAlign w:val="center"/>
          </w:tcPr>
          <w:p w14:paraId="3EF96887" w14:textId="470F9468"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HBCx</w:t>
            </w:r>
            <w:r w:rsidR="003362EA">
              <w:rPr>
                <w:rFonts w:ascii="Calibri" w:hAnsi="Calibri" w:cs="Calibri"/>
                <w:color w:val="000000"/>
              </w:rPr>
              <w:t>-</w:t>
            </w:r>
            <w:r w:rsidRPr="00526F2D">
              <w:rPr>
                <w:rFonts w:ascii="Calibri" w:hAnsi="Calibri" w:cs="Calibri"/>
                <w:color w:val="000000"/>
              </w:rPr>
              <w:t>17</w:t>
            </w:r>
          </w:p>
        </w:tc>
        <w:tc>
          <w:tcPr>
            <w:tcW w:w="1134" w:type="dxa"/>
          </w:tcPr>
          <w:p w14:paraId="012BDED6" w14:textId="4D7BEF87" w:rsidR="00526F2D" w:rsidRPr="00526F2D" w:rsidRDefault="00FF5106"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32</w:t>
            </w:r>
          </w:p>
        </w:tc>
        <w:tc>
          <w:tcPr>
            <w:tcW w:w="1417" w:type="dxa"/>
          </w:tcPr>
          <w:p w14:paraId="0B10586A"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26F2D">
              <w:rPr>
                <w:rFonts w:ascii="Calibri" w:hAnsi="Calibri" w:cs="Calibri"/>
              </w:rPr>
              <w:t>0.0005</w:t>
            </w:r>
          </w:p>
        </w:tc>
        <w:tc>
          <w:tcPr>
            <w:tcW w:w="1098" w:type="dxa"/>
            <w:noWrap/>
          </w:tcPr>
          <w:p w14:paraId="0D1C957B"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tcPr>
          <w:p w14:paraId="1C9F4CCA"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8" w:type="dxa"/>
            <w:noWrap/>
          </w:tcPr>
          <w:p w14:paraId="2651ACF3"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noWrap/>
          </w:tcPr>
          <w:p w14:paraId="2664B404" w14:textId="00569AE8" w:rsidR="00526F2D" w:rsidRPr="00526F2D" w:rsidRDefault="00FF5106"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95</w:t>
            </w:r>
            <w:r w:rsidR="006D10B1">
              <w:rPr>
                <w:rFonts w:ascii="Calibri" w:hAnsi="Calibri" w:cs="Calibri"/>
                <w:color w:val="000000"/>
              </w:rPr>
              <w:t xml:space="preserve"> </w:t>
            </w:r>
            <w:r>
              <w:rPr>
                <w:rFonts w:ascii="Calibri" w:hAnsi="Calibri" w:cs="Calibri"/>
                <w:color w:val="000000"/>
              </w:rPr>
              <w:t>%</w:t>
            </w:r>
          </w:p>
        </w:tc>
      </w:tr>
      <w:tr w:rsidR="00526F2D" w:rsidRPr="00526F2D" w14:paraId="1C8FF86F" w14:textId="77777777" w:rsidTr="001E2DA7">
        <w:trPr>
          <w:trHeight w:val="338"/>
        </w:trPr>
        <w:tc>
          <w:tcPr>
            <w:cnfStyle w:val="001000000000" w:firstRow="0" w:lastRow="0" w:firstColumn="1" w:lastColumn="0" w:oddVBand="0" w:evenVBand="0" w:oddHBand="0" w:evenHBand="0" w:firstRowFirstColumn="0" w:firstRowLastColumn="0" w:lastRowFirstColumn="0" w:lastRowLastColumn="0"/>
            <w:tcW w:w="993" w:type="dxa"/>
            <w:vMerge/>
            <w:noWrap/>
          </w:tcPr>
          <w:p w14:paraId="37BBBD16" w14:textId="77777777" w:rsidR="00526F2D" w:rsidRPr="00526F2D" w:rsidRDefault="00526F2D" w:rsidP="001E2DA7">
            <w:pPr>
              <w:rPr>
                <w:rFonts w:ascii="Calibri" w:hAnsi="Calibri" w:cs="Calibri"/>
                <w:color w:val="000000"/>
              </w:rPr>
            </w:pPr>
          </w:p>
        </w:tc>
        <w:tc>
          <w:tcPr>
            <w:tcW w:w="1134" w:type="dxa"/>
            <w:vAlign w:val="center"/>
          </w:tcPr>
          <w:p w14:paraId="3851D371"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HBCx-22</w:t>
            </w:r>
          </w:p>
        </w:tc>
        <w:tc>
          <w:tcPr>
            <w:tcW w:w="1134" w:type="dxa"/>
          </w:tcPr>
          <w:p w14:paraId="36296972" w14:textId="2771C50B" w:rsidR="00526F2D" w:rsidRPr="00526F2D" w:rsidRDefault="00FF5106"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50</w:t>
            </w:r>
          </w:p>
        </w:tc>
        <w:tc>
          <w:tcPr>
            <w:tcW w:w="1417" w:type="dxa"/>
          </w:tcPr>
          <w:p w14:paraId="6DBF1A9F"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26F2D">
              <w:rPr>
                <w:rFonts w:ascii="Calibri" w:hAnsi="Calibri" w:cs="Calibri"/>
              </w:rPr>
              <w:t>0.0005</w:t>
            </w:r>
          </w:p>
        </w:tc>
        <w:tc>
          <w:tcPr>
            <w:tcW w:w="1098" w:type="dxa"/>
            <w:noWrap/>
          </w:tcPr>
          <w:p w14:paraId="576D284B"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tcPr>
          <w:p w14:paraId="11AF99B2"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8" w:type="dxa"/>
            <w:noWrap/>
          </w:tcPr>
          <w:p w14:paraId="18A7E9FA"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noWrap/>
          </w:tcPr>
          <w:p w14:paraId="7CC7EB04" w14:textId="1581779F" w:rsidR="00526F2D" w:rsidRPr="00526F2D" w:rsidRDefault="006D10B1"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35 %</w:t>
            </w:r>
          </w:p>
        </w:tc>
      </w:tr>
      <w:tr w:rsidR="00526F2D" w:rsidRPr="00526F2D" w14:paraId="48FF698F" w14:textId="77777777" w:rsidTr="001E2DA7">
        <w:trPr>
          <w:trHeight w:val="338"/>
        </w:trPr>
        <w:tc>
          <w:tcPr>
            <w:cnfStyle w:val="001000000000" w:firstRow="0" w:lastRow="0" w:firstColumn="1" w:lastColumn="0" w:oddVBand="0" w:evenVBand="0" w:oddHBand="0" w:evenHBand="0" w:firstRowFirstColumn="0" w:firstRowLastColumn="0" w:lastRowFirstColumn="0" w:lastRowLastColumn="0"/>
            <w:tcW w:w="993" w:type="dxa"/>
            <w:vMerge w:val="restart"/>
            <w:noWrap/>
            <w:vAlign w:val="center"/>
            <w:hideMark/>
          </w:tcPr>
          <w:p w14:paraId="5A3A7717" w14:textId="77777777" w:rsidR="00526F2D" w:rsidRPr="00526F2D" w:rsidRDefault="00526F2D" w:rsidP="001E2DA7">
            <w:pPr>
              <w:jc w:val="center"/>
              <w:rPr>
                <w:rFonts w:ascii="Calibri" w:hAnsi="Calibri" w:cs="Calibri"/>
                <w:color w:val="000000"/>
              </w:rPr>
            </w:pPr>
            <w:proofErr w:type="spellStart"/>
            <w:r w:rsidRPr="00526F2D">
              <w:rPr>
                <w:rFonts w:ascii="Calibri" w:hAnsi="Calibri" w:cs="Calibri"/>
                <w:color w:val="000000"/>
              </w:rPr>
              <w:t>BRCAwt</w:t>
            </w:r>
            <w:proofErr w:type="spellEnd"/>
            <w:r w:rsidRPr="00526F2D">
              <w:rPr>
                <w:rFonts w:ascii="Calibri" w:hAnsi="Calibri" w:cs="Calibri"/>
                <w:color w:val="000000"/>
              </w:rPr>
              <w:t xml:space="preserve"> HRD+</w:t>
            </w:r>
          </w:p>
        </w:tc>
        <w:tc>
          <w:tcPr>
            <w:tcW w:w="1134" w:type="dxa"/>
            <w:vAlign w:val="center"/>
          </w:tcPr>
          <w:p w14:paraId="0FF7931D" w14:textId="3BBD378E"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HBCx</w:t>
            </w:r>
            <w:r w:rsidR="003362EA">
              <w:rPr>
                <w:rFonts w:ascii="Calibri" w:hAnsi="Calibri" w:cs="Calibri"/>
                <w:color w:val="000000"/>
              </w:rPr>
              <w:t>-</w:t>
            </w:r>
            <w:r w:rsidRPr="00526F2D">
              <w:rPr>
                <w:rFonts w:ascii="Calibri" w:hAnsi="Calibri" w:cs="Calibri"/>
                <w:color w:val="000000"/>
              </w:rPr>
              <w:t>9</w:t>
            </w:r>
          </w:p>
        </w:tc>
        <w:tc>
          <w:tcPr>
            <w:tcW w:w="1134" w:type="dxa"/>
          </w:tcPr>
          <w:p w14:paraId="27D36646" w14:textId="004D1941" w:rsidR="00526F2D" w:rsidRPr="00526F2D" w:rsidRDefault="00153A22"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33</w:t>
            </w:r>
          </w:p>
        </w:tc>
        <w:tc>
          <w:tcPr>
            <w:tcW w:w="1417" w:type="dxa"/>
          </w:tcPr>
          <w:p w14:paraId="740761BF"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26F2D">
              <w:rPr>
                <w:rFonts w:ascii="Calibri" w:hAnsi="Calibri" w:cs="Calibri"/>
              </w:rPr>
              <w:t>0.0005</w:t>
            </w:r>
          </w:p>
        </w:tc>
        <w:tc>
          <w:tcPr>
            <w:tcW w:w="1098" w:type="dxa"/>
            <w:noWrap/>
          </w:tcPr>
          <w:p w14:paraId="5A3DBFD1"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tcPr>
          <w:p w14:paraId="0DF49044"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8" w:type="dxa"/>
            <w:noWrap/>
          </w:tcPr>
          <w:p w14:paraId="7A4F4449"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noWrap/>
          </w:tcPr>
          <w:p w14:paraId="4DFB9E94" w14:textId="22D6D13A" w:rsidR="00526F2D" w:rsidRPr="00526F2D" w:rsidRDefault="00CD7AC1"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50</w:t>
            </w:r>
            <w:r w:rsidR="006D10B1">
              <w:rPr>
                <w:rFonts w:ascii="Calibri" w:hAnsi="Calibri" w:cs="Calibri"/>
                <w:color w:val="000000"/>
              </w:rPr>
              <w:t xml:space="preserve"> </w:t>
            </w:r>
            <w:r>
              <w:rPr>
                <w:rFonts w:ascii="Calibri" w:hAnsi="Calibri" w:cs="Calibri"/>
                <w:color w:val="000000"/>
              </w:rPr>
              <w:t>%</w:t>
            </w:r>
          </w:p>
        </w:tc>
      </w:tr>
      <w:tr w:rsidR="00526F2D" w:rsidRPr="00526F2D" w14:paraId="5876BFC3" w14:textId="77777777" w:rsidTr="001E2DA7">
        <w:trPr>
          <w:trHeight w:val="338"/>
        </w:trPr>
        <w:tc>
          <w:tcPr>
            <w:cnfStyle w:val="001000000000" w:firstRow="0" w:lastRow="0" w:firstColumn="1" w:lastColumn="0" w:oddVBand="0" w:evenVBand="0" w:oddHBand="0" w:evenHBand="0" w:firstRowFirstColumn="0" w:firstRowLastColumn="0" w:lastRowFirstColumn="0" w:lastRowLastColumn="0"/>
            <w:tcW w:w="993" w:type="dxa"/>
            <w:vMerge/>
            <w:noWrap/>
            <w:hideMark/>
          </w:tcPr>
          <w:p w14:paraId="09816BF8" w14:textId="77777777" w:rsidR="00526F2D" w:rsidRPr="00526F2D" w:rsidRDefault="00526F2D" w:rsidP="001E2DA7">
            <w:pPr>
              <w:rPr>
                <w:rFonts w:ascii="Calibri" w:hAnsi="Calibri" w:cs="Calibri"/>
                <w:color w:val="000000"/>
              </w:rPr>
            </w:pPr>
          </w:p>
        </w:tc>
        <w:tc>
          <w:tcPr>
            <w:tcW w:w="1134" w:type="dxa"/>
            <w:vAlign w:val="center"/>
          </w:tcPr>
          <w:p w14:paraId="4517B47A" w14:textId="6509159B"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HBCx</w:t>
            </w:r>
            <w:r w:rsidR="003362EA">
              <w:rPr>
                <w:rFonts w:ascii="Calibri" w:hAnsi="Calibri" w:cs="Calibri"/>
                <w:color w:val="000000"/>
              </w:rPr>
              <w:t>-</w:t>
            </w:r>
            <w:r w:rsidRPr="00526F2D">
              <w:rPr>
                <w:rFonts w:ascii="Calibri" w:hAnsi="Calibri" w:cs="Calibri"/>
                <w:color w:val="000000"/>
              </w:rPr>
              <w:t>1</w:t>
            </w:r>
          </w:p>
        </w:tc>
        <w:tc>
          <w:tcPr>
            <w:tcW w:w="1134" w:type="dxa"/>
          </w:tcPr>
          <w:p w14:paraId="39738CAE" w14:textId="4BB0807D" w:rsidR="00526F2D" w:rsidRPr="00526F2D" w:rsidRDefault="00757542"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36</w:t>
            </w:r>
          </w:p>
        </w:tc>
        <w:tc>
          <w:tcPr>
            <w:tcW w:w="1417" w:type="dxa"/>
          </w:tcPr>
          <w:p w14:paraId="20E8B951"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26F2D">
              <w:rPr>
                <w:rFonts w:ascii="Calibri" w:hAnsi="Calibri" w:cs="Calibri"/>
              </w:rPr>
              <w:t>0.0005</w:t>
            </w:r>
          </w:p>
        </w:tc>
        <w:tc>
          <w:tcPr>
            <w:tcW w:w="1098" w:type="dxa"/>
            <w:noWrap/>
          </w:tcPr>
          <w:p w14:paraId="1B1A248E"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tcPr>
          <w:p w14:paraId="54F9240A"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8" w:type="dxa"/>
            <w:noWrap/>
          </w:tcPr>
          <w:p w14:paraId="74E88645"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noWrap/>
          </w:tcPr>
          <w:p w14:paraId="177401D3" w14:textId="26256456" w:rsidR="00526F2D" w:rsidRPr="00526F2D" w:rsidRDefault="00757542"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40</w:t>
            </w:r>
            <w:r w:rsidR="006D10B1">
              <w:rPr>
                <w:rFonts w:ascii="Calibri" w:hAnsi="Calibri" w:cs="Calibri"/>
                <w:color w:val="000000"/>
              </w:rPr>
              <w:t xml:space="preserve"> </w:t>
            </w:r>
            <w:r>
              <w:rPr>
                <w:rFonts w:ascii="Calibri" w:hAnsi="Calibri" w:cs="Calibri"/>
                <w:color w:val="000000"/>
              </w:rPr>
              <w:t>%</w:t>
            </w:r>
          </w:p>
        </w:tc>
      </w:tr>
      <w:tr w:rsidR="00526F2D" w:rsidRPr="00526F2D" w14:paraId="28D3C155" w14:textId="77777777" w:rsidTr="001E2DA7">
        <w:trPr>
          <w:trHeight w:val="338"/>
        </w:trPr>
        <w:tc>
          <w:tcPr>
            <w:cnfStyle w:val="001000000000" w:firstRow="0" w:lastRow="0" w:firstColumn="1" w:lastColumn="0" w:oddVBand="0" w:evenVBand="0" w:oddHBand="0" w:evenHBand="0" w:firstRowFirstColumn="0" w:firstRowLastColumn="0" w:lastRowFirstColumn="0" w:lastRowLastColumn="0"/>
            <w:tcW w:w="993" w:type="dxa"/>
            <w:vMerge/>
            <w:noWrap/>
            <w:hideMark/>
          </w:tcPr>
          <w:p w14:paraId="5EA779F3" w14:textId="77777777" w:rsidR="00526F2D" w:rsidRPr="00526F2D" w:rsidRDefault="00526F2D" w:rsidP="001E2DA7">
            <w:pPr>
              <w:rPr>
                <w:rFonts w:ascii="Calibri" w:hAnsi="Calibri" w:cs="Calibri"/>
                <w:color w:val="000000"/>
              </w:rPr>
            </w:pPr>
          </w:p>
        </w:tc>
        <w:tc>
          <w:tcPr>
            <w:tcW w:w="1134" w:type="dxa"/>
            <w:vAlign w:val="center"/>
          </w:tcPr>
          <w:p w14:paraId="59FE3E83"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HBCx-15</w:t>
            </w:r>
          </w:p>
        </w:tc>
        <w:tc>
          <w:tcPr>
            <w:tcW w:w="1134" w:type="dxa"/>
          </w:tcPr>
          <w:p w14:paraId="09B0FC43" w14:textId="57EC924C" w:rsidR="00526F2D" w:rsidRPr="00526F2D" w:rsidRDefault="001757C1"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20</w:t>
            </w:r>
          </w:p>
        </w:tc>
        <w:tc>
          <w:tcPr>
            <w:tcW w:w="1417" w:type="dxa"/>
          </w:tcPr>
          <w:p w14:paraId="65CA538E"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26F2D">
              <w:rPr>
                <w:rFonts w:ascii="Calibri" w:hAnsi="Calibri" w:cs="Calibri"/>
              </w:rPr>
              <w:t>0.0005</w:t>
            </w:r>
          </w:p>
        </w:tc>
        <w:tc>
          <w:tcPr>
            <w:tcW w:w="1098" w:type="dxa"/>
            <w:noWrap/>
          </w:tcPr>
          <w:p w14:paraId="1DF457CA"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tcPr>
          <w:p w14:paraId="41D894C2" w14:textId="6E2E67DB" w:rsidR="00526F2D" w:rsidRPr="00526F2D" w:rsidRDefault="001757C1"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85</w:t>
            </w:r>
            <w:r w:rsidR="006D10B1">
              <w:rPr>
                <w:rFonts w:ascii="Calibri" w:hAnsi="Calibri" w:cs="Calibri"/>
                <w:color w:val="000000"/>
              </w:rPr>
              <w:t xml:space="preserve"> </w:t>
            </w:r>
            <w:r>
              <w:rPr>
                <w:rFonts w:ascii="Calibri" w:hAnsi="Calibri" w:cs="Calibri"/>
                <w:color w:val="000000"/>
              </w:rPr>
              <w:t>%</w:t>
            </w:r>
          </w:p>
        </w:tc>
        <w:tc>
          <w:tcPr>
            <w:tcW w:w="1098" w:type="dxa"/>
            <w:noWrap/>
          </w:tcPr>
          <w:p w14:paraId="2CCFAF0B"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noWrap/>
          </w:tcPr>
          <w:p w14:paraId="367B074C" w14:textId="03870120" w:rsidR="00526F2D" w:rsidRPr="00526F2D" w:rsidRDefault="001757C1"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90</w:t>
            </w:r>
            <w:r w:rsidR="006D10B1">
              <w:rPr>
                <w:rFonts w:ascii="Calibri" w:hAnsi="Calibri" w:cs="Calibri"/>
                <w:color w:val="000000"/>
              </w:rPr>
              <w:t xml:space="preserve"> </w:t>
            </w:r>
            <w:r>
              <w:rPr>
                <w:rFonts w:ascii="Calibri" w:hAnsi="Calibri" w:cs="Calibri"/>
                <w:color w:val="000000"/>
              </w:rPr>
              <w:t>%</w:t>
            </w:r>
          </w:p>
        </w:tc>
      </w:tr>
      <w:tr w:rsidR="00526F2D" w:rsidRPr="00526F2D" w14:paraId="1C2B9BAB" w14:textId="77777777" w:rsidTr="001E2DA7">
        <w:trPr>
          <w:trHeight w:val="338"/>
        </w:trPr>
        <w:tc>
          <w:tcPr>
            <w:cnfStyle w:val="001000000000" w:firstRow="0" w:lastRow="0" w:firstColumn="1" w:lastColumn="0" w:oddVBand="0" w:evenVBand="0" w:oddHBand="0" w:evenHBand="0" w:firstRowFirstColumn="0" w:firstRowLastColumn="0" w:lastRowFirstColumn="0" w:lastRowLastColumn="0"/>
            <w:tcW w:w="993" w:type="dxa"/>
            <w:vMerge w:val="restart"/>
            <w:noWrap/>
            <w:vAlign w:val="center"/>
            <w:hideMark/>
          </w:tcPr>
          <w:p w14:paraId="5EACA1BC" w14:textId="77777777" w:rsidR="00526F2D" w:rsidRPr="00526F2D" w:rsidRDefault="00526F2D" w:rsidP="001E2DA7">
            <w:pPr>
              <w:jc w:val="center"/>
              <w:rPr>
                <w:rFonts w:ascii="Calibri" w:hAnsi="Calibri" w:cs="Calibri"/>
                <w:color w:val="000000"/>
              </w:rPr>
            </w:pPr>
            <w:r w:rsidRPr="00526F2D">
              <w:rPr>
                <w:rFonts w:ascii="Calibri" w:hAnsi="Calibri" w:cs="Calibri"/>
                <w:color w:val="000000"/>
              </w:rPr>
              <w:t>HRD-</w:t>
            </w:r>
          </w:p>
        </w:tc>
        <w:tc>
          <w:tcPr>
            <w:tcW w:w="1134" w:type="dxa"/>
            <w:vAlign w:val="center"/>
          </w:tcPr>
          <w:p w14:paraId="1FC58A8E" w14:textId="4B466F4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HBCx</w:t>
            </w:r>
            <w:r w:rsidR="003362EA">
              <w:rPr>
                <w:rFonts w:ascii="Calibri" w:hAnsi="Calibri" w:cs="Calibri"/>
                <w:color w:val="000000"/>
              </w:rPr>
              <w:t>-</w:t>
            </w:r>
            <w:r w:rsidRPr="00526F2D">
              <w:rPr>
                <w:rFonts w:ascii="Calibri" w:hAnsi="Calibri" w:cs="Calibri"/>
                <w:color w:val="000000"/>
              </w:rPr>
              <w:t>33</w:t>
            </w:r>
          </w:p>
        </w:tc>
        <w:tc>
          <w:tcPr>
            <w:tcW w:w="1134" w:type="dxa"/>
          </w:tcPr>
          <w:p w14:paraId="78613A95" w14:textId="519EC373" w:rsidR="00526F2D" w:rsidRPr="00526F2D" w:rsidRDefault="00183388"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30</w:t>
            </w:r>
          </w:p>
        </w:tc>
        <w:tc>
          <w:tcPr>
            <w:tcW w:w="1417" w:type="dxa"/>
          </w:tcPr>
          <w:p w14:paraId="45114D88" w14:textId="4082E855"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26F2D">
              <w:rPr>
                <w:rFonts w:ascii="Calibri" w:hAnsi="Calibri" w:cs="Calibri"/>
              </w:rPr>
              <w:t>0.0005</w:t>
            </w:r>
          </w:p>
        </w:tc>
        <w:tc>
          <w:tcPr>
            <w:tcW w:w="1098" w:type="dxa"/>
            <w:noWrap/>
          </w:tcPr>
          <w:p w14:paraId="43D8275C"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tcPr>
          <w:p w14:paraId="566ABCCD"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8" w:type="dxa"/>
            <w:noWrap/>
          </w:tcPr>
          <w:p w14:paraId="57D9F025"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noWrap/>
          </w:tcPr>
          <w:p w14:paraId="5EDE95F4"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r>
      <w:tr w:rsidR="00526F2D" w:rsidRPr="00526F2D" w14:paraId="0FC89ED5" w14:textId="77777777" w:rsidTr="001E2DA7">
        <w:trPr>
          <w:trHeight w:val="338"/>
        </w:trPr>
        <w:tc>
          <w:tcPr>
            <w:cnfStyle w:val="001000000000" w:firstRow="0" w:lastRow="0" w:firstColumn="1" w:lastColumn="0" w:oddVBand="0" w:evenVBand="0" w:oddHBand="0" w:evenHBand="0" w:firstRowFirstColumn="0" w:firstRowLastColumn="0" w:lastRowFirstColumn="0" w:lastRowLastColumn="0"/>
            <w:tcW w:w="993" w:type="dxa"/>
            <w:vMerge/>
            <w:noWrap/>
            <w:hideMark/>
          </w:tcPr>
          <w:p w14:paraId="4FFFA36C" w14:textId="77777777" w:rsidR="00526F2D" w:rsidRPr="00526F2D" w:rsidRDefault="00526F2D" w:rsidP="001E2DA7">
            <w:pPr>
              <w:rPr>
                <w:rFonts w:ascii="Calibri" w:hAnsi="Calibri" w:cs="Calibri"/>
                <w:color w:val="000000"/>
              </w:rPr>
            </w:pPr>
          </w:p>
        </w:tc>
        <w:tc>
          <w:tcPr>
            <w:tcW w:w="1134" w:type="dxa"/>
            <w:vAlign w:val="center"/>
          </w:tcPr>
          <w:p w14:paraId="1D2D37D5"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T311R</w:t>
            </w:r>
          </w:p>
        </w:tc>
        <w:tc>
          <w:tcPr>
            <w:tcW w:w="1134" w:type="dxa"/>
          </w:tcPr>
          <w:p w14:paraId="6AC3B8CC" w14:textId="372F9FA7" w:rsidR="00526F2D" w:rsidRPr="00526F2D" w:rsidRDefault="00183388"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36</w:t>
            </w:r>
          </w:p>
        </w:tc>
        <w:tc>
          <w:tcPr>
            <w:tcW w:w="1417" w:type="dxa"/>
          </w:tcPr>
          <w:p w14:paraId="719562D1"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26F2D">
              <w:rPr>
                <w:rFonts w:ascii="Calibri" w:hAnsi="Calibri" w:cs="Calibri"/>
              </w:rPr>
              <w:t>0.0002</w:t>
            </w:r>
          </w:p>
        </w:tc>
        <w:tc>
          <w:tcPr>
            <w:tcW w:w="1098" w:type="dxa"/>
            <w:noWrap/>
          </w:tcPr>
          <w:p w14:paraId="0AFCDDAC"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tcPr>
          <w:p w14:paraId="21D0B8C6"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8" w:type="dxa"/>
            <w:noWrap/>
          </w:tcPr>
          <w:p w14:paraId="5F4D3AA0"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noWrap/>
          </w:tcPr>
          <w:p w14:paraId="30CEFCE5"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r>
      <w:tr w:rsidR="00526F2D" w:rsidRPr="00526F2D" w14:paraId="737E22D2" w14:textId="77777777" w:rsidTr="001E2DA7">
        <w:trPr>
          <w:trHeight w:val="338"/>
        </w:trPr>
        <w:tc>
          <w:tcPr>
            <w:cnfStyle w:val="001000000000" w:firstRow="0" w:lastRow="0" w:firstColumn="1" w:lastColumn="0" w:oddVBand="0" w:evenVBand="0" w:oddHBand="0" w:evenHBand="0" w:firstRowFirstColumn="0" w:firstRowLastColumn="0" w:lastRowFirstColumn="0" w:lastRowLastColumn="0"/>
            <w:tcW w:w="993" w:type="dxa"/>
            <w:vMerge/>
            <w:noWrap/>
            <w:hideMark/>
          </w:tcPr>
          <w:p w14:paraId="1E82095A" w14:textId="77777777" w:rsidR="00526F2D" w:rsidRPr="00526F2D" w:rsidRDefault="00526F2D" w:rsidP="001E2DA7">
            <w:pPr>
              <w:rPr>
                <w:rFonts w:ascii="Calibri" w:hAnsi="Calibri" w:cs="Calibri"/>
                <w:color w:val="000000"/>
              </w:rPr>
            </w:pPr>
          </w:p>
        </w:tc>
        <w:tc>
          <w:tcPr>
            <w:tcW w:w="1134" w:type="dxa"/>
            <w:vAlign w:val="center"/>
          </w:tcPr>
          <w:p w14:paraId="7DAD8F78" w14:textId="77777777" w:rsidR="00526F2D" w:rsidRPr="00526F2D" w:rsidRDefault="00526F2D" w:rsidP="001E2DA7">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HBCx-30</w:t>
            </w:r>
          </w:p>
        </w:tc>
        <w:tc>
          <w:tcPr>
            <w:tcW w:w="1134" w:type="dxa"/>
          </w:tcPr>
          <w:p w14:paraId="0665DD44" w14:textId="55158F15" w:rsidR="00526F2D" w:rsidRPr="00526F2D" w:rsidRDefault="00665EC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30</w:t>
            </w:r>
          </w:p>
        </w:tc>
        <w:tc>
          <w:tcPr>
            <w:tcW w:w="1417" w:type="dxa"/>
          </w:tcPr>
          <w:p w14:paraId="0CE6381F"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526F2D">
              <w:rPr>
                <w:rFonts w:ascii="Calibri" w:hAnsi="Calibri" w:cs="Calibri"/>
              </w:rPr>
              <w:t>0.0002</w:t>
            </w:r>
          </w:p>
        </w:tc>
        <w:tc>
          <w:tcPr>
            <w:tcW w:w="1098" w:type="dxa"/>
            <w:noWrap/>
          </w:tcPr>
          <w:p w14:paraId="7703BC80"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tcPr>
          <w:p w14:paraId="65636007"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8" w:type="dxa"/>
            <w:noWrap/>
          </w:tcPr>
          <w:p w14:paraId="3067CB2E"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c>
          <w:tcPr>
            <w:tcW w:w="1099" w:type="dxa"/>
            <w:noWrap/>
          </w:tcPr>
          <w:p w14:paraId="18EA6700" w14:textId="77777777" w:rsidR="00526F2D" w:rsidRPr="00526F2D" w:rsidRDefault="00526F2D" w:rsidP="001E2DA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526F2D">
              <w:rPr>
                <w:rFonts w:ascii="Calibri" w:hAnsi="Calibri" w:cs="Calibri"/>
                <w:color w:val="000000"/>
              </w:rPr>
              <w:t>0</w:t>
            </w:r>
          </w:p>
        </w:tc>
      </w:tr>
    </w:tbl>
    <w:p w14:paraId="1DABC603" w14:textId="77777777" w:rsidR="00D2211E" w:rsidRDefault="00D2211E" w:rsidP="002E0DC7">
      <w:pPr>
        <w:spacing w:line="276" w:lineRule="auto"/>
        <w:jc w:val="both"/>
      </w:pPr>
    </w:p>
    <w:p w14:paraId="01FBC91E" w14:textId="77777777" w:rsidR="008C17A1" w:rsidRPr="00734121" w:rsidRDefault="008C17A1" w:rsidP="008C17A1">
      <w:pPr>
        <w:jc w:val="both"/>
      </w:pPr>
    </w:p>
    <w:p w14:paraId="743B7DDB" w14:textId="1F3B3F8E" w:rsidR="00CA129E" w:rsidRPr="00734121" w:rsidRDefault="00CA129E"/>
    <w:p w14:paraId="17EB5E46" w14:textId="77777777" w:rsidR="004A361D" w:rsidRPr="00734121" w:rsidRDefault="004A361D">
      <w:pPr>
        <w:rPr>
          <w:b/>
          <w:bCs/>
        </w:rPr>
      </w:pPr>
      <w:r w:rsidRPr="00734121">
        <w:rPr>
          <w:b/>
          <w:bCs/>
        </w:rPr>
        <w:br w:type="page"/>
      </w:r>
    </w:p>
    <w:p w14:paraId="124DC90D" w14:textId="27CA21AC" w:rsidR="003875F5" w:rsidRDefault="003875F5" w:rsidP="003875F5">
      <w:pPr>
        <w:pStyle w:val="Heading1"/>
        <w:rPr>
          <w:b/>
          <w:bCs/>
          <w:color w:val="000000" w:themeColor="text1"/>
        </w:rPr>
      </w:pPr>
      <w:r w:rsidRPr="00734121">
        <w:rPr>
          <w:b/>
          <w:bCs/>
          <w:color w:val="000000" w:themeColor="text1"/>
        </w:rPr>
        <w:t xml:space="preserve">Supplementary </w:t>
      </w:r>
      <w:r w:rsidR="00F74BBE">
        <w:rPr>
          <w:b/>
          <w:bCs/>
          <w:color w:val="000000" w:themeColor="text1"/>
        </w:rPr>
        <w:t>F</w:t>
      </w:r>
      <w:r w:rsidRPr="00734121">
        <w:rPr>
          <w:b/>
          <w:bCs/>
          <w:color w:val="000000" w:themeColor="text1"/>
        </w:rPr>
        <w:t>igures</w:t>
      </w:r>
    </w:p>
    <w:p w14:paraId="68E76988" w14:textId="77777777" w:rsidR="00CF4774" w:rsidRDefault="00CF4774" w:rsidP="00CF4774"/>
    <w:p w14:paraId="56611CA1" w14:textId="5E05417A" w:rsidR="00CF4774" w:rsidRDefault="00CF4774" w:rsidP="00CF4774">
      <w:pPr>
        <w:pStyle w:val="Heading2"/>
        <w:rPr>
          <w:b/>
          <w:bCs/>
          <w:color w:val="auto"/>
        </w:rPr>
      </w:pPr>
      <w:r>
        <w:rPr>
          <w:b/>
          <w:bCs/>
          <w:color w:val="auto"/>
        </w:rPr>
        <w:t>Figure</w:t>
      </w:r>
      <w:r w:rsidRPr="00B561B2">
        <w:rPr>
          <w:b/>
          <w:bCs/>
          <w:color w:val="auto"/>
        </w:rPr>
        <w:t xml:space="preserve"> S1. </w:t>
      </w:r>
      <w:r w:rsidRPr="00CF4774">
        <w:rPr>
          <w:b/>
          <w:bCs/>
          <w:color w:val="auto"/>
        </w:rPr>
        <w:t>Tumour growth models comparison</w:t>
      </w:r>
      <w:r w:rsidR="00FB4B42">
        <w:rPr>
          <w:b/>
          <w:bCs/>
          <w:color w:val="auto"/>
        </w:rPr>
        <w:t>.</w:t>
      </w:r>
      <w:r w:rsidRPr="00B561B2">
        <w:rPr>
          <w:b/>
          <w:bCs/>
          <w:color w:val="auto"/>
        </w:rPr>
        <w:t xml:space="preserve"> </w:t>
      </w:r>
    </w:p>
    <w:p w14:paraId="3AAEB082" w14:textId="09668D1C" w:rsidR="00FF6995" w:rsidRPr="00112732" w:rsidRDefault="00F76234" w:rsidP="00112732">
      <w:pPr>
        <w:jc w:val="both"/>
      </w:pPr>
      <w:r>
        <w:t xml:space="preserve">Fitting results for tumour growth models </w:t>
      </w:r>
      <w:proofErr w:type="spellStart"/>
      <w:r>
        <w:t>Mayneord</w:t>
      </w:r>
      <w:proofErr w:type="spellEnd"/>
      <w:r>
        <w:t xml:space="preserve"> and Simeoni. </w:t>
      </w:r>
      <w:r w:rsidR="004E45C6">
        <w:rPr>
          <w:b/>
          <w:bCs/>
        </w:rPr>
        <w:t xml:space="preserve">A. </w:t>
      </w:r>
      <w:r w:rsidR="00CF4774">
        <w:t xml:space="preserve">Observed tumour radius for untreated mice (grey lines and markers) from various experimental data sets with different PDX tumour models. Model simulations are overlaid with the data for different mathematical models of tumour growth: </w:t>
      </w:r>
      <w:proofErr w:type="spellStart"/>
      <w:r w:rsidR="00CF4774">
        <w:t>Mayneord</w:t>
      </w:r>
      <w:proofErr w:type="spellEnd"/>
      <w:r w:rsidR="007F1FCB">
        <w:t>,</w:t>
      </w:r>
      <w:r w:rsidR="00CF4774">
        <w:t xml:space="preserve"> assuming linear growth of the radius (red), Simeoni</w:t>
      </w:r>
      <w:r w:rsidR="007F1FCB">
        <w:t>,</w:t>
      </w:r>
      <w:r w:rsidR="00CF4774">
        <w:t xml:space="preserve"> assuming first an exponential growth then linear growth of volume (yellow), and the model used in this paper, </w:t>
      </w:r>
      <w:r w:rsidR="00CF4774" w:rsidRPr="00BA018B">
        <w:t>designated</w:t>
      </w:r>
      <w:r w:rsidR="00CF4774">
        <w:t xml:space="preserve"> as “Virtual Tumour” (blue), which is based on the same principle as </w:t>
      </w:r>
      <w:proofErr w:type="spellStart"/>
      <w:r w:rsidR="00CF4774">
        <w:t>Mayneord</w:t>
      </w:r>
      <w:proofErr w:type="spellEnd"/>
      <w:r w:rsidR="00CF4774">
        <w:t>.</w:t>
      </w:r>
      <w:r w:rsidR="00C01A66">
        <w:t xml:space="preserve"> </w:t>
      </w:r>
      <w:r w:rsidR="00146977">
        <w:rPr>
          <w:b/>
          <w:bCs/>
        </w:rPr>
        <w:t xml:space="preserve">B. </w:t>
      </w:r>
      <w:r w:rsidR="00146977">
        <w:t>Precision of the fitted parameters across all</w:t>
      </w:r>
      <w:r w:rsidR="00E26B4E">
        <w:t xml:space="preserve"> 13</w:t>
      </w:r>
      <w:r w:rsidR="00146977">
        <w:t xml:space="preserve"> </w:t>
      </w:r>
      <w:r w:rsidR="005013C1" w:rsidRPr="005013C1">
        <w:t xml:space="preserve">in-vivo </w:t>
      </w:r>
      <w:r w:rsidR="00146977" w:rsidRPr="005013C1">
        <w:t>expe</w:t>
      </w:r>
      <w:r w:rsidR="00146977">
        <w:t>riments</w:t>
      </w:r>
      <w:r w:rsidR="00E26B4E">
        <w:t xml:space="preserve"> used in thi</w:t>
      </w:r>
      <w:r w:rsidR="005013C1">
        <w:t>s paper</w:t>
      </w:r>
      <w:r w:rsidR="00A9412F">
        <w:t xml:space="preserve"> (one parameter for </w:t>
      </w:r>
      <w:proofErr w:type="spellStart"/>
      <w:r w:rsidR="00A9412F">
        <w:t>Mayneord</w:t>
      </w:r>
      <w:proofErr w:type="spellEnd"/>
      <w:r w:rsidR="00A9412F">
        <w:t xml:space="preserve"> model, two parameters for Simeoni model</w:t>
      </w:r>
      <w:r w:rsidR="00C01AEA">
        <w:t>)</w:t>
      </w:r>
      <w:r w:rsidR="00146977">
        <w:t xml:space="preserve">. </w:t>
      </w:r>
      <w:r w:rsidR="00C01AEA">
        <w:rPr>
          <w:b/>
          <w:bCs/>
        </w:rPr>
        <w:t xml:space="preserve">C. </w:t>
      </w:r>
      <w:r w:rsidR="00D902A1">
        <w:t>SSE = sum of squared errors</w:t>
      </w:r>
      <w:r w:rsidR="005A5BA1">
        <w:t xml:space="preserve"> of the fits</w:t>
      </w:r>
      <w:r w:rsidR="00D902A1">
        <w:t>.</w:t>
      </w:r>
    </w:p>
    <w:p w14:paraId="1F3F1AEF" w14:textId="18E47718" w:rsidR="00FF6995" w:rsidRPr="00734121" w:rsidRDefault="00C77145">
      <w:pPr>
        <w:rPr>
          <w:b/>
          <w:bCs/>
        </w:rPr>
      </w:pPr>
      <w:r w:rsidRPr="00C77145">
        <w:rPr>
          <w:b/>
          <w:bCs/>
          <w:noProof/>
        </w:rPr>
        <w:drawing>
          <wp:inline distT="0" distB="0" distL="0" distR="0" wp14:anchorId="0FB98673" wp14:editId="092862D5">
            <wp:extent cx="5731510" cy="4145915"/>
            <wp:effectExtent l="0" t="0" r="2540" b="6985"/>
            <wp:docPr id="17035699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569984"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4145915"/>
                    </a:xfrm>
                    <a:prstGeom prst="rect">
                      <a:avLst/>
                    </a:prstGeom>
                  </pic:spPr>
                </pic:pic>
              </a:graphicData>
            </a:graphic>
          </wp:inline>
        </w:drawing>
      </w:r>
    </w:p>
    <w:p w14:paraId="017B207E" w14:textId="5FEAC403" w:rsidR="00C452DE" w:rsidRPr="00734121" w:rsidRDefault="00C452DE">
      <w:pPr>
        <w:rPr>
          <w:b/>
          <w:bCs/>
        </w:rPr>
      </w:pPr>
    </w:p>
    <w:p w14:paraId="51F1D61A" w14:textId="77777777" w:rsidR="00C452DE" w:rsidRDefault="00C452DE">
      <w:pPr>
        <w:rPr>
          <w:b/>
          <w:bCs/>
        </w:rPr>
      </w:pPr>
    </w:p>
    <w:p w14:paraId="5F3DC2FB" w14:textId="77777777" w:rsidR="00C520F3" w:rsidRPr="00734121" w:rsidRDefault="00C520F3">
      <w:pPr>
        <w:rPr>
          <w:b/>
          <w:bCs/>
        </w:rPr>
      </w:pPr>
    </w:p>
    <w:p w14:paraId="5A6556D4" w14:textId="23C68803" w:rsidR="00666B73" w:rsidRPr="00A65BEA" w:rsidRDefault="00666B73" w:rsidP="00693D15">
      <w:pPr>
        <w:pStyle w:val="Heading2"/>
        <w:jc w:val="both"/>
        <w:rPr>
          <w:b/>
          <w:bCs/>
          <w:color w:val="auto"/>
        </w:rPr>
      </w:pPr>
      <w:r w:rsidRPr="00A65BEA">
        <w:rPr>
          <w:b/>
          <w:bCs/>
          <w:color w:val="auto"/>
        </w:rPr>
        <w:t>Figure S</w:t>
      </w:r>
      <w:r w:rsidR="00DF6A71" w:rsidRPr="00A65BEA">
        <w:rPr>
          <w:b/>
          <w:bCs/>
          <w:color w:val="auto"/>
        </w:rPr>
        <w:t>2</w:t>
      </w:r>
      <w:r w:rsidRPr="00A65BEA">
        <w:rPr>
          <w:b/>
          <w:bCs/>
          <w:color w:val="auto"/>
        </w:rPr>
        <w:t xml:space="preserve">. </w:t>
      </w:r>
      <w:r w:rsidR="00000D89" w:rsidRPr="00A65BEA">
        <w:rPr>
          <w:b/>
          <w:bCs/>
          <w:color w:val="auto"/>
        </w:rPr>
        <w:t xml:space="preserve">Model simulation: </w:t>
      </w:r>
      <w:r w:rsidR="004C20E2" w:rsidRPr="00A65BEA">
        <w:rPr>
          <w:b/>
          <w:bCs/>
          <w:color w:val="auto"/>
        </w:rPr>
        <w:t xml:space="preserve">in the DDR model, </w:t>
      </w:r>
      <w:r w:rsidR="00731FBD" w:rsidRPr="00A65BEA">
        <w:rPr>
          <w:b/>
          <w:bCs/>
          <w:color w:val="auto"/>
        </w:rPr>
        <w:t>three effects</w:t>
      </w:r>
      <w:r w:rsidR="00115F61" w:rsidRPr="00A65BEA">
        <w:rPr>
          <w:b/>
          <w:bCs/>
          <w:color w:val="auto"/>
        </w:rPr>
        <w:t xml:space="preserve"> </w:t>
      </w:r>
      <w:r w:rsidR="004C20E2" w:rsidRPr="00A65BEA">
        <w:rPr>
          <w:b/>
          <w:bCs/>
          <w:color w:val="auto"/>
        </w:rPr>
        <w:t xml:space="preserve">due to ATR inhibition </w:t>
      </w:r>
      <w:r w:rsidR="00E16DE4" w:rsidRPr="00A65BEA">
        <w:rPr>
          <w:b/>
          <w:bCs/>
          <w:color w:val="auto"/>
        </w:rPr>
        <w:t xml:space="preserve">contribute </w:t>
      </w:r>
      <w:r w:rsidR="004C20E2" w:rsidRPr="00A65BEA">
        <w:rPr>
          <w:b/>
          <w:bCs/>
          <w:color w:val="auto"/>
        </w:rPr>
        <w:t xml:space="preserve">to </w:t>
      </w:r>
      <w:r w:rsidR="00E16DE4" w:rsidRPr="00A65BEA">
        <w:rPr>
          <w:b/>
          <w:bCs/>
          <w:color w:val="auto"/>
        </w:rPr>
        <w:t xml:space="preserve">the synergistic combination </w:t>
      </w:r>
      <w:r w:rsidR="004C20E2" w:rsidRPr="00A65BEA">
        <w:rPr>
          <w:b/>
          <w:bCs/>
          <w:color w:val="auto"/>
        </w:rPr>
        <w:t>with</w:t>
      </w:r>
      <w:r w:rsidR="00E16DE4" w:rsidRPr="00A65BEA">
        <w:rPr>
          <w:b/>
          <w:bCs/>
          <w:color w:val="auto"/>
        </w:rPr>
        <w:t xml:space="preserve"> </w:t>
      </w:r>
      <w:r w:rsidR="004C20E2" w:rsidRPr="00A65BEA">
        <w:rPr>
          <w:b/>
          <w:bCs/>
          <w:color w:val="auto"/>
        </w:rPr>
        <w:t xml:space="preserve">the PARP inhibitor </w:t>
      </w:r>
      <w:r w:rsidR="00E16DE4" w:rsidRPr="00A65BEA">
        <w:rPr>
          <w:b/>
          <w:bCs/>
          <w:color w:val="auto"/>
        </w:rPr>
        <w:t>rucaparib</w:t>
      </w:r>
      <w:r w:rsidR="004C20E2" w:rsidRPr="00A65BEA">
        <w:rPr>
          <w:b/>
          <w:bCs/>
          <w:color w:val="auto"/>
        </w:rPr>
        <w:t>.</w:t>
      </w:r>
      <w:r w:rsidR="00E16DE4" w:rsidRPr="00A65BEA">
        <w:rPr>
          <w:b/>
          <w:bCs/>
          <w:color w:val="auto"/>
        </w:rPr>
        <w:t xml:space="preserve"> </w:t>
      </w:r>
    </w:p>
    <w:p w14:paraId="3DF708C7" w14:textId="7D4800BD" w:rsidR="00000D89" w:rsidRPr="00734121" w:rsidRDefault="00731FBD" w:rsidP="00731FBD">
      <w:pPr>
        <w:jc w:val="both"/>
      </w:pPr>
      <w:r w:rsidRPr="00734121">
        <w:t>Simulation of a combination regimen</w:t>
      </w:r>
      <w:r w:rsidR="004C20E2" w:rsidRPr="00734121">
        <w:t xml:space="preserve"> rucaparib + </w:t>
      </w:r>
      <w:proofErr w:type="spellStart"/>
      <w:r w:rsidR="004C20E2" w:rsidRPr="00734121">
        <w:t>gartisertib</w:t>
      </w:r>
      <w:proofErr w:type="spellEnd"/>
      <w:r w:rsidRPr="00734121">
        <w:t xml:space="preserve"> from study 1 in HBCx-9 tumour model (Figure 1B)</w:t>
      </w:r>
      <w:r w:rsidR="004C20E2" w:rsidRPr="00734121">
        <w:t>,</w:t>
      </w:r>
      <w:r w:rsidRPr="00734121">
        <w:t xml:space="preserve"> in comparison with rucaparib monotherapy. </w:t>
      </w:r>
      <w:r w:rsidR="00000D89" w:rsidRPr="00734121">
        <w:t xml:space="preserve">Treatment starts at Day 1, last dosing at Day 35 (dotted line). Rucaparib is given twice (bid) a day x35 days at </w:t>
      </w:r>
      <w:r w:rsidRPr="00734121">
        <w:t>100 mg/kg</w:t>
      </w:r>
      <w:r w:rsidR="00000D89" w:rsidRPr="00734121">
        <w:t xml:space="preserve">. </w:t>
      </w:r>
      <w:proofErr w:type="spellStart"/>
      <w:r w:rsidR="00000D89" w:rsidRPr="00734121">
        <w:t>Gartisertib</w:t>
      </w:r>
      <w:proofErr w:type="spellEnd"/>
      <w:r w:rsidR="00000D89" w:rsidRPr="00734121">
        <w:t xml:space="preserve"> is given once a day (</w:t>
      </w:r>
      <w:proofErr w:type="spellStart"/>
      <w:r w:rsidR="00000D89" w:rsidRPr="00734121">
        <w:t>qd</w:t>
      </w:r>
      <w:proofErr w:type="spellEnd"/>
      <w:r w:rsidRPr="00734121">
        <w:t>)</w:t>
      </w:r>
      <w:r w:rsidR="00000D89" w:rsidRPr="00734121">
        <w:t xml:space="preserve"> x35 days</w:t>
      </w:r>
      <w:r w:rsidRPr="00734121">
        <w:t xml:space="preserve"> at 3 mg/kg.</w:t>
      </w:r>
      <w:r w:rsidR="00000D89" w:rsidRPr="00734121">
        <w:t xml:space="preserve"> </w:t>
      </w:r>
      <w:r w:rsidRPr="00734121">
        <w:t xml:space="preserve">Combination simulations </w:t>
      </w:r>
      <w:r w:rsidR="004C20E2" w:rsidRPr="00734121">
        <w:t>were</w:t>
      </w:r>
      <w:r w:rsidRPr="00734121">
        <w:t xml:space="preserve"> run with either all ATR</w:t>
      </w:r>
      <w:r w:rsidR="004C20E2" w:rsidRPr="00734121">
        <w:t xml:space="preserve"> </w:t>
      </w:r>
      <w:r w:rsidRPr="00734121">
        <w:t>i</w:t>
      </w:r>
      <w:r w:rsidR="004C20E2" w:rsidRPr="00734121">
        <w:t>nhibitor</w:t>
      </w:r>
      <w:r w:rsidRPr="00734121">
        <w:t xml:space="preserve"> drug </w:t>
      </w:r>
      <w:r w:rsidR="00E77AC7" w:rsidRPr="00734121">
        <w:t>effects or</w:t>
      </w:r>
      <w:r w:rsidRPr="00734121">
        <w:t xml:space="preserve"> turning off one of the effects</w:t>
      </w:r>
      <w:r w:rsidR="004C20E2" w:rsidRPr="00734121">
        <w:t xml:space="preserve"> </w:t>
      </w:r>
      <w:r w:rsidRPr="00734121">
        <w:t>as specified.</w:t>
      </w:r>
    </w:p>
    <w:p w14:paraId="33AE3A15" w14:textId="35FC76DA" w:rsidR="00000D89" w:rsidRPr="00734121" w:rsidRDefault="00731FBD">
      <w:pPr>
        <w:rPr>
          <w:b/>
          <w:bCs/>
        </w:rPr>
      </w:pPr>
      <w:r w:rsidRPr="00734121">
        <w:rPr>
          <w:b/>
          <w:bCs/>
          <w:noProof/>
        </w:rPr>
        <w:drawing>
          <wp:inline distT="0" distB="0" distL="0" distR="0" wp14:anchorId="4A34FDCB" wp14:editId="6DF92824">
            <wp:extent cx="4314825" cy="2162175"/>
            <wp:effectExtent l="0" t="0" r="9525" b="9525"/>
            <wp:docPr id="9501169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116952"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4314825" cy="2162175"/>
                    </a:xfrm>
                    <a:prstGeom prst="rect">
                      <a:avLst/>
                    </a:prstGeom>
                  </pic:spPr>
                </pic:pic>
              </a:graphicData>
            </a:graphic>
          </wp:inline>
        </w:drawing>
      </w:r>
    </w:p>
    <w:p w14:paraId="2277A502" w14:textId="0A85CD4A" w:rsidR="0032109D" w:rsidRPr="00734121" w:rsidRDefault="0032109D">
      <w:pPr>
        <w:rPr>
          <w:b/>
          <w:bCs/>
        </w:rPr>
      </w:pPr>
    </w:p>
    <w:p w14:paraId="5CE565AE" w14:textId="77777777" w:rsidR="0032109D" w:rsidRPr="00734121" w:rsidRDefault="0032109D">
      <w:pPr>
        <w:rPr>
          <w:b/>
          <w:bCs/>
        </w:rPr>
      </w:pPr>
      <w:r w:rsidRPr="00734121">
        <w:rPr>
          <w:b/>
          <w:bCs/>
        </w:rPr>
        <w:br w:type="page"/>
      </w:r>
    </w:p>
    <w:p w14:paraId="0D1227A9" w14:textId="0BC5C4A1" w:rsidR="004C20E2" w:rsidRPr="001B20EB" w:rsidRDefault="00C1194D" w:rsidP="001B20EB">
      <w:pPr>
        <w:pStyle w:val="Heading2"/>
        <w:rPr>
          <w:b/>
          <w:bCs/>
          <w:color w:val="auto"/>
        </w:rPr>
      </w:pPr>
      <w:r w:rsidRPr="001B20EB">
        <w:rPr>
          <w:b/>
          <w:bCs/>
          <w:color w:val="auto"/>
        </w:rPr>
        <w:t>Figure S</w:t>
      </w:r>
      <w:r w:rsidR="001B20EB" w:rsidRPr="001B20EB">
        <w:rPr>
          <w:b/>
          <w:bCs/>
          <w:color w:val="auto"/>
        </w:rPr>
        <w:t>3</w:t>
      </w:r>
      <w:r w:rsidR="00EF74C1" w:rsidRPr="001B20EB">
        <w:rPr>
          <w:b/>
          <w:bCs/>
          <w:color w:val="auto"/>
        </w:rPr>
        <w:t xml:space="preserve">. Model simulation overlaid with the TGI of each animal in experimental study </w:t>
      </w:r>
      <w:r w:rsidR="000916DE" w:rsidRPr="001B20EB">
        <w:rPr>
          <w:b/>
          <w:bCs/>
          <w:color w:val="auto"/>
        </w:rPr>
        <w:t xml:space="preserve">2 </w:t>
      </w:r>
      <w:r w:rsidR="00EF74C1" w:rsidRPr="001B20EB">
        <w:rPr>
          <w:b/>
          <w:bCs/>
          <w:color w:val="auto"/>
        </w:rPr>
        <w:t>in HBCx-9 tumour model</w:t>
      </w:r>
      <w:r w:rsidR="00CF31B3">
        <w:rPr>
          <w:b/>
          <w:bCs/>
          <w:color w:val="auto"/>
        </w:rPr>
        <w:t xml:space="preserve">, and </w:t>
      </w:r>
      <w:r w:rsidR="00404470">
        <w:rPr>
          <w:b/>
          <w:bCs/>
          <w:color w:val="auto"/>
        </w:rPr>
        <w:t xml:space="preserve">parameter </w:t>
      </w:r>
      <w:r w:rsidR="00CF31B3">
        <w:rPr>
          <w:b/>
          <w:bCs/>
          <w:color w:val="auto"/>
        </w:rPr>
        <w:t>local sensitivity</w:t>
      </w:r>
      <w:r w:rsidR="00EF74C1" w:rsidRPr="001B20EB">
        <w:rPr>
          <w:b/>
          <w:bCs/>
          <w:color w:val="auto"/>
        </w:rPr>
        <w:t xml:space="preserve">. </w:t>
      </w:r>
      <w:r w:rsidR="004C20E2" w:rsidRPr="001B20EB">
        <w:rPr>
          <w:b/>
          <w:bCs/>
          <w:color w:val="auto"/>
        </w:rPr>
        <w:t xml:space="preserve"> </w:t>
      </w:r>
    </w:p>
    <w:p w14:paraId="7A47E2DF" w14:textId="4C1A1E64" w:rsidR="000658F5" w:rsidRPr="0001601B" w:rsidRDefault="00EF74C1" w:rsidP="004C20E2">
      <w:pPr>
        <w:jc w:val="both"/>
        <w:rPr>
          <w:b/>
          <w:bCs/>
        </w:rPr>
      </w:pPr>
      <w:r w:rsidRPr="00734121">
        <w:t>C</w:t>
      </w:r>
      <w:r w:rsidR="00C1194D" w:rsidRPr="00734121">
        <w:t>olo</w:t>
      </w:r>
      <w:r w:rsidR="00FF2FF4">
        <w:t>u</w:t>
      </w:r>
      <w:r w:rsidR="00C1194D" w:rsidRPr="00734121">
        <w:t xml:space="preserve">red </w:t>
      </w:r>
      <w:r w:rsidR="00C1194D" w:rsidRPr="00B86F32">
        <w:t>lines</w:t>
      </w:r>
      <w:r w:rsidRPr="00B86F32">
        <w:t xml:space="preserve">: </w:t>
      </w:r>
      <w:r w:rsidR="001B20EB" w:rsidRPr="00B86F32">
        <w:t>animals’</w:t>
      </w:r>
      <w:r w:rsidRPr="00B86F32">
        <w:t xml:space="preserve"> data.</w:t>
      </w:r>
      <w:r w:rsidR="00DA0E7C" w:rsidRPr="00B86F32">
        <w:t xml:space="preserve"> Black lines: model simulation. Solid lines</w:t>
      </w:r>
      <w:r w:rsidR="00643037" w:rsidRPr="00B86F32">
        <w:t xml:space="preserve">: default model simulations (parameters from Table 1 in main; </w:t>
      </w:r>
      <w:r w:rsidR="00EC541F">
        <w:t>cell doubling time</w:t>
      </w:r>
      <w:r w:rsidR="00B86F32" w:rsidRPr="00B86F32">
        <w:t xml:space="preserve"> </w:t>
      </w:r>
      <m:oMath>
        <m:sSub>
          <m:sSubPr>
            <m:ctrlPr>
              <w:rPr>
                <w:rFonts w:ascii="Cambria Math" w:eastAsia="Calibri" w:hAnsi="Cambria Math" w:cstheme="minorHAnsi"/>
              </w:rPr>
            </m:ctrlPr>
          </m:sSubPr>
          <m:e>
            <m:r>
              <w:rPr>
                <w:rFonts w:ascii="Cambria Math" w:eastAsia="Calibri" w:hAnsi="Cambria Math" w:cstheme="minorHAnsi"/>
              </w:rPr>
              <m:t>t</m:t>
            </m:r>
          </m:e>
          <m:sub>
            <m:r>
              <w:rPr>
                <w:rFonts w:ascii="Cambria Math" w:eastAsia="Calibri" w:hAnsi="Cambria Math" w:cstheme="minorHAnsi"/>
              </w:rPr>
              <m:t>doub</m:t>
            </m:r>
          </m:sub>
        </m:sSub>
      </m:oMath>
      <w:r w:rsidR="00B86F32" w:rsidRPr="00B86F32">
        <w:rPr>
          <w:rFonts w:eastAsiaTheme="minorEastAsia"/>
        </w:rPr>
        <w:t xml:space="preserve"> = 31h,</w:t>
      </w:r>
      <w:r w:rsidR="00D73C83">
        <w:rPr>
          <w:rFonts w:eastAsiaTheme="minorEastAsia"/>
        </w:rPr>
        <w:t xml:space="preserve"> HR deficiency parameter</w:t>
      </w:r>
      <w:r w:rsidR="00B86F32" w:rsidRPr="00B86F32">
        <w:rPr>
          <w:rFonts w:eastAsiaTheme="minorEastAsia"/>
        </w:rPr>
        <w:t xml:space="preserve"> </w:t>
      </w:r>
      <m:oMath>
        <m:sSub>
          <m:sSubPr>
            <m:ctrlPr>
              <w:rPr>
                <w:rFonts w:ascii="Cambria Math" w:eastAsia="Calibri" w:hAnsi="Cambria Math" w:cstheme="minorHAnsi"/>
              </w:rPr>
            </m:ctrlPr>
          </m:sSubPr>
          <m:e>
            <m:r>
              <w:rPr>
                <w:rFonts w:ascii="Cambria Math" w:eastAsia="Calibri" w:hAnsi="Cambria Math" w:cstheme="minorHAnsi"/>
              </w:rPr>
              <m:t>def</m:t>
            </m:r>
          </m:e>
          <m:sub>
            <m:r>
              <w:rPr>
                <w:rFonts w:ascii="Cambria Math" w:eastAsia="Calibri" w:hAnsi="Cambria Math" w:cstheme="minorHAnsi"/>
              </w:rPr>
              <m:t>4</m:t>
            </m:r>
          </m:sub>
        </m:sSub>
      </m:oMath>
      <w:r w:rsidR="00B86F32" w:rsidRPr="00B86F32">
        <w:rPr>
          <w:rFonts w:eastAsiaTheme="minorEastAsia"/>
        </w:rPr>
        <w:t>=20%</w:t>
      </w:r>
      <w:r w:rsidR="00B86F32">
        <w:rPr>
          <w:rFonts w:eastAsiaTheme="minorEastAsia"/>
        </w:rPr>
        <w:t>)</w:t>
      </w:r>
      <w:r w:rsidR="00D73C83">
        <w:rPr>
          <w:rFonts w:eastAsiaTheme="minorEastAsia"/>
        </w:rPr>
        <w:t>. Dotted and dashed lines: local sensitivity analysis</w:t>
      </w:r>
      <w:r w:rsidR="0005119B">
        <w:rPr>
          <w:rFonts w:eastAsiaTheme="minorEastAsia"/>
        </w:rPr>
        <w:t xml:space="preserve">, varying either </w:t>
      </w:r>
      <w:r w:rsidR="0001601B">
        <w:rPr>
          <w:rFonts w:eastAsiaTheme="minorEastAsia"/>
          <w:b/>
          <w:bCs/>
        </w:rPr>
        <w:t xml:space="preserve">(A) </w:t>
      </w:r>
      <w:r w:rsidR="00356980">
        <w:t>cell doubling time</w:t>
      </w:r>
      <w:r w:rsidR="00356980" w:rsidRPr="00B86F32">
        <w:t xml:space="preserve"> </w:t>
      </w:r>
      <m:oMath>
        <m:sSub>
          <m:sSubPr>
            <m:ctrlPr>
              <w:rPr>
                <w:rFonts w:ascii="Cambria Math" w:eastAsia="Calibri" w:hAnsi="Cambria Math" w:cstheme="minorHAnsi"/>
              </w:rPr>
            </m:ctrlPr>
          </m:sSubPr>
          <m:e>
            <m:r>
              <w:rPr>
                <w:rFonts w:ascii="Cambria Math" w:eastAsia="Calibri" w:hAnsi="Cambria Math" w:cstheme="minorHAnsi"/>
              </w:rPr>
              <m:t>t</m:t>
            </m:r>
          </m:e>
          <m:sub>
            <m:r>
              <w:rPr>
                <w:rFonts w:ascii="Cambria Math" w:eastAsia="Calibri" w:hAnsi="Cambria Math" w:cstheme="minorHAnsi"/>
              </w:rPr>
              <m:t>doub</m:t>
            </m:r>
          </m:sub>
        </m:sSub>
      </m:oMath>
      <w:r w:rsidR="00356980" w:rsidRPr="00B86F32">
        <w:rPr>
          <w:rFonts w:eastAsiaTheme="minorEastAsia"/>
        </w:rPr>
        <w:t xml:space="preserve"> = </w:t>
      </w:r>
      <w:r w:rsidR="00356980">
        <w:rPr>
          <w:rFonts w:eastAsiaTheme="minorEastAsia"/>
        </w:rPr>
        <w:t>24</w:t>
      </w:r>
      <w:r w:rsidR="0001601B">
        <w:rPr>
          <w:rFonts w:eastAsiaTheme="minorEastAsia"/>
        </w:rPr>
        <w:t xml:space="preserve">h (dotted line) and </w:t>
      </w:r>
      <m:oMath>
        <m:sSub>
          <m:sSubPr>
            <m:ctrlPr>
              <w:rPr>
                <w:rFonts w:ascii="Cambria Math" w:eastAsia="Calibri" w:hAnsi="Cambria Math" w:cstheme="minorHAnsi"/>
              </w:rPr>
            </m:ctrlPr>
          </m:sSubPr>
          <m:e>
            <m:r>
              <w:rPr>
                <w:rFonts w:ascii="Cambria Math" w:eastAsia="Calibri" w:hAnsi="Cambria Math" w:cstheme="minorHAnsi"/>
              </w:rPr>
              <m:t>t</m:t>
            </m:r>
          </m:e>
          <m:sub>
            <m:r>
              <w:rPr>
                <w:rFonts w:ascii="Cambria Math" w:eastAsia="Calibri" w:hAnsi="Cambria Math" w:cstheme="minorHAnsi"/>
              </w:rPr>
              <m:t>doub</m:t>
            </m:r>
          </m:sub>
        </m:sSub>
      </m:oMath>
      <w:r w:rsidR="0001601B">
        <w:rPr>
          <w:rFonts w:eastAsiaTheme="minorEastAsia"/>
        </w:rPr>
        <w:t xml:space="preserve">= </w:t>
      </w:r>
      <w:r w:rsidR="00356980">
        <w:rPr>
          <w:rFonts w:eastAsiaTheme="minorEastAsia"/>
        </w:rPr>
        <w:t>45</w:t>
      </w:r>
      <w:r w:rsidR="00356980" w:rsidRPr="00B86F32">
        <w:rPr>
          <w:rFonts w:eastAsiaTheme="minorEastAsia"/>
        </w:rPr>
        <w:t>h</w:t>
      </w:r>
      <w:r w:rsidR="0001601B">
        <w:rPr>
          <w:rFonts w:eastAsiaTheme="minorEastAsia"/>
        </w:rPr>
        <w:t xml:space="preserve"> (dashed line) or </w:t>
      </w:r>
      <w:r w:rsidR="0001601B">
        <w:rPr>
          <w:rFonts w:eastAsiaTheme="minorEastAsia"/>
          <w:b/>
          <w:bCs/>
        </w:rPr>
        <w:t xml:space="preserve">(B) </w:t>
      </w:r>
      <w:r w:rsidR="0001601B">
        <w:rPr>
          <w:rFonts w:eastAsiaTheme="minorEastAsia"/>
        </w:rPr>
        <w:t>HR deficiency parameter</w:t>
      </w:r>
      <w:r w:rsidR="0001601B" w:rsidRPr="00B86F32">
        <w:rPr>
          <w:rFonts w:eastAsiaTheme="minorEastAsia"/>
        </w:rPr>
        <w:t xml:space="preserve"> </w:t>
      </w:r>
      <m:oMath>
        <m:sSub>
          <m:sSubPr>
            <m:ctrlPr>
              <w:rPr>
                <w:rFonts w:ascii="Cambria Math" w:eastAsia="Calibri" w:hAnsi="Cambria Math" w:cstheme="minorHAnsi"/>
              </w:rPr>
            </m:ctrlPr>
          </m:sSubPr>
          <m:e>
            <m:r>
              <w:rPr>
                <w:rFonts w:ascii="Cambria Math" w:eastAsia="Calibri" w:hAnsi="Cambria Math" w:cstheme="minorHAnsi"/>
              </w:rPr>
              <m:t>def</m:t>
            </m:r>
          </m:e>
          <m:sub>
            <m:r>
              <w:rPr>
                <w:rFonts w:ascii="Cambria Math" w:eastAsia="Calibri" w:hAnsi="Cambria Math" w:cstheme="minorHAnsi"/>
              </w:rPr>
              <m:t>4</m:t>
            </m:r>
          </m:sub>
        </m:sSub>
      </m:oMath>
      <w:r w:rsidR="0001601B" w:rsidRPr="00B86F32">
        <w:rPr>
          <w:rFonts w:eastAsiaTheme="minorEastAsia"/>
        </w:rPr>
        <w:t>=</w:t>
      </w:r>
      <w:r w:rsidR="0001601B">
        <w:rPr>
          <w:rFonts w:eastAsiaTheme="minorEastAsia"/>
        </w:rPr>
        <w:t xml:space="preserve"> </w:t>
      </w:r>
      <w:r w:rsidR="0001601B" w:rsidRPr="00B86F32">
        <w:rPr>
          <w:rFonts w:eastAsiaTheme="minorEastAsia"/>
        </w:rPr>
        <w:t>0%</w:t>
      </w:r>
      <w:r w:rsidR="0001601B">
        <w:rPr>
          <w:rFonts w:eastAsiaTheme="minorEastAsia"/>
        </w:rPr>
        <w:t xml:space="preserve"> (dotted line)</w:t>
      </w:r>
      <w:r w:rsidR="00BE7C0D">
        <w:rPr>
          <w:rFonts w:eastAsiaTheme="minorEastAsia"/>
        </w:rPr>
        <w:t xml:space="preserve">, </w:t>
      </w:r>
      <m:oMath>
        <m:sSub>
          <m:sSubPr>
            <m:ctrlPr>
              <w:rPr>
                <w:rFonts w:ascii="Cambria Math" w:eastAsia="Calibri" w:hAnsi="Cambria Math" w:cstheme="minorHAnsi"/>
              </w:rPr>
            </m:ctrlPr>
          </m:sSubPr>
          <m:e>
            <m:r>
              <w:rPr>
                <w:rFonts w:ascii="Cambria Math" w:eastAsia="Calibri" w:hAnsi="Cambria Math" w:cstheme="minorHAnsi"/>
              </w:rPr>
              <m:t>def</m:t>
            </m:r>
          </m:e>
          <m:sub>
            <m:r>
              <w:rPr>
                <w:rFonts w:ascii="Cambria Math" w:eastAsia="Calibri" w:hAnsi="Cambria Math" w:cstheme="minorHAnsi"/>
              </w:rPr>
              <m:t>4</m:t>
            </m:r>
          </m:sub>
        </m:sSub>
      </m:oMath>
      <w:r w:rsidR="00BE7C0D" w:rsidRPr="00B86F32">
        <w:rPr>
          <w:rFonts w:eastAsiaTheme="minorEastAsia"/>
        </w:rPr>
        <w:t>=</w:t>
      </w:r>
      <w:r w:rsidR="00BE7C0D">
        <w:rPr>
          <w:rFonts w:eastAsiaTheme="minorEastAsia"/>
        </w:rPr>
        <w:t xml:space="preserve"> 6</w:t>
      </w:r>
      <w:r w:rsidR="00BE7C0D" w:rsidRPr="00B86F32">
        <w:rPr>
          <w:rFonts w:eastAsiaTheme="minorEastAsia"/>
        </w:rPr>
        <w:t>0%</w:t>
      </w:r>
      <w:r w:rsidR="00BE7C0D">
        <w:rPr>
          <w:rFonts w:eastAsiaTheme="minorEastAsia"/>
        </w:rPr>
        <w:t xml:space="preserve"> (dot-dashed line) and </w:t>
      </w:r>
      <m:oMath>
        <m:sSub>
          <m:sSubPr>
            <m:ctrlPr>
              <w:rPr>
                <w:rFonts w:ascii="Cambria Math" w:eastAsia="Calibri" w:hAnsi="Cambria Math" w:cstheme="minorHAnsi"/>
              </w:rPr>
            </m:ctrlPr>
          </m:sSubPr>
          <m:e>
            <m:r>
              <w:rPr>
                <w:rFonts w:ascii="Cambria Math" w:eastAsia="Calibri" w:hAnsi="Cambria Math" w:cstheme="minorHAnsi"/>
              </w:rPr>
              <m:t>def</m:t>
            </m:r>
          </m:e>
          <m:sub>
            <m:r>
              <w:rPr>
                <w:rFonts w:ascii="Cambria Math" w:eastAsia="Calibri" w:hAnsi="Cambria Math" w:cstheme="minorHAnsi"/>
              </w:rPr>
              <m:t>4</m:t>
            </m:r>
          </m:sub>
        </m:sSub>
      </m:oMath>
      <w:r w:rsidR="00BE7C0D" w:rsidRPr="00B86F32">
        <w:rPr>
          <w:rFonts w:eastAsiaTheme="minorEastAsia"/>
        </w:rPr>
        <w:t>=</w:t>
      </w:r>
      <w:r w:rsidR="00BE7C0D">
        <w:rPr>
          <w:rFonts w:eastAsiaTheme="minorEastAsia"/>
        </w:rPr>
        <w:t xml:space="preserve"> 8</w:t>
      </w:r>
      <w:r w:rsidR="00BE7C0D" w:rsidRPr="00B86F32">
        <w:rPr>
          <w:rFonts w:eastAsiaTheme="minorEastAsia"/>
        </w:rPr>
        <w:t>0%</w:t>
      </w:r>
      <w:r w:rsidR="00BE7C0D">
        <w:rPr>
          <w:rFonts w:eastAsiaTheme="minorEastAsia"/>
        </w:rPr>
        <w:t xml:space="preserve"> (dashed line)</w:t>
      </w:r>
      <w:r w:rsidR="0001601B">
        <w:rPr>
          <w:rFonts w:eastAsiaTheme="minorEastAsia"/>
        </w:rPr>
        <w:t>.</w:t>
      </w:r>
    </w:p>
    <w:p w14:paraId="59224CD2" w14:textId="01696F40" w:rsidR="00386D29" w:rsidRDefault="00EC541F" w:rsidP="004C20E2">
      <w:pPr>
        <w:jc w:val="both"/>
      </w:pPr>
      <w:r w:rsidRPr="00EC541F">
        <w:rPr>
          <w:noProof/>
        </w:rPr>
        <w:drawing>
          <wp:inline distT="0" distB="0" distL="0" distR="0" wp14:anchorId="44DD91F6" wp14:editId="03356E8D">
            <wp:extent cx="5715000" cy="7915275"/>
            <wp:effectExtent l="0" t="0" r="0" b="0"/>
            <wp:docPr id="1853201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20166"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15000" cy="7915275"/>
                    </a:xfrm>
                    <a:prstGeom prst="rect">
                      <a:avLst/>
                    </a:prstGeom>
                  </pic:spPr>
                </pic:pic>
              </a:graphicData>
            </a:graphic>
          </wp:inline>
        </w:drawing>
      </w:r>
    </w:p>
    <w:p w14:paraId="4A4F91F3" w14:textId="77777777" w:rsidR="00386D29" w:rsidRDefault="00386D29" w:rsidP="004C20E2">
      <w:pPr>
        <w:jc w:val="both"/>
      </w:pPr>
    </w:p>
    <w:p w14:paraId="10CE74C0" w14:textId="77777777" w:rsidR="00386D29" w:rsidRPr="00734121" w:rsidRDefault="00386D29" w:rsidP="004C20E2">
      <w:pPr>
        <w:jc w:val="both"/>
      </w:pPr>
    </w:p>
    <w:p w14:paraId="3D8D2759" w14:textId="03F8605C" w:rsidR="00E7116C" w:rsidRPr="003B3637" w:rsidRDefault="00E7116C" w:rsidP="00693D15">
      <w:pPr>
        <w:pStyle w:val="Heading2"/>
        <w:jc w:val="both"/>
        <w:rPr>
          <w:b/>
          <w:bCs/>
          <w:color w:val="auto"/>
        </w:rPr>
      </w:pPr>
      <w:r w:rsidRPr="003B3637">
        <w:rPr>
          <w:b/>
          <w:bCs/>
          <w:color w:val="auto"/>
        </w:rPr>
        <w:t>Figure S</w:t>
      </w:r>
      <w:r w:rsidR="003B3637" w:rsidRPr="003B3637">
        <w:rPr>
          <w:b/>
          <w:bCs/>
          <w:color w:val="auto"/>
        </w:rPr>
        <w:t>4</w:t>
      </w:r>
      <w:r w:rsidR="005F4E41" w:rsidRPr="003B3637">
        <w:rPr>
          <w:b/>
          <w:bCs/>
          <w:color w:val="auto"/>
        </w:rPr>
        <w:t>.</w:t>
      </w:r>
      <w:r w:rsidRPr="003B3637">
        <w:rPr>
          <w:b/>
          <w:bCs/>
          <w:color w:val="auto"/>
        </w:rPr>
        <w:t xml:space="preserve"> </w:t>
      </w:r>
      <w:r w:rsidR="005F4E41" w:rsidRPr="003B3637">
        <w:rPr>
          <w:b/>
          <w:bCs/>
          <w:color w:val="auto"/>
        </w:rPr>
        <w:t>Fourth data set for the calibration of drug parameters.</w:t>
      </w:r>
      <w:r w:rsidRPr="003B3637">
        <w:rPr>
          <w:b/>
          <w:bCs/>
          <w:color w:val="auto"/>
        </w:rPr>
        <w:t xml:space="preserve"> </w:t>
      </w:r>
      <w:r w:rsidR="005F4E41" w:rsidRPr="003B3637">
        <w:rPr>
          <w:b/>
          <w:bCs/>
          <w:color w:val="auto"/>
        </w:rPr>
        <w:t xml:space="preserve">Model simulations overlaid with the TGI measured for various regimens in experimental study 4 in HBCx-9 tumour model. </w:t>
      </w:r>
      <w:r w:rsidR="00D561D0" w:rsidRPr="003B3637">
        <w:rPr>
          <w:b/>
          <w:bCs/>
          <w:noProof/>
          <w:color w:val="auto"/>
        </w:rPr>
        <w:t xml:space="preserve"> </w:t>
      </w:r>
    </w:p>
    <w:p w14:paraId="7E173379" w14:textId="7AA8A8D3" w:rsidR="00E7116C" w:rsidRPr="00734121" w:rsidRDefault="00E7116C" w:rsidP="004C20E2">
      <w:pPr>
        <w:jc w:val="both"/>
      </w:pPr>
      <w:r w:rsidRPr="00734121">
        <w:t xml:space="preserve">Treatment starts at Day 1, last dosing at Day 56 for </w:t>
      </w:r>
      <w:proofErr w:type="spellStart"/>
      <w:r w:rsidRPr="00734121">
        <w:t>talazoparib</w:t>
      </w:r>
      <w:proofErr w:type="spellEnd"/>
      <w:r w:rsidRPr="00734121">
        <w:t xml:space="preserve"> monotherapy (dot</w:t>
      </w:r>
      <w:r w:rsidR="004A361D" w:rsidRPr="00734121">
        <w:t>-</w:t>
      </w:r>
      <w:r w:rsidRPr="00734121">
        <w:t>dash</w:t>
      </w:r>
      <w:r w:rsidR="004A361D" w:rsidRPr="00734121">
        <w:t xml:space="preserve"> line</w:t>
      </w:r>
      <w:r w:rsidR="005F4E41" w:rsidRPr="00734121">
        <w:t>, panel A</w:t>
      </w:r>
      <w:r w:rsidRPr="00734121">
        <w:t>) and at Day 42 for all other regimens (dotted line). Solid line: simulation</w:t>
      </w:r>
      <w:r w:rsidR="004A361D" w:rsidRPr="00734121">
        <w:t>. M</w:t>
      </w:r>
      <w:r w:rsidRPr="00734121">
        <w:t>arkers and error bars:</w:t>
      </w:r>
      <w:r w:rsidR="004A361D" w:rsidRPr="00734121">
        <w:t xml:space="preserve"> data,</w:t>
      </w:r>
      <w:r w:rsidRPr="00734121">
        <w:t xml:space="preserve"> mean tumour volume +/- SEM. Data for each arm </w:t>
      </w:r>
      <w:r w:rsidR="00A5071A" w:rsidRPr="00734121">
        <w:t xml:space="preserve">are </w:t>
      </w:r>
      <w:r w:rsidRPr="00734121">
        <w:t xml:space="preserve">shown when at least 6 out of 9 mice are still in the experiment. In all </w:t>
      </w:r>
      <w:proofErr w:type="spellStart"/>
      <w:r w:rsidRPr="00734121">
        <w:t>PARPi</w:t>
      </w:r>
      <w:proofErr w:type="spellEnd"/>
      <w:r w:rsidRPr="00734121">
        <w:t xml:space="preserve"> treated arms </w:t>
      </w:r>
      <w:proofErr w:type="spellStart"/>
      <w:r w:rsidRPr="00734121">
        <w:t>talazoparib</w:t>
      </w:r>
      <w:proofErr w:type="spellEnd"/>
      <w:r w:rsidRPr="00734121">
        <w:t xml:space="preserve"> is given twice a day at 0.15 mg/kg</w:t>
      </w:r>
      <w:r w:rsidR="004A361D" w:rsidRPr="00734121">
        <w:t xml:space="preserve">. In all </w:t>
      </w:r>
      <w:proofErr w:type="spellStart"/>
      <w:r w:rsidR="004A361D" w:rsidRPr="00734121">
        <w:t>ATRi</w:t>
      </w:r>
      <w:proofErr w:type="spellEnd"/>
      <w:r w:rsidR="004A361D" w:rsidRPr="00734121">
        <w:t xml:space="preserve"> treated arms </w:t>
      </w:r>
      <w:proofErr w:type="spellStart"/>
      <w:r w:rsidR="004A361D" w:rsidRPr="00734121">
        <w:t>g</w:t>
      </w:r>
      <w:r w:rsidRPr="00734121">
        <w:t>artisertib</w:t>
      </w:r>
      <w:proofErr w:type="spellEnd"/>
      <w:r w:rsidRPr="00734121">
        <w:t xml:space="preserve"> is given once, twice or three times a week (1</w:t>
      </w:r>
      <w:r w:rsidR="005F4E41" w:rsidRPr="00734121">
        <w:t xml:space="preserve">, 2, </w:t>
      </w:r>
      <w:r w:rsidRPr="00734121">
        <w:t>3</w:t>
      </w:r>
      <w:r w:rsidR="005F4E41" w:rsidRPr="00734121">
        <w:t xml:space="preserve"> </w:t>
      </w:r>
      <w:proofErr w:type="spellStart"/>
      <w:r w:rsidRPr="00734121">
        <w:t>qwk</w:t>
      </w:r>
      <w:proofErr w:type="spellEnd"/>
      <w:r w:rsidRPr="00734121">
        <w:t xml:space="preserve">) x6 weeks at 20 mg/kg; for the arms </w:t>
      </w:r>
      <w:r w:rsidR="00D3171D" w:rsidRPr="00734121">
        <w:t xml:space="preserve">with schedules </w:t>
      </w:r>
      <w:r w:rsidRPr="00734121">
        <w:t>2</w:t>
      </w:r>
      <w:r w:rsidR="005F4E41" w:rsidRPr="00734121">
        <w:t xml:space="preserve"> </w:t>
      </w:r>
      <w:proofErr w:type="spellStart"/>
      <w:r w:rsidRPr="00734121">
        <w:t>qwk</w:t>
      </w:r>
      <w:proofErr w:type="spellEnd"/>
      <w:r w:rsidRPr="00734121">
        <w:t xml:space="preserve"> and 3</w:t>
      </w:r>
      <w:r w:rsidR="005F4E41" w:rsidRPr="00734121">
        <w:t xml:space="preserve"> </w:t>
      </w:r>
      <w:proofErr w:type="spellStart"/>
      <w:r w:rsidRPr="00734121">
        <w:t>qwk</w:t>
      </w:r>
      <w:proofErr w:type="spellEnd"/>
      <w:r w:rsidR="005F4E41" w:rsidRPr="00734121">
        <w:t>,</w:t>
      </w:r>
      <w:r w:rsidRPr="00734121">
        <w:t xml:space="preserve"> dose was reduced to 10 mg/kg from Day 13.</w:t>
      </w:r>
      <w:r w:rsidR="004A361D" w:rsidRPr="00734121">
        <w:t xml:space="preserve"> Protocol deviation </w:t>
      </w:r>
      <w:r w:rsidR="005F4E41" w:rsidRPr="00734121">
        <w:t xml:space="preserve">also </w:t>
      </w:r>
      <w:r w:rsidR="004A361D" w:rsidRPr="00734121">
        <w:t>involved a two-days dosing break (Day 9 and 10).</w:t>
      </w:r>
    </w:p>
    <w:p w14:paraId="6124EC7B" w14:textId="77777777" w:rsidR="00065230" w:rsidRPr="00734121" w:rsidRDefault="00065230">
      <w:pPr>
        <w:rPr>
          <w:b/>
          <w:bCs/>
          <w:noProof/>
        </w:rPr>
      </w:pPr>
    </w:p>
    <w:p w14:paraId="0E551D69" w14:textId="26E04880" w:rsidR="00C35A61" w:rsidRDefault="00EB7581">
      <w:pPr>
        <w:rPr>
          <w:b/>
          <w:bCs/>
          <w:highlight w:val="yellow"/>
        </w:rPr>
      </w:pPr>
      <w:r w:rsidRPr="00EB7581">
        <w:rPr>
          <w:b/>
          <w:bCs/>
          <w:noProof/>
        </w:rPr>
        <w:drawing>
          <wp:inline distT="0" distB="0" distL="0" distR="0" wp14:anchorId="054A228E" wp14:editId="081C6314">
            <wp:extent cx="5600700" cy="2266950"/>
            <wp:effectExtent l="0" t="0" r="0" b="0"/>
            <wp:docPr id="13778458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845825"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600700" cy="2266950"/>
                    </a:xfrm>
                    <a:prstGeom prst="rect">
                      <a:avLst/>
                    </a:prstGeom>
                  </pic:spPr>
                </pic:pic>
              </a:graphicData>
            </a:graphic>
          </wp:inline>
        </w:drawing>
      </w:r>
      <w:r w:rsidR="00C35A61">
        <w:rPr>
          <w:b/>
          <w:bCs/>
          <w:highlight w:val="yellow"/>
        </w:rPr>
        <w:br w:type="page"/>
      </w:r>
    </w:p>
    <w:p w14:paraId="5648E257" w14:textId="07565485" w:rsidR="00712DE8" w:rsidRPr="002D584B" w:rsidRDefault="003A32F8" w:rsidP="00693D15">
      <w:pPr>
        <w:pStyle w:val="Heading2"/>
        <w:jc w:val="both"/>
        <w:rPr>
          <w:b/>
          <w:bCs/>
          <w:color w:val="auto"/>
        </w:rPr>
      </w:pPr>
      <w:r w:rsidRPr="002D584B">
        <w:rPr>
          <w:b/>
          <w:bCs/>
          <w:color w:val="auto"/>
        </w:rPr>
        <w:t xml:space="preserve">Figure S5. </w:t>
      </w:r>
      <w:r w:rsidR="001E3740" w:rsidRPr="002D584B">
        <w:rPr>
          <w:b/>
          <w:bCs/>
          <w:color w:val="auto"/>
        </w:rPr>
        <w:t>Simulated dose-</w:t>
      </w:r>
      <w:r w:rsidR="00101595">
        <w:rPr>
          <w:b/>
          <w:bCs/>
          <w:color w:val="auto"/>
        </w:rPr>
        <w:t>exposure-</w:t>
      </w:r>
      <w:r w:rsidR="001E3740" w:rsidRPr="002D584B">
        <w:rPr>
          <w:b/>
          <w:bCs/>
          <w:color w:val="auto"/>
        </w:rPr>
        <w:t xml:space="preserve">response of </w:t>
      </w:r>
      <w:r w:rsidRPr="002D584B">
        <w:rPr>
          <w:b/>
          <w:bCs/>
          <w:color w:val="auto"/>
        </w:rPr>
        <w:t>rucaparib</w:t>
      </w:r>
      <w:r w:rsidR="001E3740" w:rsidRPr="002D584B">
        <w:rPr>
          <w:b/>
          <w:bCs/>
          <w:color w:val="auto"/>
        </w:rPr>
        <w:t xml:space="preserve"> and</w:t>
      </w:r>
      <w:r w:rsidRPr="002D584B">
        <w:rPr>
          <w:b/>
          <w:bCs/>
          <w:color w:val="auto"/>
        </w:rPr>
        <w:t xml:space="preserve"> </w:t>
      </w:r>
      <w:proofErr w:type="spellStart"/>
      <w:r w:rsidRPr="002D584B">
        <w:rPr>
          <w:b/>
          <w:bCs/>
          <w:color w:val="auto"/>
        </w:rPr>
        <w:t>talazoparib</w:t>
      </w:r>
      <w:proofErr w:type="spellEnd"/>
      <w:r w:rsidR="008B164D" w:rsidRPr="002D584B">
        <w:rPr>
          <w:b/>
          <w:bCs/>
          <w:color w:val="auto"/>
        </w:rPr>
        <w:t xml:space="preserve"> </w:t>
      </w:r>
      <w:r w:rsidR="001E3740" w:rsidRPr="002D584B">
        <w:rPr>
          <w:b/>
          <w:bCs/>
          <w:color w:val="auto"/>
        </w:rPr>
        <w:t xml:space="preserve">in monotherapy </w:t>
      </w:r>
      <w:r w:rsidR="008B164D" w:rsidRPr="002D584B">
        <w:rPr>
          <w:b/>
          <w:bCs/>
          <w:color w:val="auto"/>
        </w:rPr>
        <w:t xml:space="preserve">and </w:t>
      </w:r>
      <w:r w:rsidR="00DE5D57" w:rsidRPr="002D584B">
        <w:rPr>
          <w:b/>
          <w:bCs/>
          <w:color w:val="auto"/>
        </w:rPr>
        <w:t xml:space="preserve">in </w:t>
      </w:r>
      <w:r w:rsidR="008B164D" w:rsidRPr="002D584B">
        <w:rPr>
          <w:b/>
          <w:bCs/>
          <w:color w:val="auto"/>
        </w:rPr>
        <w:t xml:space="preserve">combination with </w:t>
      </w:r>
      <w:proofErr w:type="spellStart"/>
      <w:r w:rsidR="008B164D" w:rsidRPr="002D584B">
        <w:rPr>
          <w:b/>
          <w:bCs/>
          <w:color w:val="auto"/>
        </w:rPr>
        <w:t>gartisertib</w:t>
      </w:r>
      <w:proofErr w:type="spellEnd"/>
      <w:r w:rsidR="008B164D" w:rsidRPr="002D584B">
        <w:rPr>
          <w:b/>
          <w:bCs/>
          <w:color w:val="auto"/>
        </w:rPr>
        <w:t xml:space="preserve"> in HBCx-9.</w:t>
      </w:r>
    </w:p>
    <w:p w14:paraId="060F17D3" w14:textId="0FCEBD25" w:rsidR="00382A5C" w:rsidRDefault="00DE5D57" w:rsidP="00382A5C">
      <w:pPr>
        <w:jc w:val="both"/>
      </w:pPr>
      <w:r w:rsidRPr="00DE5D57">
        <w:t>Model simulation</w:t>
      </w:r>
      <w:r>
        <w:t xml:space="preserve"> of a range of dose</w:t>
      </w:r>
      <w:r w:rsidR="0081214D">
        <w:t xml:space="preserve">s, administered </w:t>
      </w:r>
      <w:r w:rsidR="00B60896">
        <w:t xml:space="preserve">daily </w:t>
      </w:r>
      <w:r w:rsidR="001B00CD">
        <w:t>bid</w:t>
      </w:r>
      <w:r w:rsidR="00216D71">
        <w:t xml:space="preserve"> for 28 days</w:t>
      </w:r>
      <w:r w:rsidR="0081214D">
        <w:t xml:space="preserve">, </w:t>
      </w:r>
      <w:r w:rsidR="001E3740">
        <w:t>of</w:t>
      </w:r>
      <w:r>
        <w:t xml:space="preserve"> rucaparib and </w:t>
      </w:r>
      <w:proofErr w:type="spellStart"/>
      <w:r>
        <w:t>talazoparib</w:t>
      </w:r>
      <w:proofErr w:type="spellEnd"/>
      <w:r>
        <w:t xml:space="preserve">, </w:t>
      </w:r>
      <w:r w:rsidR="004123C6">
        <w:t xml:space="preserve">in </w:t>
      </w:r>
      <w:r>
        <w:t>monotherapy and in combination with</w:t>
      </w:r>
      <w:r w:rsidR="001E3740">
        <w:t xml:space="preserve"> </w:t>
      </w:r>
      <w:proofErr w:type="spellStart"/>
      <w:r w:rsidR="001E3740">
        <w:t>gartisertib</w:t>
      </w:r>
      <w:proofErr w:type="spellEnd"/>
      <w:r w:rsidR="004123C6">
        <w:t xml:space="preserve"> </w:t>
      </w:r>
      <w:r w:rsidR="0081214D">
        <w:t xml:space="preserve">daily </w:t>
      </w:r>
      <w:proofErr w:type="spellStart"/>
      <w:r w:rsidR="00382A5C" w:rsidRPr="00382A5C">
        <w:t>qd</w:t>
      </w:r>
      <w:proofErr w:type="spellEnd"/>
      <w:r w:rsidR="00382A5C" w:rsidRPr="00382A5C">
        <w:t xml:space="preserve"> 3</w:t>
      </w:r>
      <w:r w:rsidR="00382A5C">
        <w:t xml:space="preserve"> </w:t>
      </w:r>
      <w:r w:rsidR="00382A5C" w:rsidRPr="00382A5C">
        <w:t>mg/kg</w:t>
      </w:r>
      <w:r w:rsidR="00382A5C">
        <w:t xml:space="preserve">. </w:t>
      </w:r>
      <w:r w:rsidR="007A7112" w:rsidRPr="007A7112">
        <w:t>Simulations were conducted using the four parameter sets calibrated from the four studies in</w:t>
      </w:r>
      <w:r w:rsidR="007A7112">
        <w:t xml:space="preserve"> HBCx-9</w:t>
      </w:r>
      <w:r w:rsidR="00B57B95">
        <w:t xml:space="preserve"> (figures 2-</w:t>
      </w:r>
      <w:r w:rsidR="00E0238E">
        <w:t>4 and S4</w:t>
      </w:r>
      <w:r w:rsidR="00995E49">
        <w:t xml:space="preserve">; </w:t>
      </w:r>
      <w:r w:rsidR="00DF76E4">
        <w:t xml:space="preserve">specific </w:t>
      </w:r>
      <w:r w:rsidR="00995E49">
        <w:t xml:space="preserve">parameters in </w:t>
      </w:r>
      <w:r w:rsidR="00F52854">
        <w:t>Table 1 in main</w:t>
      </w:r>
      <w:r w:rsidR="00B57B95">
        <w:t>)</w:t>
      </w:r>
      <w:r w:rsidR="00E0238E">
        <w:t>.</w:t>
      </w:r>
      <w:r w:rsidR="00B57B95">
        <w:t xml:space="preserve"> </w:t>
      </w:r>
      <w:r w:rsidR="006736D0">
        <w:t xml:space="preserve">The variables shown in each panel were measured on the last day of treatment (day 28), </w:t>
      </w:r>
      <w:r w:rsidR="006C0419">
        <w:t xml:space="preserve">and </w:t>
      </w:r>
      <w:r w:rsidR="000119C8">
        <w:t xml:space="preserve">then </w:t>
      </w:r>
      <w:r w:rsidR="006736D0">
        <w:t>averaged (mean for tumour diameter, AUC for the other</w:t>
      </w:r>
      <w:r w:rsidR="00F52854">
        <w:t xml:space="preserve"> variables</w:t>
      </w:r>
      <w:r w:rsidR="006736D0">
        <w:t>)</w:t>
      </w:r>
      <w:r w:rsidR="00271D15">
        <w:t xml:space="preserve">. </w:t>
      </w:r>
      <w:r w:rsidR="0010116E">
        <w:t xml:space="preserve">Tumour diameter (panel B) and </w:t>
      </w:r>
      <w:r w:rsidR="003A306B">
        <w:t xml:space="preserve">PD effects (panels C-G) were </w:t>
      </w:r>
      <w:r w:rsidR="00F52854">
        <w:t xml:space="preserve">normalised to </w:t>
      </w:r>
      <w:r w:rsidR="0092006A">
        <w:t>the</w:t>
      </w:r>
      <w:r w:rsidR="000119C8">
        <w:t>ir respective</w:t>
      </w:r>
      <w:r w:rsidR="0092006A">
        <w:t xml:space="preserve"> values without treatment.</w:t>
      </w:r>
      <w:r w:rsidR="006736D0">
        <w:t xml:space="preserve"> </w:t>
      </w:r>
      <w:r w:rsidR="00F07F7C">
        <w:t xml:space="preserve">The largest doses utilised in the </w:t>
      </w:r>
      <w:proofErr w:type="spellStart"/>
      <w:r w:rsidR="00F07F7C">
        <w:t>PARPi</w:t>
      </w:r>
      <w:proofErr w:type="spellEnd"/>
      <w:r w:rsidR="00F07F7C">
        <w:t xml:space="preserve"> monotherapy experiments </w:t>
      </w:r>
      <w:r w:rsidR="00052DD0">
        <w:t xml:space="preserve">are highlighted in panel A: </w:t>
      </w:r>
      <w:r w:rsidR="001B00CD">
        <w:t xml:space="preserve">0.15 mg/kg bid and 100 mg/kg bid for </w:t>
      </w:r>
      <w:proofErr w:type="spellStart"/>
      <w:r w:rsidR="001B00CD">
        <w:t>talazoparib</w:t>
      </w:r>
      <w:proofErr w:type="spellEnd"/>
      <w:r w:rsidR="001B00CD">
        <w:t xml:space="preserve"> and rucaparib respectively.</w:t>
      </w:r>
    </w:p>
    <w:p w14:paraId="76E3237F" w14:textId="39751111" w:rsidR="00101595" w:rsidRDefault="005C7CC8" w:rsidP="00382A5C">
      <w:pPr>
        <w:jc w:val="both"/>
      </w:pPr>
      <w:r w:rsidRPr="005C7CC8">
        <w:rPr>
          <w:noProof/>
        </w:rPr>
        <w:drawing>
          <wp:inline distT="0" distB="0" distL="0" distR="0" wp14:anchorId="5B1C7D36" wp14:editId="6EFC57C2">
            <wp:extent cx="5715000" cy="7191375"/>
            <wp:effectExtent l="0" t="0" r="0" b="0"/>
            <wp:docPr id="18374436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443600"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15000" cy="7191375"/>
                    </a:xfrm>
                    <a:prstGeom prst="rect">
                      <a:avLst/>
                    </a:prstGeom>
                  </pic:spPr>
                </pic:pic>
              </a:graphicData>
            </a:graphic>
          </wp:inline>
        </w:drawing>
      </w:r>
    </w:p>
    <w:p w14:paraId="751F644F" w14:textId="57C8F272" w:rsidR="003B1E28" w:rsidRPr="00734121" w:rsidRDefault="003B1E28" w:rsidP="004C20E2">
      <w:pPr>
        <w:jc w:val="both"/>
        <w:rPr>
          <w:b/>
          <w:bCs/>
        </w:rPr>
      </w:pPr>
    </w:p>
    <w:p w14:paraId="1D0095A7" w14:textId="5E710032" w:rsidR="00A557BC" w:rsidRPr="00734121" w:rsidRDefault="00A557BC">
      <w:pPr>
        <w:rPr>
          <w:b/>
          <w:bCs/>
        </w:rPr>
      </w:pPr>
    </w:p>
    <w:p w14:paraId="4D95506B" w14:textId="77777777" w:rsidR="00A557BC" w:rsidRPr="00734121" w:rsidRDefault="00A557BC">
      <w:pPr>
        <w:rPr>
          <w:b/>
          <w:bCs/>
        </w:rPr>
      </w:pPr>
      <w:r w:rsidRPr="00734121">
        <w:rPr>
          <w:b/>
          <w:bCs/>
        </w:rPr>
        <w:br w:type="page"/>
      </w:r>
    </w:p>
    <w:p w14:paraId="494AD23C" w14:textId="3AC8BE54" w:rsidR="009B63F4" w:rsidRPr="00AE676D" w:rsidRDefault="00D91CB0" w:rsidP="00A46FED">
      <w:pPr>
        <w:pStyle w:val="Heading2"/>
        <w:rPr>
          <w:b/>
          <w:bCs/>
          <w:color w:val="auto"/>
        </w:rPr>
      </w:pPr>
      <w:r w:rsidRPr="00AE676D">
        <w:rPr>
          <w:b/>
          <w:bCs/>
          <w:color w:val="auto"/>
        </w:rPr>
        <w:t>Figure S</w:t>
      </w:r>
      <w:r w:rsidR="00A46FED" w:rsidRPr="00AE676D">
        <w:rPr>
          <w:b/>
          <w:bCs/>
          <w:color w:val="auto"/>
        </w:rPr>
        <w:t>6</w:t>
      </w:r>
      <w:r w:rsidRPr="00AE676D">
        <w:rPr>
          <w:b/>
          <w:bCs/>
          <w:color w:val="auto"/>
        </w:rPr>
        <w:t>. PDX panel (continued)</w:t>
      </w:r>
      <w:r w:rsidR="00525B48" w:rsidRPr="00AE676D">
        <w:rPr>
          <w:b/>
          <w:bCs/>
          <w:color w:val="auto"/>
        </w:rPr>
        <w:t xml:space="preserve">. Model simulations overlaid with the TGI data for the other studies in the TNBC PDX panel with different genetic backgrounds. </w:t>
      </w:r>
    </w:p>
    <w:p w14:paraId="72E93B7C" w14:textId="1E1BDAA2" w:rsidR="00D91CB0" w:rsidRPr="005100BB" w:rsidRDefault="00525B48" w:rsidP="00157997">
      <w:pPr>
        <w:jc w:val="both"/>
        <w:rPr>
          <w:color w:val="FF0000"/>
        </w:rPr>
      </w:pPr>
      <w:r w:rsidRPr="00734121">
        <w:t>Simulation (lines), data (black dots; n=3 animals per arm at start of treatment). The four arms in each study are split in columns. Each row is a different PDX tumour model with specific genetic background.</w:t>
      </w:r>
      <w:r w:rsidR="005100BB">
        <w:t xml:space="preserve"> </w:t>
      </w:r>
      <w:r w:rsidR="005100BB">
        <w:rPr>
          <w:b/>
          <w:bCs/>
        </w:rPr>
        <w:t>Treatments</w:t>
      </w:r>
      <w:r w:rsidR="008F41EC">
        <w:t>.</w:t>
      </w:r>
      <w:r w:rsidR="005100BB">
        <w:t xml:space="preserve"> </w:t>
      </w:r>
      <w:proofErr w:type="spellStart"/>
      <w:r w:rsidR="008F41EC">
        <w:t>G</w:t>
      </w:r>
      <w:r w:rsidR="00A84627" w:rsidRPr="002F67AD">
        <w:t>artisertib</w:t>
      </w:r>
      <w:proofErr w:type="spellEnd"/>
      <w:r w:rsidR="00A84627" w:rsidRPr="002F67AD">
        <w:t xml:space="preserve"> was given twice per week</w:t>
      </w:r>
      <w:r w:rsidR="00A84627">
        <w:t>, PO</w:t>
      </w:r>
      <w:r w:rsidR="00A84627" w:rsidRPr="002F67AD">
        <w:t>, x4 cycles, at doses of 10 mg/kg (HBCx-10, HBCx-17, HBCx-22, HBCx-1, HBCx-33) or 20 mg/kg (HBCx-9, HBCx-15, HBCx-30, T311R).</w:t>
      </w:r>
      <w:r w:rsidR="008F41EC">
        <w:t xml:space="preserve"> </w:t>
      </w:r>
      <w:proofErr w:type="spellStart"/>
      <w:r w:rsidR="00157997">
        <w:t>Talazoparib</w:t>
      </w:r>
      <w:proofErr w:type="spellEnd"/>
      <w:r w:rsidR="00157997">
        <w:t xml:space="preserve"> was given daily at 0.3 mg/kg </w:t>
      </w:r>
      <w:proofErr w:type="spellStart"/>
      <w:r w:rsidR="00157997">
        <w:t>qd</w:t>
      </w:r>
      <w:proofErr w:type="spellEnd"/>
      <w:r w:rsidR="00157997">
        <w:t xml:space="preserve"> x28. </w:t>
      </w:r>
      <w:r w:rsidR="008F41EC" w:rsidRPr="00734121">
        <w:t>Treatment starts at Day 1, last dosing at Day 28.</w:t>
      </w:r>
    </w:p>
    <w:p w14:paraId="411C7678" w14:textId="7CAB44AD" w:rsidR="00F71E89" w:rsidRDefault="00D932C2" w:rsidP="00D91CB0">
      <w:pPr>
        <w:rPr>
          <w:b/>
          <w:bCs/>
        </w:rPr>
      </w:pPr>
      <w:r w:rsidRPr="00D932C2">
        <w:rPr>
          <w:b/>
          <w:bCs/>
          <w:noProof/>
        </w:rPr>
        <w:drawing>
          <wp:inline distT="0" distB="0" distL="0" distR="0" wp14:anchorId="5176A2EC" wp14:editId="4F551E29">
            <wp:extent cx="5715000" cy="7191375"/>
            <wp:effectExtent l="0" t="0" r="0" b="9525"/>
            <wp:docPr id="18802011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201115"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15000" cy="7191375"/>
                    </a:xfrm>
                    <a:prstGeom prst="rect">
                      <a:avLst/>
                    </a:prstGeom>
                  </pic:spPr>
                </pic:pic>
              </a:graphicData>
            </a:graphic>
          </wp:inline>
        </w:drawing>
      </w:r>
    </w:p>
    <w:p w14:paraId="42403103" w14:textId="77777777" w:rsidR="00401A7F" w:rsidRDefault="00401A7F" w:rsidP="00D91CB0">
      <w:pPr>
        <w:rPr>
          <w:b/>
          <w:bCs/>
        </w:rPr>
      </w:pPr>
    </w:p>
    <w:p w14:paraId="60E0659F" w14:textId="77777777" w:rsidR="00401A7F" w:rsidRDefault="00401A7F" w:rsidP="00D91CB0">
      <w:pPr>
        <w:rPr>
          <w:b/>
          <w:bCs/>
        </w:rPr>
      </w:pPr>
    </w:p>
    <w:p w14:paraId="015A8F4D" w14:textId="77777777" w:rsidR="00401A7F" w:rsidRDefault="00401A7F" w:rsidP="00D91CB0">
      <w:pPr>
        <w:rPr>
          <w:b/>
          <w:bCs/>
        </w:rPr>
      </w:pPr>
    </w:p>
    <w:p w14:paraId="53AA076A" w14:textId="107E97EE" w:rsidR="006C640B" w:rsidRPr="006C640B" w:rsidRDefault="00685FC1" w:rsidP="006C640B">
      <w:pPr>
        <w:pStyle w:val="Heading2"/>
        <w:rPr>
          <w:b/>
          <w:bCs/>
          <w:color w:val="auto"/>
        </w:rPr>
      </w:pPr>
      <w:r w:rsidRPr="6F83B6A8">
        <w:rPr>
          <w:b/>
          <w:bCs/>
          <w:color w:val="auto"/>
        </w:rPr>
        <w:t>Figure S</w:t>
      </w:r>
      <w:r w:rsidR="006C640B" w:rsidRPr="6F83B6A8">
        <w:rPr>
          <w:b/>
          <w:bCs/>
          <w:color w:val="auto"/>
        </w:rPr>
        <w:t>7</w:t>
      </w:r>
      <w:r w:rsidRPr="6F83B6A8">
        <w:rPr>
          <w:b/>
          <w:bCs/>
          <w:color w:val="auto"/>
        </w:rPr>
        <w:t xml:space="preserve">. Preclinical PK model fitting for </w:t>
      </w:r>
      <w:proofErr w:type="spellStart"/>
      <w:r w:rsidR="003B32A4" w:rsidRPr="6F83B6A8">
        <w:rPr>
          <w:b/>
          <w:bCs/>
          <w:color w:val="auto"/>
        </w:rPr>
        <w:t>gartisertib</w:t>
      </w:r>
      <w:proofErr w:type="spellEnd"/>
      <w:r w:rsidRPr="6F83B6A8">
        <w:rPr>
          <w:b/>
          <w:bCs/>
          <w:color w:val="auto"/>
        </w:rPr>
        <w:t>.</w:t>
      </w:r>
      <w:r w:rsidR="00706CB9" w:rsidRPr="6F83B6A8">
        <w:rPr>
          <w:b/>
          <w:bCs/>
          <w:color w:val="auto"/>
        </w:rPr>
        <w:t xml:space="preserve"> </w:t>
      </w:r>
    </w:p>
    <w:p w14:paraId="76CEC0C1" w14:textId="775359D4" w:rsidR="00685FC1" w:rsidRPr="00734121" w:rsidRDefault="00706CB9" w:rsidP="006C640B">
      <w:pPr>
        <w:jc w:val="both"/>
      </w:pPr>
      <w:r w:rsidRPr="00734121">
        <w:t>Oral dose except for the top left profile which is IV dose. D1 = day 1, D22 = day 22.</w:t>
      </w:r>
      <w:r w:rsidR="006531C7" w:rsidRPr="00734121">
        <w:t xml:space="preserve"> Marker = data. Lines = model and CI.</w:t>
      </w:r>
    </w:p>
    <w:p w14:paraId="6DE43ABC" w14:textId="5C8D581E" w:rsidR="00971E94" w:rsidRPr="00734121" w:rsidRDefault="00971E94" w:rsidP="000069BE">
      <w:pPr>
        <w:ind w:left="360"/>
        <w:jc w:val="both"/>
      </w:pPr>
      <w:r w:rsidRPr="00734121">
        <w:rPr>
          <w:noProof/>
        </w:rPr>
        <w:drawing>
          <wp:inline distT="0" distB="0" distL="0" distR="0" wp14:anchorId="153BB916" wp14:editId="5DFF84C1">
            <wp:extent cx="5725160" cy="4850130"/>
            <wp:effectExtent l="0" t="0" r="8890" b="7620"/>
            <wp:docPr id="1149678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5160" cy="4850130"/>
                    </a:xfrm>
                    <a:prstGeom prst="rect">
                      <a:avLst/>
                    </a:prstGeom>
                    <a:noFill/>
                    <a:ln>
                      <a:noFill/>
                    </a:ln>
                  </pic:spPr>
                </pic:pic>
              </a:graphicData>
            </a:graphic>
          </wp:inline>
        </w:drawing>
      </w:r>
    </w:p>
    <w:p w14:paraId="7AC5247E" w14:textId="7BE9799D" w:rsidR="006C640B" w:rsidRPr="006C640B" w:rsidRDefault="00685FC1" w:rsidP="006C640B">
      <w:pPr>
        <w:pStyle w:val="Heading2"/>
        <w:rPr>
          <w:b/>
          <w:bCs/>
          <w:color w:val="auto"/>
        </w:rPr>
      </w:pPr>
      <w:r w:rsidRPr="006C640B">
        <w:rPr>
          <w:b/>
          <w:bCs/>
          <w:color w:val="auto"/>
        </w:rPr>
        <w:t>Figure S</w:t>
      </w:r>
      <w:r w:rsidR="000069BE">
        <w:rPr>
          <w:b/>
          <w:bCs/>
          <w:color w:val="auto"/>
        </w:rPr>
        <w:t>8</w:t>
      </w:r>
      <w:r w:rsidRPr="006C640B">
        <w:rPr>
          <w:b/>
          <w:bCs/>
          <w:color w:val="auto"/>
        </w:rPr>
        <w:t>. Preclinical PK model fitting for rucaparib.</w:t>
      </w:r>
      <w:r w:rsidR="006531C7" w:rsidRPr="006C640B">
        <w:rPr>
          <w:b/>
          <w:bCs/>
          <w:color w:val="auto"/>
        </w:rPr>
        <w:t xml:space="preserve"> </w:t>
      </w:r>
    </w:p>
    <w:p w14:paraId="3061355E" w14:textId="77777777" w:rsidR="000069BE" w:rsidRDefault="006531C7" w:rsidP="006C640B">
      <w:pPr>
        <w:jc w:val="both"/>
      </w:pPr>
      <w:r w:rsidRPr="00734121">
        <w:t>Dots = data. Lines = model.</w:t>
      </w:r>
    </w:p>
    <w:p w14:paraId="7880F446" w14:textId="78C5890B" w:rsidR="00A413B7" w:rsidRDefault="00706CB9" w:rsidP="000069BE">
      <w:pPr>
        <w:jc w:val="both"/>
        <w:rPr>
          <w:rFonts w:asciiTheme="majorHAnsi" w:eastAsiaTheme="majorEastAsia" w:hAnsiTheme="majorHAnsi" w:cstheme="majorBidi"/>
          <w:b/>
          <w:bCs/>
          <w:sz w:val="32"/>
          <w:szCs w:val="32"/>
        </w:rPr>
      </w:pPr>
      <w:r w:rsidRPr="00734121">
        <w:rPr>
          <w:b/>
          <w:bCs/>
          <w:noProof/>
        </w:rPr>
        <w:drawing>
          <wp:inline distT="0" distB="0" distL="0" distR="0" wp14:anchorId="2D7B0B6E" wp14:editId="64725745">
            <wp:extent cx="3590925" cy="2162175"/>
            <wp:effectExtent l="0" t="0" r="9525" b="9525"/>
            <wp:docPr id="6575763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576318"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3590925" cy="2162175"/>
                    </a:xfrm>
                    <a:prstGeom prst="rect">
                      <a:avLst/>
                    </a:prstGeom>
                  </pic:spPr>
                </pic:pic>
              </a:graphicData>
            </a:graphic>
          </wp:inline>
        </w:drawing>
      </w:r>
      <w:r w:rsidR="00A413B7">
        <w:rPr>
          <w:b/>
          <w:bCs/>
        </w:rPr>
        <w:br w:type="page"/>
      </w:r>
    </w:p>
    <w:p w14:paraId="61EF2EF7" w14:textId="18A47749" w:rsidR="00A84F4B" w:rsidRPr="00734121" w:rsidRDefault="00A84F4B" w:rsidP="00A84F4B">
      <w:pPr>
        <w:pStyle w:val="Heading1"/>
        <w:spacing w:before="120" w:after="120"/>
        <w:rPr>
          <w:b/>
          <w:bCs/>
          <w:color w:val="auto"/>
        </w:rPr>
      </w:pPr>
      <w:r w:rsidRPr="00734121">
        <w:rPr>
          <w:b/>
          <w:bCs/>
          <w:color w:val="auto"/>
        </w:rPr>
        <w:t>References</w:t>
      </w:r>
    </w:p>
    <w:p w14:paraId="0EEE6E1B" w14:textId="77777777" w:rsidR="00807072" w:rsidRPr="00807072" w:rsidRDefault="00A84F4B" w:rsidP="00807072">
      <w:pPr>
        <w:pStyle w:val="Bibliography"/>
        <w:rPr>
          <w:rFonts w:ascii="Calibri" w:hAnsi="Calibri" w:cs="Calibri"/>
        </w:rPr>
      </w:pPr>
      <w:r w:rsidRPr="00734121">
        <w:fldChar w:fldCharType="begin"/>
      </w:r>
      <w:r w:rsidR="00807072">
        <w:instrText xml:space="preserve"> ADDIN ZOTERO_BIBL {"uncited":[],"omitted":[],"custom":[]} CSL_BIBLIOGRAPHY </w:instrText>
      </w:r>
      <w:r w:rsidRPr="00734121">
        <w:fldChar w:fldCharType="separate"/>
      </w:r>
      <w:r w:rsidR="00807072" w:rsidRPr="00807072">
        <w:rPr>
          <w:rFonts w:ascii="Calibri" w:hAnsi="Calibri" w:cs="Calibri"/>
        </w:rPr>
        <w:t>1.</w:t>
      </w:r>
      <w:r w:rsidR="00807072" w:rsidRPr="00807072">
        <w:rPr>
          <w:rFonts w:ascii="Calibri" w:hAnsi="Calibri" w:cs="Calibri"/>
        </w:rPr>
        <w:tab/>
        <w:t xml:space="preserve">Mayneord WV. On a Law of Growth of Jensen’s Rat Sarcoma. 1932;7. </w:t>
      </w:r>
    </w:p>
    <w:p w14:paraId="6C02CD42" w14:textId="77777777" w:rsidR="00807072" w:rsidRPr="00807072" w:rsidRDefault="00807072" w:rsidP="00807072">
      <w:pPr>
        <w:pStyle w:val="Bibliography"/>
        <w:rPr>
          <w:rFonts w:ascii="Calibri" w:hAnsi="Calibri" w:cs="Calibri"/>
        </w:rPr>
      </w:pPr>
      <w:r w:rsidRPr="00807072">
        <w:rPr>
          <w:rFonts w:ascii="Calibri" w:hAnsi="Calibri" w:cs="Calibri"/>
        </w:rPr>
        <w:t>2.</w:t>
      </w:r>
      <w:r w:rsidRPr="00807072">
        <w:rPr>
          <w:rFonts w:ascii="Calibri" w:hAnsi="Calibri" w:cs="Calibri"/>
        </w:rPr>
        <w:tab/>
        <w:t xml:space="preserve">Zaidi M, Fu F, Cojocari D, McKee TD, Wouters BG. Quantitative Visualization of Hypoxia and Proliferation Gradients Within Histological Tissue Sections. Front Bioeng Biotechnol. 2019 Dec 5;7:397. </w:t>
      </w:r>
    </w:p>
    <w:p w14:paraId="428959CF" w14:textId="77777777" w:rsidR="00807072" w:rsidRPr="00807072" w:rsidRDefault="00807072" w:rsidP="00807072">
      <w:pPr>
        <w:pStyle w:val="Bibliography"/>
        <w:rPr>
          <w:rFonts w:ascii="Calibri" w:hAnsi="Calibri" w:cs="Calibri"/>
        </w:rPr>
      </w:pPr>
      <w:r w:rsidRPr="00807072">
        <w:rPr>
          <w:rFonts w:ascii="Calibri" w:hAnsi="Calibri" w:cs="Calibri"/>
        </w:rPr>
        <w:t>3.</w:t>
      </w:r>
      <w:r w:rsidRPr="00807072">
        <w:rPr>
          <w:rFonts w:ascii="Calibri" w:hAnsi="Calibri" w:cs="Calibri"/>
        </w:rPr>
        <w:tab/>
        <w:t>Checkley S, MacCallum L, Yates J, Jasper P, Luo H, Tolsma J, et al. Bridging the gap between in vitro and in vivo: Dose and schedule predictions for the ATR inhibitor AZD6738. Sci Rep [Internet]. 2015 Oct [cited 2017 Nov 17];5(1). Available from: http://www.nature.com/articles/srep13545</w:t>
      </w:r>
    </w:p>
    <w:p w14:paraId="2A47255B" w14:textId="77777777" w:rsidR="00807072" w:rsidRPr="00807072" w:rsidRDefault="00807072" w:rsidP="00807072">
      <w:pPr>
        <w:pStyle w:val="Bibliography"/>
        <w:rPr>
          <w:rFonts w:ascii="Calibri" w:hAnsi="Calibri" w:cs="Calibri"/>
        </w:rPr>
      </w:pPr>
      <w:r w:rsidRPr="00807072">
        <w:rPr>
          <w:rFonts w:ascii="Calibri" w:hAnsi="Calibri" w:cs="Calibri"/>
        </w:rPr>
        <w:t>4.</w:t>
      </w:r>
      <w:r w:rsidRPr="00807072">
        <w:rPr>
          <w:rFonts w:ascii="Calibri" w:hAnsi="Calibri" w:cs="Calibri"/>
        </w:rPr>
        <w:tab/>
        <w:t xml:space="preserve">Orrell D, Mistry HB. A simple model of a growing tumour. PeerJ. 2019 May 31;7:e6983. </w:t>
      </w:r>
    </w:p>
    <w:p w14:paraId="0670CEA8" w14:textId="77777777" w:rsidR="00807072" w:rsidRPr="00807072" w:rsidRDefault="00807072" w:rsidP="00807072">
      <w:pPr>
        <w:pStyle w:val="Bibliography"/>
        <w:rPr>
          <w:rFonts w:ascii="Calibri" w:hAnsi="Calibri" w:cs="Calibri"/>
        </w:rPr>
      </w:pPr>
      <w:r w:rsidRPr="00807072">
        <w:rPr>
          <w:rFonts w:ascii="Calibri" w:hAnsi="Calibri" w:cs="Calibri"/>
        </w:rPr>
        <w:t>5.</w:t>
      </w:r>
      <w:r w:rsidRPr="00807072">
        <w:rPr>
          <w:rFonts w:ascii="Calibri" w:hAnsi="Calibri" w:cs="Calibri"/>
        </w:rPr>
        <w:tab/>
        <w:t xml:space="preserve">Evans ND, Dimelow RJ, Yates JWT. Modelling of tumour growth and cytotoxic effect of docetaxel in xenografts. Comput Methods Programs Biomed. 2014 May;114(3):e3–13. </w:t>
      </w:r>
    </w:p>
    <w:p w14:paraId="30B4B828" w14:textId="77777777" w:rsidR="00807072" w:rsidRPr="00807072" w:rsidRDefault="00807072" w:rsidP="00807072">
      <w:pPr>
        <w:pStyle w:val="Bibliography"/>
        <w:rPr>
          <w:rFonts w:ascii="Calibri" w:hAnsi="Calibri" w:cs="Calibri"/>
        </w:rPr>
      </w:pPr>
      <w:r w:rsidRPr="00807072">
        <w:rPr>
          <w:rFonts w:ascii="Calibri" w:hAnsi="Calibri" w:cs="Calibri"/>
        </w:rPr>
        <w:t>6.</w:t>
      </w:r>
      <w:r w:rsidRPr="00807072">
        <w:rPr>
          <w:rFonts w:ascii="Calibri" w:hAnsi="Calibri" w:cs="Calibri"/>
        </w:rPr>
        <w:tab/>
        <w:t xml:space="preserve">Yates JWT, Dudley P, Cheng J, D’Cruz C, Davies BR. Validation of a predictive modeling approach to demonstrate the relative efficacy of three different schedules of the AKT inhibitor AZD5363. Cancer Chemother Pharmacol. 2015 Aug;76(2):343–56. </w:t>
      </w:r>
    </w:p>
    <w:p w14:paraId="2009A80E" w14:textId="77777777" w:rsidR="00807072" w:rsidRPr="00807072" w:rsidRDefault="00807072" w:rsidP="00807072">
      <w:pPr>
        <w:pStyle w:val="Bibliography"/>
        <w:rPr>
          <w:rFonts w:ascii="Calibri" w:hAnsi="Calibri" w:cs="Calibri"/>
        </w:rPr>
      </w:pPr>
      <w:r w:rsidRPr="00807072">
        <w:rPr>
          <w:rFonts w:ascii="Calibri" w:hAnsi="Calibri" w:cs="Calibri"/>
        </w:rPr>
        <w:t>7.</w:t>
      </w:r>
      <w:r w:rsidRPr="00807072">
        <w:rPr>
          <w:rFonts w:ascii="Calibri" w:hAnsi="Calibri" w:cs="Calibri"/>
        </w:rPr>
        <w:tab/>
        <w:t xml:space="preserve">Wang Y, Sung C, Dartois C, Ramchandani R, Booth BP, Rock E, et al. Elucidation of Relationship Between Tumor Size and Survival in Non-Small-Cell Lung Cancer Patients Can Aid Early Decision Making in Clinical Drug Development. Clin Pharmacol Ther. 2009 Aug;86(2):167–74. </w:t>
      </w:r>
    </w:p>
    <w:p w14:paraId="2D80EC8A" w14:textId="77777777" w:rsidR="00807072" w:rsidRPr="00807072" w:rsidRDefault="00807072" w:rsidP="00807072">
      <w:pPr>
        <w:pStyle w:val="Bibliography"/>
        <w:rPr>
          <w:rFonts w:ascii="Calibri" w:hAnsi="Calibri" w:cs="Calibri"/>
        </w:rPr>
      </w:pPr>
      <w:r w:rsidRPr="00807072">
        <w:rPr>
          <w:rFonts w:ascii="Calibri" w:hAnsi="Calibri" w:cs="Calibri"/>
        </w:rPr>
        <w:t>8.</w:t>
      </w:r>
      <w:r w:rsidRPr="00807072">
        <w:rPr>
          <w:rFonts w:ascii="Calibri" w:hAnsi="Calibri" w:cs="Calibri"/>
        </w:rPr>
        <w:tab/>
        <w:t xml:space="preserve">Stein A, Wang W, Carter AA, Chiparus O, Hollaender N, Kim H, et al. Dynamic tumor modeling of the dose–response relationship for everolimus in metastatic renal cell carcinoma using data from the phase 3 RECORD-1 trial. BMC Cancer. 2012 Dec;12(1):311. </w:t>
      </w:r>
    </w:p>
    <w:p w14:paraId="45FF409A" w14:textId="77777777" w:rsidR="00807072" w:rsidRPr="00807072" w:rsidRDefault="00807072" w:rsidP="00807072">
      <w:pPr>
        <w:pStyle w:val="Bibliography"/>
        <w:rPr>
          <w:rFonts w:ascii="Calibri" w:hAnsi="Calibri" w:cs="Calibri"/>
        </w:rPr>
      </w:pPr>
      <w:r w:rsidRPr="00807072">
        <w:rPr>
          <w:rFonts w:ascii="Calibri" w:hAnsi="Calibri" w:cs="Calibri"/>
        </w:rPr>
        <w:t>9.</w:t>
      </w:r>
      <w:r w:rsidRPr="00807072">
        <w:rPr>
          <w:rFonts w:ascii="Calibri" w:hAnsi="Calibri" w:cs="Calibri"/>
        </w:rPr>
        <w:tab/>
        <w:t xml:space="preserve">Simeoni M, Magni P, Cammia C, De Nicolao G, Croci V, Pesenti E, et al. Predictive pharmacokinetic-pharmacodynamic modeling of tumor growth kinetics in xenograft models after administration of anticancer agents. Cancer Res. 2004 Feb 1;64:1094–101. </w:t>
      </w:r>
    </w:p>
    <w:p w14:paraId="6C5E1EF2" w14:textId="77777777" w:rsidR="00807072" w:rsidRPr="00807072" w:rsidRDefault="00807072" w:rsidP="00807072">
      <w:pPr>
        <w:pStyle w:val="Bibliography"/>
        <w:rPr>
          <w:rFonts w:ascii="Calibri" w:hAnsi="Calibri" w:cs="Calibri"/>
        </w:rPr>
      </w:pPr>
      <w:r w:rsidRPr="00807072">
        <w:rPr>
          <w:rFonts w:ascii="Calibri" w:hAnsi="Calibri" w:cs="Calibri"/>
        </w:rPr>
        <w:t>10.</w:t>
      </w:r>
      <w:r w:rsidRPr="00807072">
        <w:rPr>
          <w:rFonts w:ascii="Calibri" w:hAnsi="Calibri" w:cs="Calibri"/>
        </w:rPr>
        <w:tab/>
        <w:t xml:space="preserve">Fernandez E, Mistry H, Brightman FA, Orrell D, Generali DG, Milani M, et al. From preclinical to phase II: Using virtual tumor clinical model to predict the efficacy of randomised phase II trials. J Clin Oncol. 2015 May 20;33(15_suppl):e12032–e12032. </w:t>
      </w:r>
    </w:p>
    <w:p w14:paraId="71D6234C" w14:textId="77777777" w:rsidR="00807072" w:rsidRPr="00807072" w:rsidRDefault="00807072" w:rsidP="00807072">
      <w:pPr>
        <w:pStyle w:val="Bibliography"/>
        <w:rPr>
          <w:rFonts w:ascii="Calibri" w:hAnsi="Calibri" w:cs="Calibri"/>
        </w:rPr>
      </w:pPr>
      <w:r w:rsidRPr="00807072">
        <w:rPr>
          <w:rFonts w:ascii="Calibri" w:hAnsi="Calibri" w:cs="Calibri"/>
        </w:rPr>
        <w:t>11.</w:t>
      </w:r>
      <w:r w:rsidRPr="00807072">
        <w:rPr>
          <w:rFonts w:ascii="Calibri" w:hAnsi="Calibri" w:cs="Calibri"/>
        </w:rPr>
        <w:tab/>
        <w:t xml:space="preserve">Fernandez E, Orrell D, Brightman F, Fell D, Chassagnole C. Modeling ionizing radiation exposure in vitro and in vivo using the Virtual Tumour. Cancer Res. 2013 Apr 15;73(8 Supplement):5233–5233. </w:t>
      </w:r>
    </w:p>
    <w:p w14:paraId="3F14FE57" w14:textId="77777777" w:rsidR="00807072" w:rsidRPr="00807072" w:rsidRDefault="00807072" w:rsidP="00807072">
      <w:pPr>
        <w:pStyle w:val="Bibliography"/>
        <w:rPr>
          <w:rFonts w:ascii="Calibri" w:hAnsi="Calibri" w:cs="Calibri"/>
        </w:rPr>
      </w:pPr>
      <w:r w:rsidRPr="00807072">
        <w:rPr>
          <w:rFonts w:ascii="Calibri" w:hAnsi="Calibri" w:cs="Calibri"/>
        </w:rPr>
        <w:t>12.</w:t>
      </w:r>
      <w:r w:rsidRPr="00807072">
        <w:rPr>
          <w:rFonts w:ascii="Calibri" w:hAnsi="Calibri" w:cs="Calibri"/>
        </w:rPr>
        <w:tab/>
        <w:t>Ortega FG, Brightman FA, Orell D, Mistry H, Millen J, Chassagnole C. Abstract 680: Predicting the effect of radiotherapy on tumor growth inhibition and time to progression in head and neck cancer. In: Bioinformatics, Convergence Science, and Systems Biology [Internet]. American Association for Cancer Research; 2019 [cited 2020 Jan 21]. p. 680–680. Available from: http://cancerres.aacrjournals.org/lookup/doi/10.1158/1538-7445.AM2019-680</w:t>
      </w:r>
    </w:p>
    <w:p w14:paraId="236E2075" w14:textId="77777777" w:rsidR="00807072" w:rsidRPr="00807072" w:rsidRDefault="00807072" w:rsidP="00807072">
      <w:pPr>
        <w:pStyle w:val="Bibliography"/>
        <w:rPr>
          <w:rFonts w:ascii="Calibri" w:hAnsi="Calibri" w:cs="Calibri"/>
        </w:rPr>
      </w:pPr>
      <w:r w:rsidRPr="00807072">
        <w:rPr>
          <w:rFonts w:ascii="Calibri" w:hAnsi="Calibri" w:cs="Calibri"/>
        </w:rPr>
        <w:t>13.</w:t>
      </w:r>
      <w:r w:rsidRPr="00807072">
        <w:rPr>
          <w:rFonts w:ascii="Calibri" w:hAnsi="Calibri" w:cs="Calibri"/>
        </w:rPr>
        <w:tab/>
        <w:t xml:space="preserve">Cardilin T, Almquist J, Jirstrand M, Zimmermann A, Lignet F, El Bawab S, et al. Modeling long-term tumor growth and kill after combinations of radiation and radiosensitizing agents. Cancer Chemother Pharmacol. 2019 Jun;83(6):1159–73. </w:t>
      </w:r>
    </w:p>
    <w:p w14:paraId="52DFDB9B" w14:textId="77777777" w:rsidR="00807072" w:rsidRPr="00807072" w:rsidRDefault="00807072" w:rsidP="00807072">
      <w:pPr>
        <w:pStyle w:val="Bibliography"/>
        <w:rPr>
          <w:rFonts w:ascii="Calibri" w:hAnsi="Calibri" w:cs="Calibri"/>
        </w:rPr>
      </w:pPr>
      <w:r w:rsidRPr="00807072">
        <w:rPr>
          <w:rFonts w:ascii="Calibri" w:hAnsi="Calibri" w:cs="Calibri"/>
        </w:rPr>
        <w:t>14.</w:t>
      </w:r>
      <w:r w:rsidRPr="00807072">
        <w:rPr>
          <w:rFonts w:ascii="Calibri" w:hAnsi="Calibri" w:cs="Calibri"/>
        </w:rPr>
        <w:tab/>
        <w:t xml:space="preserve">Forrester HB, Vidair CA, Albright N, Ling CC, Dewey WC. Using Computerized Video Time Lapse for Quantifying Cell Death of X-irradiated Rat Embryo Cells Transfected with c-myc or c-Ha-ras. Cancer Res. 1999;59:931–9. </w:t>
      </w:r>
    </w:p>
    <w:p w14:paraId="70F89E80" w14:textId="77777777" w:rsidR="00807072" w:rsidRPr="00807072" w:rsidRDefault="00807072" w:rsidP="00807072">
      <w:pPr>
        <w:pStyle w:val="Bibliography"/>
        <w:rPr>
          <w:rFonts w:ascii="Calibri" w:hAnsi="Calibri" w:cs="Calibri"/>
        </w:rPr>
      </w:pPr>
      <w:r w:rsidRPr="00807072">
        <w:rPr>
          <w:rFonts w:ascii="Calibri" w:hAnsi="Calibri" w:cs="Calibri"/>
        </w:rPr>
        <w:t>15.</w:t>
      </w:r>
      <w:r w:rsidRPr="00807072">
        <w:rPr>
          <w:rFonts w:ascii="Calibri" w:hAnsi="Calibri" w:cs="Calibri"/>
        </w:rPr>
        <w:tab/>
        <w:t xml:space="preserve">Stewart E, Goshorn R, Bradley C, Griffiths LM, Benavente C, Twarog NR, et al. Targeting the DNA Repair Pathway in Ewing Sarcoma. Cell Rep. 2014 Nov;9(3):829–40. </w:t>
      </w:r>
    </w:p>
    <w:p w14:paraId="0CE58280" w14:textId="77777777" w:rsidR="00807072" w:rsidRPr="00807072" w:rsidRDefault="00807072" w:rsidP="00807072">
      <w:pPr>
        <w:pStyle w:val="Bibliography"/>
        <w:rPr>
          <w:rFonts w:ascii="Calibri" w:hAnsi="Calibri" w:cs="Calibri"/>
        </w:rPr>
      </w:pPr>
      <w:r w:rsidRPr="00807072">
        <w:rPr>
          <w:rFonts w:ascii="Calibri" w:hAnsi="Calibri" w:cs="Calibri"/>
        </w:rPr>
        <w:t>16.</w:t>
      </w:r>
      <w:r w:rsidRPr="00807072">
        <w:rPr>
          <w:rFonts w:ascii="Calibri" w:hAnsi="Calibri" w:cs="Calibri"/>
        </w:rPr>
        <w:tab/>
        <w:t xml:space="preserve">Turchick A, Zimmermann A, Chiu LY, Dahmen H, Elenbaas B, Zenke FT, et al. Selective Inhibition of ATM-dependent Double-strand Break Repair and Checkpoint Control Synergistically Enhances the Efficacy of ATR Inhibitors. Mol Cancer Ther. 2023 Jul 5;22(7):859–72. </w:t>
      </w:r>
    </w:p>
    <w:p w14:paraId="5BCC0E7D" w14:textId="77777777" w:rsidR="00807072" w:rsidRPr="00807072" w:rsidRDefault="00807072" w:rsidP="00807072">
      <w:pPr>
        <w:pStyle w:val="Bibliography"/>
        <w:rPr>
          <w:rFonts w:ascii="Calibri" w:hAnsi="Calibri" w:cs="Calibri"/>
        </w:rPr>
      </w:pPr>
      <w:r w:rsidRPr="00807072">
        <w:rPr>
          <w:rFonts w:ascii="Calibri" w:hAnsi="Calibri" w:cs="Calibri"/>
        </w:rPr>
        <w:t>17.</w:t>
      </w:r>
      <w:r w:rsidRPr="00807072">
        <w:rPr>
          <w:rFonts w:ascii="Calibri" w:hAnsi="Calibri" w:cs="Calibri"/>
        </w:rPr>
        <w:tab/>
        <w:t xml:space="preserve">Cooper GM, Adams KW. The cell: a molecular approach. Ninth edition. New York, NY: Oxford University Press; 2023. 788 p. </w:t>
      </w:r>
    </w:p>
    <w:p w14:paraId="3E54AEC5" w14:textId="77777777" w:rsidR="00807072" w:rsidRPr="00807072" w:rsidRDefault="00807072" w:rsidP="00807072">
      <w:pPr>
        <w:pStyle w:val="Bibliography"/>
        <w:rPr>
          <w:rFonts w:ascii="Calibri" w:hAnsi="Calibri" w:cs="Calibri"/>
        </w:rPr>
      </w:pPr>
      <w:r w:rsidRPr="00807072">
        <w:rPr>
          <w:rFonts w:ascii="Calibri" w:hAnsi="Calibri" w:cs="Calibri"/>
        </w:rPr>
        <w:t>18.</w:t>
      </w:r>
      <w:r w:rsidRPr="00807072">
        <w:rPr>
          <w:rFonts w:ascii="Calibri" w:hAnsi="Calibri" w:cs="Calibri"/>
        </w:rPr>
        <w:tab/>
        <w:t xml:space="preserve">Pfeiffer P. Mechanisms of DNA double-strand break repair and their potential to induce chromosomal aberrations. Mutagenesis. 2000 Jul 1;15(4):289–302. </w:t>
      </w:r>
    </w:p>
    <w:p w14:paraId="27638665" w14:textId="0C6AB2FD" w:rsidR="00731955" w:rsidRPr="00734121" w:rsidRDefault="00A84F4B" w:rsidP="002E15CE">
      <w:pPr>
        <w:rPr>
          <w:b/>
          <w:bCs/>
        </w:rPr>
      </w:pPr>
      <w:r w:rsidRPr="00734121">
        <w:rPr>
          <w:b/>
          <w:bCs/>
        </w:rPr>
        <w:fldChar w:fldCharType="end"/>
      </w:r>
    </w:p>
    <w:sectPr w:rsidR="00731955" w:rsidRPr="00734121">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859352" w14:textId="77777777" w:rsidR="004F6253" w:rsidRDefault="004F6253" w:rsidP="00E7116C">
      <w:pPr>
        <w:spacing w:after="0" w:line="240" w:lineRule="auto"/>
      </w:pPr>
      <w:r>
        <w:separator/>
      </w:r>
    </w:p>
  </w:endnote>
  <w:endnote w:type="continuationSeparator" w:id="0">
    <w:p w14:paraId="7B98B9EC" w14:textId="77777777" w:rsidR="004F6253" w:rsidRDefault="004F6253" w:rsidP="00E7116C">
      <w:pPr>
        <w:spacing w:after="0" w:line="240" w:lineRule="auto"/>
      </w:pPr>
      <w:r>
        <w:continuationSeparator/>
      </w:r>
    </w:p>
  </w:endnote>
  <w:endnote w:type="continuationNotice" w:id="1">
    <w:p w14:paraId="785A3D9C" w14:textId="77777777" w:rsidR="004F6253" w:rsidRDefault="004F62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NimbusRomNo9L-Regu">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5056917"/>
      <w:docPartObj>
        <w:docPartGallery w:val="Page Numbers (Bottom of Page)"/>
        <w:docPartUnique/>
      </w:docPartObj>
    </w:sdtPr>
    <w:sdtEndPr>
      <w:rPr>
        <w:noProof/>
      </w:rPr>
    </w:sdtEndPr>
    <w:sdtContent>
      <w:p w14:paraId="1B756C98" w14:textId="473DD54B" w:rsidR="004F1A48" w:rsidRDefault="004F1A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00D479" w14:textId="77777777" w:rsidR="004F1A48" w:rsidRDefault="004F1A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5EA89E" w14:textId="77777777" w:rsidR="004F6253" w:rsidRDefault="004F6253" w:rsidP="00E7116C">
      <w:pPr>
        <w:spacing w:after="0" w:line="240" w:lineRule="auto"/>
      </w:pPr>
      <w:r>
        <w:separator/>
      </w:r>
    </w:p>
  </w:footnote>
  <w:footnote w:type="continuationSeparator" w:id="0">
    <w:p w14:paraId="384B3FF7" w14:textId="77777777" w:rsidR="004F6253" w:rsidRDefault="004F6253" w:rsidP="00E7116C">
      <w:pPr>
        <w:spacing w:after="0" w:line="240" w:lineRule="auto"/>
      </w:pPr>
      <w:r>
        <w:continuationSeparator/>
      </w:r>
    </w:p>
  </w:footnote>
  <w:footnote w:type="continuationNotice" w:id="1">
    <w:p w14:paraId="24EA6F9C" w14:textId="77777777" w:rsidR="004F6253" w:rsidRDefault="004F625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F7136"/>
    <w:multiLevelType w:val="hybridMultilevel"/>
    <w:tmpl w:val="89DEA846"/>
    <w:lvl w:ilvl="0" w:tplc="F7FE5E34">
      <w:start w:val="1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6355C"/>
    <w:multiLevelType w:val="hybridMultilevel"/>
    <w:tmpl w:val="7780F2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5F3EE5"/>
    <w:multiLevelType w:val="hybridMultilevel"/>
    <w:tmpl w:val="93DE1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7D3F1A"/>
    <w:multiLevelType w:val="hybridMultilevel"/>
    <w:tmpl w:val="930EF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493ABC"/>
    <w:multiLevelType w:val="hybridMultilevel"/>
    <w:tmpl w:val="DBA0253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46969E9"/>
    <w:multiLevelType w:val="hybridMultilevel"/>
    <w:tmpl w:val="BA1A1A6E"/>
    <w:lvl w:ilvl="0" w:tplc="35EC22A6">
      <w:start w:val="1"/>
      <w:numFmt w:val="bullet"/>
      <w:lvlText w:val="•"/>
      <w:lvlJc w:val="left"/>
      <w:pPr>
        <w:tabs>
          <w:tab w:val="num" w:pos="720"/>
        </w:tabs>
        <w:ind w:left="720" w:hanging="360"/>
      </w:pPr>
      <w:rPr>
        <w:rFonts w:ascii="Arial" w:hAnsi="Arial" w:hint="default"/>
      </w:rPr>
    </w:lvl>
    <w:lvl w:ilvl="1" w:tplc="B28AD802" w:tentative="1">
      <w:start w:val="1"/>
      <w:numFmt w:val="bullet"/>
      <w:lvlText w:val="•"/>
      <w:lvlJc w:val="left"/>
      <w:pPr>
        <w:tabs>
          <w:tab w:val="num" w:pos="1440"/>
        </w:tabs>
        <w:ind w:left="1440" w:hanging="360"/>
      </w:pPr>
      <w:rPr>
        <w:rFonts w:ascii="Arial" w:hAnsi="Arial" w:hint="default"/>
      </w:rPr>
    </w:lvl>
    <w:lvl w:ilvl="2" w:tplc="83365592" w:tentative="1">
      <w:start w:val="1"/>
      <w:numFmt w:val="bullet"/>
      <w:lvlText w:val="•"/>
      <w:lvlJc w:val="left"/>
      <w:pPr>
        <w:tabs>
          <w:tab w:val="num" w:pos="2160"/>
        </w:tabs>
        <w:ind w:left="2160" w:hanging="360"/>
      </w:pPr>
      <w:rPr>
        <w:rFonts w:ascii="Arial" w:hAnsi="Arial" w:hint="default"/>
      </w:rPr>
    </w:lvl>
    <w:lvl w:ilvl="3" w:tplc="1E760462" w:tentative="1">
      <w:start w:val="1"/>
      <w:numFmt w:val="bullet"/>
      <w:lvlText w:val="•"/>
      <w:lvlJc w:val="left"/>
      <w:pPr>
        <w:tabs>
          <w:tab w:val="num" w:pos="2880"/>
        </w:tabs>
        <w:ind w:left="2880" w:hanging="360"/>
      </w:pPr>
      <w:rPr>
        <w:rFonts w:ascii="Arial" w:hAnsi="Arial" w:hint="default"/>
      </w:rPr>
    </w:lvl>
    <w:lvl w:ilvl="4" w:tplc="A1C0E470" w:tentative="1">
      <w:start w:val="1"/>
      <w:numFmt w:val="bullet"/>
      <w:lvlText w:val="•"/>
      <w:lvlJc w:val="left"/>
      <w:pPr>
        <w:tabs>
          <w:tab w:val="num" w:pos="3600"/>
        </w:tabs>
        <w:ind w:left="3600" w:hanging="360"/>
      </w:pPr>
      <w:rPr>
        <w:rFonts w:ascii="Arial" w:hAnsi="Arial" w:hint="default"/>
      </w:rPr>
    </w:lvl>
    <w:lvl w:ilvl="5" w:tplc="412A6E02" w:tentative="1">
      <w:start w:val="1"/>
      <w:numFmt w:val="bullet"/>
      <w:lvlText w:val="•"/>
      <w:lvlJc w:val="left"/>
      <w:pPr>
        <w:tabs>
          <w:tab w:val="num" w:pos="4320"/>
        </w:tabs>
        <w:ind w:left="4320" w:hanging="360"/>
      </w:pPr>
      <w:rPr>
        <w:rFonts w:ascii="Arial" w:hAnsi="Arial" w:hint="default"/>
      </w:rPr>
    </w:lvl>
    <w:lvl w:ilvl="6" w:tplc="AF4202B4" w:tentative="1">
      <w:start w:val="1"/>
      <w:numFmt w:val="bullet"/>
      <w:lvlText w:val="•"/>
      <w:lvlJc w:val="left"/>
      <w:pPr>
        <w:tabs>
          <w:tab w:val="num" w:pos="5040"/>
        </w:tabs>
        <w:ind w:left="5040" w:hanging="360"/>
      </w:pPr>
      <w:rPr>
        <w:rFonts w:ascii="Arial" w:hAnsi="Arial" w:hint="default"/>
      </w:rPr>
    </w:lvl>
    <w:lvl w:ilvl="7" w:tplc="13DC4EA4" w:tentative="1">
      <w:start w:val="1"/>
      <w:numFmt w:val="bullet"/>
      <w:lvlText w:val="•"/>
      <w:lvlJc w:val="left"/>
      <w:pPr>
        <w:tabs>
          <w:tab w:val="num" w:pos="5760"/>
        </w:tabs>
        <w:ind w:left="5760" w:hanging="360"/>
      </w:pPr>
      <w:rPr>
        <w:rFonts w:ascii="Arial" w:hAnsi="Arial" w:hint="default"/>
      </w:rPr>
    </w:lvl>
    <w:lvl w:ilvl="8" w:tplc="625A81E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2903E98"/>
    <w:multiLevelType w:val="hybridMultilevel"/>
    <w:tmpl w:val="68867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D91DC3"/>
    <w:multiLevelType w:val="hybridMultilevel"/>
    <w:tmpl w:val="47A4CDDA"/>
    <w:lvl w:ilvl="0" w:tplc="3B601AD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667C8C"/>
    <w:multiLevelType w:val="hybridMultilevel"/>
    <w:tmpl w:val="048CB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9C4075"/>
    <w:multiLevelType w:val="hybridMultilevel"/>
    <w:tmpl w:val="1E667B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0A1B8A"/>
    <w:multiLevelType w:val="hybridMultilevel"/>
    <w:tmpl w:val="F9D2AC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BF2278"/>
    <w:multiLevelType w:val="hybridMultilevel"/>
    <w:tmpl w:val="1A2C8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0D45B2"/>
    <w:multiLevelType w:val="hybridMultilevel"/>
    <w:tmpl w:val="E7F8A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3272428">
    <w:abstractNumId w:val="3"/>
  </w:num>
  <w:num w:numId="2" w16cid:durableId="2063869493">
    <w:abstractNumId w:val="12"/>
  </w:num>
  <w:num w:numId="3" w16cid:durableId="588195434">
    <w:abstractNumId w:val="11"/>
  </w:num>
  <w:num w:numId="4" w16cid:durableId="885412533">
    <w:abstractNumId w:val="7"/>
  </w:num>
  <w:num w:numId="5" w16cid:durableId="601301449">
    <w:abstractNumId w:val="8"/>
  </w:num>
  <w:num w:numId="6" w16cid:durableId="78067863">
    <w:abstractNumId w:val="6"/>
  </w:num>
  <w:num w:numId="7" w16cid:durableId="193153411">
    <w:abstractNumId w:val="2"/>
  </w:num>
  <w:num w:numId="8" w16cid:durableId="1243367082">
    <w:abstractNumId w:val="5"/>
  </w:num>
  <w:num w:numId="9" w16cid:durableId="1209682748">
    <w:abstractNumId w:val="0"/>
  </w:num>
  <w:num w:numId="10" w16cid:durableId="2067756295">
    <w:abstractNumId w:val="10"/>
  </w:num>
  <w:num w:numId="11" w16cid:durableId="199174095">
    <w:abstractNumId w:val="4"/>
  </w:num>
  <w:num w:numId="12" w16cid:durableId="949119398">
    <w:abstractNumId w:val="1"/>
  </w:num>
  <w:num w:numId="13" w16cid:durableId="2700938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7A1"/>
    <w:rsid w:val="00000D89"/>
    <w:rsid w:val="00001A67"/>
    <w:rsid w:val="000069BE"/>
    <w:rsid w:val="00007C53"/>
    <w:rsid w:val="00010FCA"/>
    <w:rsid w:val="0001142B"/>
    <w:rsid w:val="000119C8"/>
    <w:rsid w:val="00014C11"/>
    <w:rsid w:val="0001565B"/>
    <w:rsid w:val="00015CFA"/>
    <w:rsid w:val="0001601B"/>
    <w:rsid w:val="00022130"/>
    <w:rsid w:val="000250EE"/>
    <w:rsid w:val="00030218"/>
    <w:rsid w:val="00043A3C"/>
    <w:rsid w:val="00043E0D"/>
    <w:rsid w:val="00044BF5"/>
    <w:rsid w:val="000468CA"/>
    <w:rsid w:val="0005119B"/>
    <w:rsid w:val="00052DD0"/>
    <w:rsid w:val="00054BD4"/>
    <w:rsid w:val="00054CBB"/>
    <w:rsid w:val="00065230"/>
    <w:rsid w:val="000658F5"/>
    <w:rsid w:val="0007028F"/>
    <w:rsid w:val="00071E7A"/>
    <w:rsid w:val="00071F4F"/>
    <w:rsid w:val="00081887"/>
    <w:rsid w:val="00085C10"/>
    <w:rsid w:val="000863A9"/>
    <w:rsid w:val="00090BB1"/>
    <w:rsid w:val="000916DE"/>
    <w:rsid w:val="00097F9F"/>
    <w:rsid w:val="000A1F40"/>
    <w:rsid w:val="000A2FFE"/>
    <w:rsid w:val="000A46E5"/>
    <w:rsid w:val="000B02D0"/>
    <w:rsid w:val="000B6E6C"/>
    <w:rsid w:val="000B7467"/>
    <w:rsid w:val="000C215B"/>
    <w:rsid w:val="000C4F35"/>
    <w:rsid w:val="000C7983"/>
    <w:rsid w:val="000D0016"/>
    <w:rsid w:val="000E14A4"/>
    <w:rsid w:val="000E651B"/>
    <w:rsid w:val="000F15BC"/>
    <w:rsid w:val="000F15EA"/>
    <w:rsid w:val="000F41FF"/>
    <w:rsid w:val="0010116E"/>
    <w:rsid w:val="00101595"/>
    <w:rsid w:val="00101758"/>
    <w:rsid w:val="001070A3"/>
    <w:rsid w:val="00112732"/>
    <w:rsid w:val="001138EF"/>
    <w:rsid w:val="00115F61"/>
    <w:rsid w:val="00116D95"/>
    <w:rsid w:val="00122B9F"/>
    <w:rsid w:val="00130F2C"/>
    <w:rsid w:val="00134772"/>
    <w:rsid w:val="001375FE"/>
    <w:rsid w:val="00146977"/>
    <w:rsid w:val="00153A22"/>
    <w:rsid w:val="00157997"/>
    <w:rsid w:val="001600A9"/>
    <w:rsid w:val="00171E38"/>
    <w:rsid w:val="00173FFD"/>
    <w:rsid w:val="001757C1"/>
    <w:rsid w:val="001800CC"/>
    <w:rsid w:val="00181F65"/>
    <w:rsid w:val="00183388"/>
    <w:rsid w:val="001A2E75"/>
    <w:rsid w:val="001A6A91"/>
    <w:rsid w:val="001A7966"/>
    <w:rsid w:val="001A7982"/>
    <w:rsid w:val="001B00CD"/>
    <w:rsid w:val="001B147A"/>
    <w:rsid w:val="001B1890"/>
    <w:rsid w:val="001B20EB"/>
    <w:rsid w:val="001C33B9"/>
    <w:rsid w:val="001D1F29"/>
    <w:rsid w:val="001D30E8"/>
    <w:rsid w:val="001D5351"/>
    <w:rsid w:val="001E2DA7"/>
    <w:rsid w:val="001E3740"/>
    <w:rsid w:val="001E4DCB"/>
    <w:rsid w:val="001E6116"/>
    <w:rsid w:val="001E67B7"/>
    <w:rsid w:val="001F2D72"/>
    <w:rsid w:val="001F2F0E"/>
    <w:rsid w:val="001F5B8A"/>
    <w:rsid w:val="00201640"/>
    <w:rsid w:val="002020D3"/>
    <w:rsid w:val="00214874"/>
    <w:rsid w:val="002163F0"/>
    <w:rsid w:val="00216D71"/>
    <w:rsid w:val="002202BD"/>
    <w:rsid w:val="002212A2"/>
    <w:rsid w:val="00222ED7"/>
    <w:rsid w:val="00223DD4"/>
    <w:rsid w:val="00225D4A"/>
    <w:rsid w:val="002340F5"/>
    <w:rsid w:val="00257C95"/>
    <w:rsid w:val="00262E43"/>
    <w:rsid w:val="00264AE9"/>
    <w:rsid w:val="00267032"/>
    <w:rsid w:val="00271D15"/>
    <w:rsid w:val="002779E7"/>
    <w:rsid w:val="00280929"/>
    <w:rsid w:val="0028597E"/>
    <w:rsid w:val="002A5D88"/>
    <w:rsid w:val="002B18D6"/>
    <w:rsid w:val="002B3D8D"/>
    <w:rsid w:val="002B49C3"/>
    <w:rsid w:val="002B5C63"/>
    <w:rsid w:val="002C4126"/>
    <w:rsid w:val="002C487E"/>
    <w:rsid w:val="002C5F3F"/>
    <w:rsid w:val="002C6A33"/>
    <w:rsid w:val="002C7151"/>
    <w:rsid w:val="002D35E7"/>
    <w:rsid w:val="002D584B"/>
    <w:rsid w:val="002D59CD"/>
    <w:rsid w:val="002E0DC7"/>
    <w:rsid w:val="002E1089"/>
    <w:rsid w:val="002E15CE"/>
    <w:rsid w:val="002E5395"/>
    <w:rsid w:val="002E721E"/>
    <w:rsid w:val="002E72CC"/>
    <w:rsid w:val="002F0EC2"/>
    <w:rsid w:val="002F5D8C"/>
    <w:rsid w:val="002F61A7"/>
    <w:rsid w:val="002F7DB1"/>
    <w:rsid w:val="00304BAA"/>
    <w:rsid w:val="00310142"/>
    <w:rsid w:val="00315192"/>
    <w:rsid w:val="00317C73"/>
    <w:rsid w:val="00320887"/>
    <w:rsid w:val="0032109D"/>
    <w:rsid w:val="0032342C"/>
    <w:rsid w:val="003241E3"/>
    <w:rsid w:val="00331C0F"/>
    <w:rsid w:val="00333FFC"/>
    <w:rsid w:val="003362EA"/>
    <w:rsid w:val="003365B2"/>
    <w:rsid w:val="00343949"/>
    <w:rsid w:val="00352714"/>
    <w:rsid w:val="00354314"/>
    <w:rsid w:val="00354DAB"/>
    <w:rsid w:val="003550FD"/>
    <w:rsid w:val="00355D17"/>
    <w:rsid w:val="00356980"/>
    <w:rsid w:val="003630FF"/>
    <w:rsid w:val="00365754"/>
    <w:rsid w:val="003730E2"/>
    <w:rsid w:val="00376896"/>
    <w:rsid w:val="00382A5C"/>
    <w:rsid w:val="0038570D"/>
    <w:rsid w:val="003857B5"/>
    <w:rsid w:val="00385E58"/>
    <w:rsid w:val="00385EED"/>
    <w:rsid w:val="00386D29"/>
    <w:rsid w:val="003875F5"/>
    <w:rsid w:val="00392146"/>
    <w:rsid w:val="0039558C"/>
    <w:rsid w:val="003A0980"/>
    <w:rsid w:val="003A1E9E"/>
    <w:rsid w:val="003A27B5"/>
    <w:rsid w:val="003A306B"/>
    <w:rsid w:val="003A32F8"/>
    <w:rsid w:val="003A7DDC"/>
    <w:rsid w:val="003A7F71"/>
    <w:rsid w:val="003B081D"/>
    <w:rsid w:val="003B1E28"/>
    <w:rsid w:val="003B3082"/>
    <w:rsid w:val="003B3093"/>
    <w:rsid w:val="003B32A4"/>
    <w:rsid w:val="003B3637"/>
    <w:rsid w:val="003B4C0D"/>
    <w:rsid w:val="003B7E4D"/>
    <w:rsid w:val="003C0FC0"/>
    <w:rsid w:val="003D0368"/>
    <w:rsid w:val="003E0E36"/>
    <w:rsid w:val="003E3544"/>
    <w:rsid w:val="003E42D9"/>
    <w:rsid w:val="003F02B6"/>
    <w:rsid w:val="003F3165"/>
    <w:rsid w:val="003F4F10"/>
    <w:rsid w:val="003F6B5D"/>
    <w:rsid w:val="00401A7F"/>
    <w:rsid w:val="00402442"/>
    <w:rsid w:val="00404470"/>
    <w:rsid w:val="0040474F"/>
    <w:rsid w:val="0041159A"/>
    <w:rsid w:val="004123C6"/>
    <w:rsid w:val="00413B4F"/>
    <w:rsid w:val="004169FE"/>
    <w:rsid w:val="00423062"/>
    <w:rsid w:val="004239B8"/>
    <w:rsid w:val="00423F58"/>
    <w:rsid w:val="00424E90"/>
    <w:rsid w:val="0043127D"/>
    <w:rsid w:val="00433EC1"/>
    <w:rsid w:val="0043591A"/>
    <w:rsid w:val="00436A60"/>
    <w:rsid w:val="004378AA"/>
    <w:rsid w:val="004502C7"/>
    <w:rsid w:val="00450B94"/>
    <w:rsid w:val="00453CCD"/>
    <w:rsid w:val="00453D35"/>
    <w:rsid w:val="00461A06"/>
    <w:rsid w:val="00471F69"/>
    <w:rsid w:val="0047757D"/>
    <w:rsid w:val="00482241"/>
    <w:rsid w:val="004839B1"/>
    <w:rsid w:val="00483B27"/>
    <w:rsid w:val="0048582C"/>
    <w:rsid w:val="00492F28"/>
    <w:rsid w:val="00496EC4"/>
    <w:rsid w:val="004A361D"/>
    <w:rsid w:val="004A5519"/>
    <w:rsid w:val="004B03F2"/>
    <w:rsid w:val="004B17FD"/>
    <w:rsid w:val="004B22D9"/>
    <w:rsid w:val="004B2C7F"/>
    <w:rsid w:val="004C020A"/>
    <w:rsid w:val="004C20E2"/>
    <w:rsid w:val="004C2E72"/>
    <w:rsid w:val="004D1C08"/>
    <w:rsid w:val="004E0033"/>
    <w:rsid w:val="004E06ED"/>
    <w:rsid w:val="004E45C6"/>
    <w:rsid w:val="004F1A48"/>
    <w:rsid w:val="004F28F0"/>
    <w:rsid w:val="004F6253"/>
    <w:rsid w:val="005013C1"/>
    <w:rsid w:val="005100BB"/>
    <w:rsid w:val="005102E9"/>
    <w:rsid w:val="00511C30"/>
    <w:rsid w:val="00520744"/>
    <w:rsid w:val="00525B48"/>
    <w:rsid w:val="00526064"/>
    <w:rsid w:val="00526F2D"/>
    <w:rsid w:val="00531289"/>
    <w:rsid w:val="005319F5"/>
    <w:rsid w:val="0053708B"/>
    <w:rsid w:val="005378FB"/>
    <w:rsid w:val="00545AA0"/>
    <w:rsid w:val="00547DF0"/>
    <w:rsid w:val="00557B81"/>
    <w:rsid w:val="00557D02"/>
    <w:rsid w:val="00557D4D"/>
    <w:rsid w:val="005623EE"/>
    <w:rsid w:val="00593DB8"/>
    <w:rsid w:val="005A5BA1"/>
    <w:rsid w:val="005B674C"/>
    <w:rsid w:val="005C1BC9"/>
    <w:rsid w:val="005C1CCB"/>
    <w:rsid w:val="005C7CC8"/>
    <w:rsid w:val="005D3257"/>
    <w:rsid w:val="005D77FE"/>
    <w:rsid w:val="005E106A"/>
    <w:rsid w:val="005E2186"/>
    <w:rsid w:val="005F2127"/>
    <w:rsid w:val="005F4E41"/>
    <w:rsid w:val="005F5799"/>
    <w:rsid w:val="005F6434"/>
    <w:rsid w:val="005F6830"/>
    <w:rsid w:val="00606E62"/>
    <w:rsid w:val="00610305"/>
    <w:rsid w:val="006157B7"/>
    <w:rsid w:val="00626A81"/>
    <w:rsid w:val="00630752"/>
    <w:rsid w:val="006312BC"/>
    <w:rsid w:val="006358AF"/>
    <w:rsid w:val="00637EDC"/>
    <w:rsid w:val="00643037"/>
    <w:rsid w:val="006507B4"/>
    <w:rsid w:val="00650C5F"/>
    <w:rsid w:val="006531C7"/>
    <w:rsid w:val="00665ECD"/>
    <w:rsid w:val="006661C6"/>
    <w:rsid w:val="00666B73"/>
    <w:rsid w:val="00667DFF"/>
    <w:rsid w:val="006736D0"/>
    <w:rsid w:val="0067415C"/>
    <w:rsid w:val="00674532"/>
    <w:rsid w:val="006777FB"/>
    <w:rsid w:val="00682734"/>
    <w:rsid w:val="0068346C"/>
    <w:rsid w:val="00683CC8"/>
    <w:rsid w:val="00685FC1"/>
    <w:rsid w:val="006868A3"/>
    <w:rsid w:val="00686A4D"/>
    <w:rsid w:val="0068734F"/>
    <w:rsid w:val="00690701"/>
    <w:rsid w:val="00693D15"/>
    <w:rsid w:val="00695637"/>
    <w:rsid w:val="0069698D"/>
    <w:rsid w:val="006A148A"/>
    <w:rsid w:val="006A3122"/>
    <w:rsid w:val="006A3162"/>
    <w:rsid w:val="006A36D9"/>
    <w:rsid w:val="006B1DA5"/>
    <w:rsid w:val="006B64C2"/>
    <w:rsid w:val="006B6C8C"/>
    <w:rsid w:val="006B78AB"/>
    <w:rsid w:val="006C0419"/>
    <w:rsid w:val="006C51A6"/>
    <w:rsid w:val="006C640B"/>
    <w:rsid w:val="006D10B1"/>
    <w:rsid w:val="006D2B1A"/>
    <w:rsid w:val="006D3989"/>
    <w:rsid w:val="006E65D0"/>
    <w:rsid w:val="006F1E4F"/>
    <w:rsid w:val="006F3EBA"/>
    <w:rsid w:val="00700422"/>
    <w:rsid w:val="00702519"/>
    <w:rsid w:val="00702E40"/>
    <w:rsid w:val="00705CD9"/>
    <w:rsid w:val="00706CB9"/>
    <w:rsid w:val="00710841"/>
    <w:rsid w:val="00712DE8"/>
    <w:rsid w:val="00716B35"/>
    <w:rsid w:val="00717428"/>
    <w:rsid w:val="00717541"/>
    <w:rsid w:val="00726AB7"/>
    <w:rsid w:val="00727C70"/>
    <w:rsid w:val="00731955"/>
    <w:rsid w:val="00731FBD"/>
    <w:rsid w:val="00733CCF"/>
    <w:rsid w:val="00734121"/>
    <w:rsid w:val="00734CBF"/>
    <w:rsid w:val="007403E0"/>
    <w:rsid w:val="00743763"/>
    <w:rsid w:val="00746B4E"/>
    <w:rsid w:val="00746B8C"/>
    <w:rsid w:val="007472C6"/>
    <w:rsid w:val="00751925"/>
    <w:rsid w:val="00753F49"/>
    <w:rsid w:val="00755170"/>
    <w:rsid w:val="00757542"/>
    <w:rsid w:val="00771CD0"/>
    <w:rsid w:val="00776164"/>
    <w:rsid w:val="007807E6"/>
    <w:rsid w:val="00781785"/>
    <w:rsid w:val="00782AFE"/>
    <w:rsid w:val="00784D1F"/>
    <w:rsid w:val="007A5015"/>
    <w:rsid w:val="007A616C"/>
    <w:rsid w:val="007A7037"/>
    <w:rsid w:val="007A7112"/>
    <w:rsid w:val="007B3BFB"/>
    <w:rsid w:val="007B6A73"/>
    <w:rsid w:val="007C43B2"/>
    <w:rsid w:val="007C51B0"/>
    <w:rsid w:val="007C5DD8"/>
    <w:rsid w:val="007D20FB"/>
    <w:rsid w:val="007D413A"/>
    <w:rsid w:val="007D4352"/>
    <w:rsid w:val="007D5E6D"/>
    <w:rsid w:val="007D6913"/>
    <w:rsid w:val="007E23A9"/>
    <w:rsid w:val="007E3414"/>
    <w:rsid w:val="007E59BF"/>
    <w:rsid w:val="007E707C"/>
    <w:rsid w:val="007E7706"/>
    <w:rsid w:val="007F1FCB"/>
    <w:rsid w:val="007F2859"/>
    <w:rsid w:val="00805017"/>
    <w:rsid w:val="00807072"/>
    <w:rsid w:val="0081214D"/>
    <w:rsid w:val="00813AB5"/>
    <w:rsid w:val="00816F4B"/>
    <w:rsid w:val="00820F66"/>
    <w:rsid w:val="00821CF0"/>
    <w:rsid w:val="0082334A"/>
    <w:rsid w:val="008276A8"/>
    <w:rsid w:val="00832C07"/>
    <w:rsid w:val="00834EE6"/>
    <w:rsid w:val="00836F28"/>
    <w:rsid w:val="008409AA"/>
    <w:rsid w:val="00841754"/>
    <w:rsid w:val="0084632A"/>
    <w:rsid w:val="00847B77"/>
    <w:rsid w:val="00847E86"/>
    <w:rsid w:val="008513E0"/>
    <w:rsid w:val="00851AE4"/>
    <w:rsid w:val="00851B7C"/>
    <w:rsid w:val="008531BF"/>
    <w:rsid w:val="00862FC3"/>
    <w:rsid w:val="00870CCA"/>
    <w:rsid w:val="00873272"/>
    <w:rsid w:val="0087663E"/>
    <w:rsid w:val="00877686"/>
    <w:rsid w:val="00877EB7"/>
    <w:rsid w:val="008847B1"/>
    <w:rsid w:val="008854D8"/>
    <w:rsid w:val="008A27D3"/>
    <w:rsid w:val="008A5BED"/>
    <w:rsid w:val="008B164D"/>
    <w:rsid w:val="008B1BA9"/>
    <w:rsid w:val="008B21D7"/>
    <w:rsid w:val="008B7B06"/>
    <w:rsid w:val="008C17A1"/>
    <w:rsid w:val="008D2314"/>
    <w:rsid w:val="008D3D90"/>
    <w:rsid w:val="008D4882"/>
    <w:rsid w:val="008D7C1C"/>
    <w:rsid w:val="008E31F9"/>
    <w:rsid w:val="008E61E5"/>
    <w:rsid w:val="008F07E0"/>
    <w:rsid w:val="008F41EC"/>
    <w:rsid w:val="00903CA4"/>
    <w:rsid w:val="00905A50"/>
    <w:rsid w:val="009076D7"/>
    <w:rsid w:val="00907BA6"/>
    <w:rsid w:val="009130AD"/>
    <w:rsid w:val="0092006A"/>
    <w:rsid w:val="00922AB1"/>
    <w:rsid w:val="00923068"/>
    <w:rsid w:val="009234BF"/>
    <w:rsid w:val="0092486D"/>
    <w:rsid w:val="009276FC"/>
    <w:rsid w:val="00931E0F"/>
    <w:rsid w:val="009325F2"/>
    <w:rsid w:val="00935716"/>
    <w:rsid w:val="00943D17"/>
    <w:rsid w:val="0095080D"/>
    <w:rsid w:val="00952BAE"/>
    <w:rsid w:val="0096178F"/>
    <w:rsid w:val="00971E94"/>
    <w:rsid w:val="009751DB"/>
    <w:rsid w:val="00975C51"/>
    <w:rsid w:val="009906ED"/>
    <w:rsid w:val="00991476"/>
    <w:rsid w:val="00993918"/>
    <w:rsid w:val="00995E49"/>
    <w:rsid w:val="009A3485"/>
    <w:rsid w:val="009A78C0"/>
    <w:rsid w:val="009B3EEC"/>
    <w:rsid w:val="009B63F4"/>
    <w:rsid w:val="009C4858"/>
    <w:rsid w:val="009C6E64"/>
    <w:rsid w:val="009D08A5"/>
    <w:rsid w:val="009D1686"/>
    <w:rsid w:val="009D5BA8"/>
    <w:rsid w:val="009E63A9"/>
    <w:rsid w:val="009E6D9E"/>
    <w:rsid w:val="009F0AF0"/>
    <w:rsid w:val="009F0FBC"/>
    <w:rsid w:val="009F5D3B"/>
    <w:rsid w:val="00A02C4A"/>
    <w:rsid w:val="00A046DB"/>
    <w:rsid w:val="00A04CFD"/>
    <w:rsid w:val="00A11BC7"/>
    <w:rsid w:val="00A139EE"/>
    <w:rsid w:val="00A2305D"/>
    <w:rsid w:val="00A238F3"/>
    <w:rsid w:val="00A272B6"/>
    <w:rsid w:val="00A3079B"/>
    <w:rsid w:val="00A36115"/>
    <w:rsid w:val="00A3692D"/>
    <w:rsid w:val="00A413B7"/>
    <w:rsid w:val="00A46D83"/>
    <w:rsid w:val="00A46FED"/>
    <w:rsid w:val="00A50074"/>
    <w:rsid w:val="00A5071A"/>
    <w:rsid w:val="00A514C0"/>
    <w:rsid w:val="00A557BC"/>
    <w:rsid w:val="00A55A91"/>
    <w:rsid w:val="00A55EFD"/>
    <w:rsid w:val="00A61ACA"/>
    <w:rsid w:val="00A63478"/>
    <w:rsid w:val="00A63B5B"/>
    <w:rsid w:val="00A647A8"/>
    <w:rsid w:val="00A64A02"/>
    <w:rsid w:val="00A65BEA"/>
    <w:rsid w:val="00A66B60"/>
    <w:rsid w:val="00A74CCE"/>
    <w:rsid w:val="00A754FC"/>
    <w:rsid w:val="00A757CD"/>
    <w:rsid w:val="00A842FA"/>
    <w:rsid w:val="00A84627"/>
    <w:rsid w:val="00A84F4B"/>
    <w:rsid w:val="00A9412F"/>
    <w:rsid w:val="00A95441"/>
    <w:rsid w:val="00AA5601"/>
    <w:rsid w:val="00AA7E58"/>
    <w:rsid w:val="00AB2535"/>
    <w:rsid w:val="00AB3262"/>
    <w:rsid w:val="00AD07EB"/>
    <w:rsid w:val="00AD3773"/>
    <w:rsid w:val="00AD3CCF"/>
    <w:rsid w:val="00AE3E63"/>
    <w:rsid w:val="00AE676D"/>
    <w:rsid w:val="00AF4089"/>
    <w:rsid w:val="00AF626A"/>
    <w:rsid w:val="00AF6FA4"/>
    <w:rsid w:val="00B00EBB"/>
    <w:rsid w:val="00B0320F"/>
    <w:rsid w:val="00B10CC7"/>
    <w:rsid w:val="00B1507C"/>
    <w:rsid w:val="00B15632"/>
    <w:rsid w:val="00B16B83"/>
    <w:rsid w:val="00B22AE5"/>
    <w:rsid w:val="00B25387"/>
    <w:rsid w:val="00B36B64"/>
    <w:rsid w:val="00B40AFB"/>
    <w:rsid w:val="00B442E2"/>
    <w:rsid w:val="00B4542E"/>
    <w:rsid w:val="00B46E0F"/>
    <w:rsid w:val="00B47A00"/>
    <w:rsid w:val="00B561B2"/>
    <w:rsid w:val="00B56AE4"/>
    <w:rsid w:val="00B57B95"/>
    <w:rsid w:val="00B60136"/>
    <w:rsid w:val="00B60896"/>
    <w:rsid w:val="00B61DB2"/>
    <w:rsid w:val="00B64DCB"/>
    <w:rsid w:val="00B6629C"/>
    <w:rsid w:val="00B750A7"/>
    <w:rsid w:val="00B80BE2"/>
    <w:rsid w:val="00B86F32"/>
    <w:rsid w:val="00B95D83"/>
    <w:rsid w:val="00BA018B"/>
    <w:rsid w:val="00BA1DD2"/>
    <w:rsid w:val="00BA2CB3"/>
    <w:rsid w:val="00BB01B0"/>
    <w:rsid w:val="00BB31D0"/>
    <w:rsid w:val="00BB5F15"/>
    <w:rsid w:val="00BB72E9"/>
    <w:rsid w:val="00BC09B4"/>
    <w:rsid w:val="00BC1E01"/>
    <w:rsid w:val="00BC58C8"/>
    <w:rsid w:val="00BD1520"/>
    <w:rsid w:val="00BD6BF3"/>
    <w:rsid w:val="00BE068A"/>
    <w:rsid w:val="00BE630C"/>
    <w:rsid w:val="00BE7C0D"/>
    <w:rsid w:val="00BF1AAC"/>
    <w:rsid w:val="00BF4468"/>
    <w:rsid w:val="00BF7393"/>
    <w:rsid w:val="00C00371"/>
    <w:rsid w:val="00C00E9B"/>
    <w:rsid w:val="00C01A66"/>
    <w:rsid w:val="00C01AEA"/>
    <w:rsid w:val="00C03ADE"/>
    <w:rsid w:val="00C05C5C"/>
    <w:rsid w:val="00C060DD"/>
    <w:rsid w:val="00C11708"/>
    <w:rsid w:val="00C1194D"/>
    <w:rsid w:val="00C11D5B"/>
    <w:rsid w:val="00C12168"/>
    <w:rsid w:val="00C13663"/>
    <w:rsid w:val="00C14100"/>
    <w:rsid w:val="00C17804"/>
    <w:rsid w:val="00C227D7"/>
    <w:rsid w:val="00C22C27"/>
    <w:rsid w:val="00C22EBD"/>
    <w:rsid w:val="00C35A61"/>
    <w:rsid w:val="00C3797F"/>
    <w:rsid w:val="00C40A3F"/>
    <w:rsid w:val="00C43299"/>
    <w:rsid w:val="00C452DE"/>
    <w:rsid w:val="00C4543D"/>
    <w:rsid w:val="00C47D43"/>
    <w:rsid w:val="00C520F3"/>
    <w:rsid w:val="00C5262E"/>
    <w:rsid w:val="00C60576"/>
    <w:rsid w:val="00C6109F"/>
    <w:rsid w:val="00C64247"/>
    <w:rsid w:val="00C66658"/>
    <w:rsid w:val="00C6774D"/>
    <w:rsid w:val="00C75F68"/>
    <w:rsid w:val="00C77145"/>
    <w:rsid w:val="00C80560"/>
    <w:rsid w:val="00C91B42"/>
    <w:rsid w:val="00C93289"/>
    <w:rsid w:val="00C946F0"/>
    <w:rsid w:val="00C979BA"/>
    <w:rsid w:val="00CA129E"/>
    <w:rsid w:val="00CA16E9"/>
    <w:rsid w:val="00CA2CF4"/>
    <w:rsid w:val="00CA52AA"/>
    <w:rsid w:val="00CA705E"/>
    <w:rsid w:val="00CA73B1"/>
    <w:rsid w:val="00CA7943"/>
    <w:rsid w:val="00CB2441"/>
    <w:rsid w:val="00CB5AF5"/>
    <w:rsid w:val="00CD22FA"/>
    <w:rsid w:val="00CD7AC1"/>
    <w:rsid w:val="00CE623F"/>
    <w:rsid w:val="00CF31B3"/>
    <w:rsid w:val="00CF4774"/>
    <w:rsid w:val="00CF66B2"/>
    <w:rsid w:val="00D02831"/>
    <w:rsid w:val="00D0414A"/>
    <w:rsid w:val="00D07E4E"/>
    <w:rsid w:val="00D13C1D"/>
    <w:rsid w:val="00D16753"/>
    <w:rsid w:val="00D2211E"/>
    <w:rsid w:val="00D2625C"/>
    <w:rsid w:val="00D3171D"/>
    <w:rsid w:val="00D37B96"/>
    <w:rsid w:val="00D456C8"/>
    <w:rsid w:val="00D4643B"/>
    <w:rsid w:val="00D468C8"/>
    <w:rsid w:val="00D505BE"/>
    <w:rsid w:val="00D508C9"/>
    <w:rsid w:val="00D5197F"/>
    <w:rsid w:val="00D561D0"/>
    <w:rsid w:val="00D56293"/>
    <w:rsid w:val="00D6060D"/>
    <w:rsid w:val="00D617AF"/>
    <w:rsid w:val="00D6597A"/>
    <w:rsid w:val="00D71595"/>
    <w:rsid w:val="00D73508"/>
    <w:rsid w:val="00D73C83"/>
    <w:rsid w:val="00D7745B"/>
    <w:rsid w:val="00D81F43"/>
    <w:rsid w:val="00D850E9"/>
    <w:rsid w:val="00D900DB"/>
    <w:rsid w:val="00D902A1"/>
    <w:rsid w:val="00D91CB0"/>
    <w:rsid w:val="00D932C2"/>
    <w:rsid w:val="00D95BA6"/>
    <w:rsid w:val="00D97A14"/>
    <w:rsid w:val="00DA0E7C"/>
    <w:rsid w:val="00DB0A0A"/>
    <w:rsid w:val="00DB134A"/>
    <w:rsid w:val="00DB31A5"/>
    <w:rsid w:val="00DB5484"/>
    <w:rsid w:val="00DB5B7C"/>
    <w:rsid w:val="00DC0617"/>
    <w:rsid w:val="00DC1C6F"/>
    <w:rsid w:val="00DC2061"/>
    <w:rsid w:val="00DC2260"/>
    <w:rsid w:val="00DD0961"/>
    <w:rsid w:val="00DD5024"/>
    <w:rsid w:val="00DD5D45"/>
    <w:rsid w:val="00DE4CE1"/>
    <w:rsid w:val="00DE572A"/>
    <w:rsid w:val="00DE5D57"/>
    <w:rsid w:val="00DF21BD"/>
    <w:rsid w:val="00DF46C8"/>
    <w:rsid w:val="00DF6A71"/>
    <w:rsid w:val="00DF708C"/>
    <w:rsid w:val="00DF76E4"/>
    <w:rsid w:val="00DF7ABE"/>
    <w:rsid w:val="00E01EF4"/>
    <w:rsid w:val="00E0238E"/>
    <w:rsid w:val="00E100DF"/>
    <w:rsid w:val="00E107B0"/>
    <w:rsid w:val="00E11C58"/>
    <w:rsid w:val="00E12131"/>
    <w:rsid w:val="00E136A8"/>
    <w:rsid w:val="00E140C4"/>
    <w:rsid w:val="00E16DE4"/>
    <w:rsid w:val="00E17F84"/>
    <w:rsid w:val="00E26B4E"/>
    <w:rsid w:val="00E3052B"/>
    <w:rsid w:val="00E34D85"/>
    <w:rsid w:val="00E41962"/>
    <w:rsid w:val="00E42140"/>
    <w:rsid w:val="00E42CCD"/>
    <w:rsid w:val="00E45186"/>
    <w:rsid w:val="00E471F3"/>
    <w:rsid w:val="00E50126"/>
    <w:rsid w:val="00E55B79"/>
    <w:rsid w:val="00E56FB5"/>
    <w:rsid w:val="00E6528A"/>
    <w:rsid w:val="00E7116C"/>
    <w:rsid w:val="00E72D95"/>
    <w:rsid w:val="00E77AC7"/>
    <w:rsid w:val="00E81BE1"/>
    <w:rsid w:val="00E85EDB"/>
    <w:rsid w:val="00E92560"/>
    <w:rsid w:val="00E94B91"/>
    <w:rsid w:val="00EA1074"/>
    <w:rsid w:val="00EA2048"/>
    <w:rsid w:val="00EA543C"/>
    <w:rsid w:val="00EA7DD2"/>
    <w:rsid w:val="00EB5EA8"/>
    <w:rsid w:val="00EB7581"/>
    <w:rsid w:val="00EC172C"/>
    <w:rsid w:val="00EC498D"/>
    <w:rsid w:val="00EC541F"/>
    <w:rsid w:val="00EC5D72"/>
    <w:rsid w:val="00EC6367"/>
    <w:rsid w:val="00EC7D4A"/>
    <w:rsid w:val="00EE0735"/>
    <w:rsid w:val="00EF5084"/>
    <w:rsid w:val="00EF69FF"/>
    <w:rsid w:val="00EF74C1"/>
    <w:rsid w:val="00F0494F"/>
    <w:rsid w:val="00F05776"/>
    <w:rsid w:val="00F06040"/>
    <w:rsid w:val="00F06066"/>
    <w:rsid w:val="00F0607A"/>
    <w:rsid w:val="00F065A7"/>
    <w:rsid w:val="00F06E12"/>
    <w:rsid w:val="00F07F7C"/>
    <w:rsid w:val="00F11149"/>
    <w:rsid w:val="00F11736"/>
    <w:rsid w:val="00F14CAB"/>
    <w:rsid w:val="00F16ABE"/>
    <w:rsid w:val="00F218DF"/>
    <w:rsid w:val="00F22699"/>
    <w:rsid w:val="00F264A2"/>
    <w:rsid w:val="00F32D76"/>
    <w:rsid w:val="00F420FF"/>
    <w:rsid w:val="00F4232E"/>
    <w:rsid w:val="00F46A26"/>
    <w:rsid w:val="00F52854"/>
    <w:rsid w:val="00F53049"/>
    <w:rsid w:val="00F545E7"/>
    <w:rsid w:val="00F561C7"/>
    <w:rsid w:val="00F62E01"/>
    <w:rsid w:val="00F63608"/>
    <w:rsid w:val="00F63630"/>
    <w:rsid w:val="00F71E89"/>
    <w:rsid w:val="00F73577"/>
    <w:rsid w:val="00F74BBE"/>
    <w:rsid w:val="00F76234"/>
    <w:rsid w:val="00F778DA"/>
    <w:rsid w:val="00F82F09"/>
    <w:rsid w:val="00F85CCB"/>
    <w:rsid w:val="00F91165"/>
    <w:rsid w:val="00F9306E"/>
    <w:rsid w:val="00F94334"/>
    <w:rsid w:val="00F965C6"/>
    <w:rsid w:val="00FA1213"/>
    <w:rsid w:val="00FA4BB7"/>
    <w:rsid w:val="00FB0850"/>
    <w:rsid w:val="00FB1610"/>
    <w:rsid w:val="00FB4B42"/>
    <w:rsid w:val="00FB591C"/>
    <w:rsid w:val="00FC2808"/>
    <w:rsid w:val="00FC3918"/>
    <w:rsid w:val="00FC4899"/>
    <w:rsid w:val="00FC51CD"/>
    <w:rsid w:val="00FD176D"/>
    <w:rsid w:val="00FD6A12"/>
    <w:rsid w:val="00FE3FD5"/>
    <w:rsid w:val="00FE410F"/>
    <w:rsid w:val="00FF1E91"/>
    <w:rsid w:val="00FF1F76"/>
    <w:rsid w:val="00FF2FF4"/>
    <w:rsid w:val="00FF5106"/>
    <w:rsid w:val="00FF6995"/>
    <w:rsid w:val="00FF6B1C"/>
    <w:rsid w:val="00FF6D1D"/>
    <w:rsid w:val="00FF7248"/>
    <w:rsid w:val="09B11304"/>
    <w:rsid w:val="1DC3785A"/>
    <w:rsid w:val="2AC05E82"/>
    <w:rsid w:val="3E6392B7"/>
    <w:rsid w:val="42E05E5C"/>
    <w:rsid w:val="5A9303A8"/>
    <w:rsid w:val="62180955"/>
    <w:rsid w:val="6A11E186"/>
    <w:rsid w:val="6F83B6A8"/>
    <w:rsid w:val="79E97F1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18C786"/>
  <w15:chartTrackingRefBased/>
  <w15:docId w15:val="{EBFB4F6A-2696-4198-93DC-C76FF6CE6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FBD"/>
  </w:style>
  <w:style w:type="paragraph" w:styleId="Heading1">
    <w:name w:val="heading 1"/>
    <w:basedOn w:val="Normal"/>
    <w:next w:val="Normal"/>
    <w:link w:val="Heading1Char"/>
    <w:uiPriority w:val="9"/>
    <w:qFormat/>
    <w:rsid w:val="003875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21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7A1"/>
    <w:pPr>
      <w:ind w:left="720"/>
      <w:contextualSpacing/>
    </w:pPr>
  </w:style>
  <w:style w:type="table" w:styleId="PlainTable1">
    <w:name w:val="Plain Table 1"/>
    <w:basedOn w:val="TableNormal"/>
    <w:uiPriority w:val="41"/>
    <w:rsid w:val="002E0DC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2E0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11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16C"/>
  </w:style>
  <w:style w:type="paragraph" w:styleId="Footer">
    <w:name w:val="footer"/>
    <w:basedOn w:val="Normal"/>
    <w:link w:val="FooterChar"/>
    <w:uiPriority w:val="99"/>
    <w:unhideWhenUsed/>
    <w:rsid w:val="00E711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16C"/>
  </w:style>
  <w:style w:type="paragraph" w:styleId="Revision">
    <w:name w:val="Revision"/>
    <w:hidden/>
    <w:uiPriority w:val="99"/>
    <w:semiHidden/>
    <w:rsid w:val="00526064"/>
    <w:pPr>
      <w:spacing w:after="0" w:line="240" w:lineRule="auto"/>
    </w:pPr>
  </w:style>
  <w:style w:type="character" w:styleId="CommentReference">
    <w:name w:val="annotation reference"/>
    <w:basedOn w:val="DefaultParagraphFont"/>
    <w:uiPriority w:val="99"/>
    <w:semiHidden/>
    <w:unhideWhenUsed/>
    <w:rsid w:val="00115F61"/>
    <w:rPr>
      <w:sz w:val="16"/>
      <w:szCs w:val="16"/>
    </w:rPr>
  </w:style>
  <w:style w:type="paragraph" w:styleId="CommentText">
    <w:name w:val="annotation text"/>
    <w:basedOn w:val="Normal"/>
    <w:link w:val="CommentTextChar"/>
    <w:uiPriority w:val="99"/>
    <w:unhideWhenUsed/>
    <w:rsid w:val="00115F61"/>
    <w:pPr>
      <w:spacing w:line="240" w:lineRule="auto"/>
    </w:pPr>
    <w:rPr>
      <w:sz w:val="20"/>
      <w:szCs w:val="20"/>
    </w:rPr>
  </w:style>
  <w:style w:type="character" w:customStyle="1" w:styleId="CommentTextChar">
    <w:name w:val="Comment Text Char"/>
    <w:basedOn w:val="DefaultParagraphFont"/>
    <w:link w:val="CommentText"/>
    <w:uiPriority w:val="99"/>
    <w:rsid w:val="00115F61"/>
    <w:rPr>
      <w:sz w:val="20"/>
      <w:szCs w:val="20"/>
    </w:rPr>
  </w:style>
  <w:style w:type="paragraph" w:styleId="CommentSubject">
    <w:name w:val="annotation subject"/>
    <w:basedOn w:val="CommentText"/>
    <w:next w:val="CommentText"/>
    <w:link w:val="CommentSubjectChar"/>
    <w:uiPriority w:val="99"/>
    <w:semiHidden/>
    <w:unhideWhenUsed/>
    <w:rsid w:val="00115F61"/>
    <w:rPr>
      <w:b/>
      <w:bCs/>
    </w:rPr>
  </w:style>
  <w:style w:type="character" w:customStyle="1" w:styleId="CommentSubjectChar">
    <w:name w:val="Comment Subject Char"/>
    <w:basedOn w:val="CommentTextChar"/>
    <w:link w:val="CommentSubject"/>
    <w:uiPriority w:val="99"/>
    <w:semiHidden/>
    <w:rsid w:val="00115F61"/>
    <w:rPr>
      <w:b/>
      <w:bCs/>
      <w:sz w:val="20"/>
      <w:szCs w:val="20"/>
    </w:rPr>
  </w:style>
  <w:style w:type="character" w:customStyle="1" w:styleId="Heading1Char">
    <w:name w:val="Heading 1 Char"/>
    <w:basedOn w:val="DefaultParagraphFont"/>
    <w:link w:val="Heading1"/>
    <w:uiPriority w:val="9"/>
    <w:rsid w:val="003875F5"/>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A2305D"/>
    <w:rPr>
      <w:color w:val="666666"/>
    </w:rPr>
  </w:style>
  <w:style w:type="paragraph" w:styleId="BodyText">
    <w:name w:val="Body Text"/>
    <w:aliases w:val="Body Text Char Char,Body Text II,Body text,Body text Char,Body text Char Char Char,Body text Char1 Char,Textkörper Char,Textkörper Char Char,Textkörper Char Char Char Char,Textkörper Char Char Char1,Textkörper Char1,Textkörper Char1 Char Char"/>
    <w:basedOn w:val="Normal"/>
    <w:link w:val="BodyTextChar"/>
    <w:qFormat/>
    <w:rsid w:val="00A61ACA"/>
    <w:pPr>
      <w:spacing w:before="240" w:after="0" w:line="240" w:lineRule="auto"/>
      <w:jc w:val="both"/>
    </w:pPr>
    <w:rPr>
      <w:rFonts w:ascii="Times New Roman" w:eastAsia="Times New Roman" w:hAnsi="Times New Roman" w:cs="Times New Roman"/>
      <w:sz w:val="24"/>
      <w:szCs w:val="20"/>
      <w:lang w:val="en-US"/>
    </w:rPr>
  </w:style>
  <w:style w:type="character" w:customStyle="1" w:styleId="BodyTextChar">
    <w:name w:val="Body Text Char"/>
    <w:aliases w:val="Body Text Char Char Char,Body Text II Char,Body text Char1,Body text Char Char,Body text Char Char Char Char,Body text Char1 Char Char,Textkörper Char Char1,Textkörper Char Char Char,Textkörper Char Char Char Char Char"/>
    <w:basedOn w:val="DefaultParagraphFont"/>
    <w:link w:val="BodyText"/>
    <w:rsid w:val="00A61ACA"/>
    <w:rPr>
      <w:rFonts w:ascii="Times New Roman" w:eastAsia="Times New Roman" w:hAnsi="Times New Roman" w:cs="Times New Roman"/>
      <w:sz w:val="24"/>
      <w:szCs w:val="20"/>
      <w:lang w:val="en-US"/>
    </w:rPr>
  </w:style>
  <w:style w:type="paragraph" w:styleId="Caption">
    <w:name w:val="caption"/>
    <w:aliases w:val="cp"/>
    <w:basedOn w:val="BodyText"/>
    <w:next w:val="BodyText"/>
    <w:link w:val="CaptionChar"/>
    <w:uiPriority w:val="35"/>
    <w:qFormat/>
    <w:rsid w:val="00A61ACA"/>
    <w:pPr>
      <w:keepNext/>
      <w:keepLines/>
      <w:tabs>
        <w:tab w:val="left" w:pos="2016"/>
      </w:tabs>
      <w:spacing w:after="240"/>
      <w:ind w:left="2016" w:hanging="2016"/>
    </w:pPr>
    <w:rPr>
      <w:b/>
    </w:rPr>
  </w:style>
  <w:style w:type="character" w:customStyle="1" w:styleId="CaptionChar">
    <w:name w:val="Caption Char"/>
    <w:aliases w:val="cp Char"/>
    <w:link w:val="Caption"/>
    <w:uiPriority w:val="35"/>
    <w:rsid w:val="00A61ACA"/>
    <w:rPr>
      <w:rFonts w:ascii="Times New Roman" w:eastAsia="Times New Roman" w:hAnsi="Times New Roman" w:cs="Times New Roman"/>
      <w:b/>
      <w:sz w:val="24"/>
      <w:szCs w:val="20"/>
      <w:lang w:val="en-US"/>
    </w:rPr>
  </w:style>
  <w:style w:type="table" w:styleId="TableGridLight">
    <w:name w:val="Grid Table Light"/>
    <w:basedOn w:val="TableNormal"/>
    <w:uiPriority w:val="40"/>
    <w:rsid w:val="006D2B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2Char">
    <w:name w:val="Heading 2 Char"/>
    <w:basedOn w:val="DefaultParagraphFont"/>
    <w:link w:val="Heading2"/>
    <w:uiPriority w:val="9"/>
    <w:rsid w:val="0002213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B7B06"/>
    <w:rPr>
      <w:color w:val="0000FF"/>
      <w:u w:val="single"/>
    </w:rPr>
  </w:style>
  <w:style w:type="paragraph" w:styleId="Bibliography">
    <w:name w:val="Bibliography"/>
    <w:basedOn w:val="Normal"/>
    <w:next w:val="Normal"/>
    <w:uiPriority w:val="37"/>
    <w:unhideWhenUsed/>
    <w:rsid w:val="00A84F4B"/>
    <w:pPr>
      <w:tabs>
        <w:tab w:val="left" w:pos="264"/>
      </w:tabs>
      <w:spacing w:after="240" w:line="240" w:lineRule="auto"/>
      <w:ind w:left="264" w:hanging="264"/>
    </w:pPr>
  </w:style>
  <w:style w:type="table" w:styleId="ListTable6Colorful">
    <w:name w:val="List Table 6 Colorful"/>
    <w:basedOn w:val="TableNormal"/>
    <w:uiPriority w:val="51"/>
    <w:rsid w:val="0007028F"/>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07028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f01">
    <w:name w:val="cf01"/>
    <w:basedOn w:val="DefaultParagraphFont"/>
    <w:rsid w:val="00545AA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49790">
      <w:bodyDiv w:val="1"/>
      <w:marLeft w:val="0"/>
      <w:marRight w:val="0"/>
      <w:marTop w:val="0"/>
      <w:marBottom w:val="0"/>
      <w:divBdr>
        <w:top w:val="none" w:sz="0" w:space="0" w:color="auto"/>
        <w:left w:val="none" w:sz="0" w:space="0" w:color="auto"/>
        <w:bottom w:val="none" w:sz="0" w:space="0" w:color="auto"/>
        <w:right w:val="none" w:sz="0" w:space="0" w:color="auto"/>
      </w:divBdr>
      <w:divsChild>
        <w:div w:id="854074564">
          <w:marLeft w:val="0"/>
          <w:marRight w:val="0"/>
          <w:marTop w:val="0"/>
          <w:marBottom w:val="0"/>
          <w:divBdr>
            <w:top w:val="none" w:sz="0" w:space="0" w:color="auto"/>
            <w:left w:val="none" w:sz="0" w:space="0" w:color="auto"/>
            <w:bottom w:val="none" w:sz="0" w:space="0" w:color="auto"/>
            <w:right w:val="none" w:sz="0" w:space="0" w:color="auto"/>
          </w:divBdr>
          <w:divsChild>
            <w:div w:id="147109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45745">
      <w:bodyDiv w:val="1"/>
      <w:marLeft w:val="0"/>
      <w:marRight w:val="0"/>
      <w:marTop w:val="0"/>
      <w:marBottom w:val="0"/>
      <w:divBdr>
        <w:top w:val="none" w:sz="0" w:space="0" w:color="auto"/>
        <w:left w:val="none" w:sz="0" w:space="0" w:color="auto"/>
        <w:bottom w:val="none" w:sz="0" w:space="0" w:color="auto"/>
        <w:right w:val="none" w:sz="0" w:space="0" w:color="auto"/>
      </w:divBdr>
    </w:div>
    <w:div w:id="148526663">
      <w:bodyDiv w:val="1"/>
      <w:marLeft w:val="0"/>
      <w:marRight w:val="0"/>
      <w:marTop w:val="0"/>
      <w:marBottom w:val="0"/>
      <w:divBdr>
        <w:top w:val="none" w:sz="0" w:space="0" w:color="auto"/>
        <w:left w:val="none" w:sz="0" w:space="0" w:color="auto"/>
        <w:bottom w:val="none" w:sz="0" w:space="0" w:color="auto"/>
        <w:right w:val="none" w:sz="0" w:space="0" w:color="auto"/>
      </w:divBdr>
      <w:divsChild>
        <w:div w:id="1000540688">
          <w:marLeft w:val="0"/>
          <w:marRight w:val="0"/>
          <w:marTop w:val="0"/>
          <w:marBottom w:val="0"/>
          <w:divBdr>
            <w:top w:val="none" w:sz="0" w:space="0" w:color="auto"/>
            <w:left w:val="none" w:sz="0" w:space="0" w:color="auto"/>
            <w:bottom w:val="none" w:sz="0" w:space="0" w:color="auto"/>
            <w:right w:val="none" w:sz="0" w:space="0" w:color="auto"/>
          </w:divBdr>
          <w:divsChild>
            <w:div w:id="92191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76323">
      <w:bodyDiv w:val="1"/>
      <w:marLeft w:val="0"/>
      <w:marRight w:val="0"/>
      <w:marTop w:val="0"/>
      <w:marBottom w:val="0"/>
      <w:divBdr>
        <w:top w:val="none" w:sz="0" w:space="0" w:color="auto"/>
        <w:left w:val="none" w:sz="0" w:space="0" w:color="auto"/>
        <w:bottom w:val="none" w:sz="0" w:space="0" w:color="auto"/>
        <w:right w:val="none" w:sz="0" w:space="0" w:color="auto"/>
      </w:divBdr>
      <w:divsChild>
        <w:div w:id="977733716">
          <w:marLeft w:val="0"/>
          <w:marRight w:val="0"/>
          <w:marTop w:val="0"/>
          <w:marBottom w:val="0"/>
          <w:divBdr>
            <w:top w:val="none" w:sz="0" w:space="0" w:color="auto"/>
            <w:left w:val="none" w:sz="0" w:space="0" w:color="auto"/>
            <w:bottom w:val="none" w:sz="0" w:space="0" w:color="auto"/>
            <w:right w:val="none" w:sz="0" w:space="0" w:color="auto"/>
          </w:divBdr>
          <w:divsChild>
            <w:div w:id="90479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217167">
      <w:bodyDiv w:val="1"/>
      <w:marLeft w:val="0"/>
      <w:marRight w:val="0"/>
      <w:marTop w:val="0"/>
      <w:marBottom w:val="0"/>
      <w:divBdr>
        <w:top w:val="none" w:sz="0" w:space="0" w:color="auto"/>
        <w:left w:val="none" w:sz="0" w:space="0" w:color="auto"/>
        <w:bottom w:val="none" w:sz="0" w:space="0" w:color="auto"/>
        <w:right w:val="none" w:sz="0" w:space="0" w:color="auto"/>
      </w:divBdr>
      <w:divsChild>
        <w:div w:id="273565241">
          <w:marLeft w:val="446"/>
          <w:marRight w:val="0"/>
          <w:marTop w:val="200"/>
          <w:marBottom w:val="0"/>
          <w:divBdr>
            <w:top w:val="none" w:sz="0" w:space="0" w:color="auto"/>
            <w:left w:val="none" w:sz="0" w:space="0" w:color="auto"/>
            <w:bottom w:val="none" w:sz="0" w:space="0" w:color="auto"/>
            <w:right w:val="none" w:sz="0" w:space="0" w:color="auto"/>
          </w:divBdr>
        </w:div>
        <w:div w:id="1391030653">
          <w:marLeft w:val="446"/>
          <w:marRight w:val="0"/>
          <w:marTop w:val="200"/>
          <w:marBottom w:val="0"/>
          <w:divBdr>
            <w:top w:val="none" w:sz="0" w:space="0" w:color="auto"/>
            <w:left w:val="none" w:sz="0" w:space="0" w:color="auto"/>
            <w:bottom w:val="none" w:sz="0" w:space="0" w:color="auto"/>
            <w:right w:val="none" w:sz="0" w:space="0" w:color="auto"/>
          </w:divBdr>
        </w:div>
      </w:divsChild>
    </w:div>
    <w:div w:id="338123458">
      <w:bodyDiv w:val="1"/>
      <w:marLeft w:val="0"/>
      <w:marRight w:val="0"/>
      <w:marTop w:val="0"/>
      <w:marBottom w:val="0"/>
      <w:divBdr>
        <w:top w:val="none" w:sz="0" w:space="0" w:color="auto"/>
        <w:left w:val="none" w:sz="0" w:space="0" w:color="auto"/>
        <w:bottom w:val="none" w:sz="0" w:space="0" w:color="auto"/>
        <w:right w:val="none" w:sz="0" w:space="0" w:color="auto"/>
      </w:divBdr>
      <w:divsChild>
        <w:div w:id="1751387641">
          <w:marLeft w:val="0"/>
          <w:marRight w:val="0"/>
          <w:marTop w:val="0"/>
          <w:marBottom w:val="0"/>
          <w:divBdr>
            <w:top w:val="none" w:sz="0" w:space="0" w:color="auto"/>
            <w:left w:val="none" w:sz="0" w:space="0" w:color="auto"/>
            <w:bottom w:val="none" w:sz="0" w:space="0" w:color="auto"/>
            <w:right w:val="none" w:sz="0" w:space="0" w:color="auto"/>
          </w:divBdr>
          <w:divsChild>
            <w:div w:id="91482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1171">
      <w:bodyDiv w:val="1"/>
      <w:marLeft w:val="0"/>
      <w:marRight w:val="0"/>
      <w:marTop w:val="0"/>
      <w:marBottom w:val="0"/>
      <w:divBdr>
        <w:top w:val="none" w:sz="0" w:space="0" w:color="auto"/>
        <w:left w:val="none" w:sz="0" w:space="0" w:color="auto"/>
        <w:bottom w:val="none" w:sz="0" w:space="0" w:color="auto"/>
        <w:right w:val="none" w:sz="0" w:space="0" w:color="auto"/>
      </w:divBdr>
      <w:divsChild>
        <w:div w:id="1643078984">
          <w:marLeft w:val="0"/>
          <w:marRight w:val="0"/>
          <w:marTop w:val="0"/>
          <w:marBottom w:val="0"/>
          <w:divBdr>
            <w:top w:val="none" w:sz="0" w:space="0" w:color="auto"/>
            <w:left w:val="none" w:sz="0" w:space="0" w:color="auto"/>
            <w:bottom w:val="none" w:sz="0" w:space="0" w:color="auto"/>
            <w:right w:val="none" w:sz="0" w:space="0" w:color="auto"/>
          </w:divBdr>
          <w:divsChild>
            <w:div w:id="127559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200475">
      <w:bodyDiv w:val="1"/>
      <w:marLeft w:val="0"/>
      <w:marRight w:val="0"/>
      <w:marTop w:val="0"/>
      <w:marBottom w:val="0"/>
      <w:divBdr>
        <w:top w:val="none" w:sz="0" w:space="0" w:color="auto"/>
        <w:left w:val="none" w:sz="0" w:space="0" w:color="auto"/>
        <w:bottom w:val="none" w:sz="0" w:space="0" w:color="auto"/>
        <w:right w:val="none" w:sz="0" w:space="0" w:color="auto"/>
      </w:divBdr>
    </w:div>
    <w:div w:id="645816577">
      <w:bodyDiv w:val="1"/>
      <w:marLeft w:val="0"/>
      <w:marRight w:val="0"/>
      <w:marTop w:val="0"/>
      <w:marBottom w:val="0"/>
      <w:divBdr>
        <w:top w:val="none" w:sz="0" w:space="0" w:color="auto"/>
        <w:left w:val="none" w:sz="0" w:space="0" w:color="auto"/>
        <w:bottom w:val="none" w:sz="0" w:space="0" w:color="auto"/>
        <w:right w:val="none" w:sz="0" w:space="0" w:color="auto"/>
      </w:divBdr>
    </w:div>
    <w:div w:id="708994860">
      <w:bodyDiv w:val="1"/>
      <w:marLeft w:val="0"/>
      <w:marRight w:val="0"/>
      <w:marTop w:val="0"/>
      <w:marBottom w:val="0"/>
      <w:divBdr>
        <w:top w:val="none" w:sz="0" w:space="0" w:color="auto"/>
        <w:left w:val="none" w:sz="0" w:space="0" w:color="auto"/>
        <w:bottom w:val="none" w:sz="0" w:space="0" w:color="auto"/>
        <w:right w:val="none" w:sz="0" w:space="0" w:color="auto"/>
      </w:divBdr>
      <w:divsChild>
        <w:div w:id="1549294559">
          <w:marLeft w:val="0"/>
          <w:marRight w:val="0"/>
          <w:marTop w:val="0"/>
          <w:marBottom w:val="0"/>
          <w:divBdr>
            <w:top w:val="none" w:sz="0" w:space="0" w:color="auto"/>
            <w:left w:val="none" w:sz="0" w:space="0" w:color="auto"/>
            <w:bottom w:val="none" w:sz="0" w:space="0" w:color="auto"/>
            <w:right w:val="none" w:sz="0" w:space="0" w:color="auto"/>
          </w:divBdr>
          <w:divsChild>
            <w:div w:id="150177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505163">
      <w:bodyDiv w:val="1"/>
      <w:marLeft w:val="0"/>
      <w:marRight w:val="0"/>
      <w:marTop w:val="0"/>
      <w:marBottom w:val="0"/>
      <w:divBdr>
        <w:top w:val="none" w:sz="0" w:space="0" w:color="auto"/>
        <w:left w:val="none" w:sz="0" w:space="0" w:color="auto"/>
        <w:bottom w:val="none" w:sz="0" w:space="0" w:color="auto"/>
        <w:right w:val="none" w:sz="0" w:space="0" w:color="auto"/>
      </w:divBdr>
      <w:divsChild>
        <w:div w:id="2039116916">
          <w:marLeft w:val="0"/>
          <w:marRight w:val="0"/>
          <w:marTop w:val="0"/>
          <w:marBottom w:val="0"/>
          <w:divBdr>
            <w:top w:val="none" w:sz="0" w:space="0" w:color="auto"/>
            <w:left w:val="none" w:sz="0" w:space="0" w:color="auto"/>
            <w:bottom w:val="none" w:sz="0" w:space="0" w:color="auto"/>
            <w:right w:val="none" w:sz="0" w:space="0" w:color="auto"/>
          </w:divBdr>
          <w:divsChild>
            <w:div w:id="210102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350643">
      <w:bodyDiv w:val="1"/>
      <w:marLeft w:val="0"/>
      <w:marRight w:val="0"/>
      <w:marTop w:val="0"/>
      <w:marBottom w:val="0"/>
      <w:divBdr>
        <w:top w:val="none" w:sz="0" w:space="0" w:color="auto"/>
        <w:left w:val="none" w:sz="0" w:space="0" w:color="auto"/>
        <w:bottom w:val="none" w:sz="0" w:space="0" w:color="auto"/>
        <w:right w:val="none" w:sz="0" w:space="0" w:color="auto"/>
      </w:divBdr>
    </w:div>
    <w:div w:id="836992997">
      <w:bodyDiv w:val="1"/>
      <w:marLeft w:val="0"/>
      <w:marRight w:val="0"/>
      <w:marTop w:val="0"/>
      <w:marBottom w:val="0"/>
      <w:divBdr>
        <w:top w:val="none" w:sz="0" w:space="0" w:color="auto"/>
        <w:left w:val="none" w:sz="0" w:space="0" w:color="auto"/>
        <w:bottom w:val="none" w:sz="0" w:space="0" w:color="auto"/>
        <w:right w:val="none" w:sz="0" w:space="0" w:color="auto"/>
      </w:divBdr>
    </w:div>
    <w:div w:id="852452614">
      <w:bodyDiv w:val="1"/>
      <w:marLeft w:val="0"/>
      <w:marRight w:val="0"/>
      <w:marTop w:val="0"/>
      <w:marBottom w:val="0"/>
      <w:divBdr>
        <w:top w:val="none" w:sz="0" w:space="0" w:color="auto"/>
        <w:left w:val="none" w:sz="0" w:space="0" w:color="auto"/>
        <w:bottom w:val="none" w:sz="0" w:space="0" w:color="auto"/>
        <w:right w:val="none" w:sz="0" w:space="0" w:color="auto"/>
      </w:divBdr>
    </w:div>
    <w:div w:id="1021391596">
      <w:bodyDiv w:val="1"/>
      <w:marLeft w:val="0"/>
      <w:marRight w:val="0"/>
      <w:marTop w:val="0"/>
      <w:marBottom w:val="0"/>
      <w:divBdr>
        <w:top w:val="none" w:sz="0" w:space="0" w:color="auto"/>
        <w:left w:val="none" w:sz="0" w:space="0" w:color="auto"/>
        <w:bottom w:val="none" w:sz="0" w:space="0" w:color="auto"/>
        <w:right w:val="none" w:sz="0" w:space="0" w:color="auto"/>
      </w:divBdr>
      <w:divsChild>
        <w:div w:id="1368678535">
          <w:marLeft w:val="0"/>
          <w:marRight w:val="0"/>
          <w:marTop w:val="0"/>
          <w:marBottom w:val="0"/>
          <w:divBdr>
            <w:top w:val="none" w:sz="0" w:space="0" w:color="auto"/>
            <w:left w:val="none" w:sz="0" w:space="0" w:color="auto"/>
            <w:bottom w:val="none" w:sz="0" w:space="0" w:color="auto"/>
            <w:right w:val="none" w:sz="0" w:space="0" w:color="auto"/>
          </w:divBdr>
          <w:divsChild>
            <w:div w:id="89169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516875">
      <w:bodyDiv w:val="1"/>
      <w:marLeft w:val="0"/>
      <w:marRight w:val="0"/>
      <w:marTop w:val="0"/>
      <w:marBottom w:val="0"/>
      <w:divBdr>
        <w:top w:val="none" w:sz="0" w:space="0" w:color="auto"/>
        <w:left w:val="none" w:sz="0" w:space="0" w:color="auto"/>
        <w:bottom w:val="none" w:sz="0" w:space="0" w:color="auto"/>
        <w:right w:val="none" w:sz="0" w:space="0" w:color="auto"/>
      </w:divBdr>
    </w:div>
    <w:div w:id="1154759882">
      <w:bodyDiv w:val="1"/>
      <w:marLeft w:val="0"/>
      <w:marRight w:val="0"/>
      <w:marTop w:val="0"/>
      <w:marBottom w:val="0"/>
      <w:divBdr>
        <w:top w:val="none" w:sz="0" w:space="0" w:color="auto"/>
        <w:left w:val="none" w:sz="0" w:space="0" w:color="auto"/>
        <w:bottom w:val="none" w:sz="0" w:space="0" w:color="auto"/>
        <w:right w:val="none" w:sz="0" w:space="0" w:color="auto"/>
      </w:divBdr>
      <w:divsChild>
        <w:div w:id="360596994">
          <w:marLeft w:val="0"/>
          <w:marRight w:val="0"/>
          <w:marTop w:val="0"/>
          <w:marBottom w:val="0"/>
          <w:divBdr>
            <w:top w:val="none" w:sz="0" w:space="0" w:color="auto"/>
            <w:left w:val="none" w:sz="0" w:space="0" w:color="auto"/>
            <w:bottom w:val="none" w:sz="0" w:space="0" w:color="auto"/>
            <w:right w:val="none" w:sz="0" w:space="0" w:color="auto"/>
          </w:divBdr>
          <w:divsChild>
            <w:div w:id="33334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586595">
      <w:bodyDiv w:val="1"/>
      <w:marLeft w:val="0"/>
      <w:marRight w:val="0"/>
      <w:marTop w:val="0"/>
      <w:marBottom w:val="0"/>
      <w:divBdr>
        <w:top w:val="none" w:sz="0" w:space="0" w:color="auto"/>
        <w:left w:val="none" w:sz="0" w:space="0" w:color="auto"/>
        <w:bottom w:val="none" w:sz="0" w:space="0" w:color="auto"/>
        <w:right w:val="none" w:sz="0" w:space="0" w:color="auto"/>
      </w:divBdr>
      <w:divsChild>
        <w:div w:id="1560095859">
          <w:marLeft w:val="0"/>
          <w:marRight w:val="0"/>
          <w:marTop w:val="0"/>
          <w:marBottom w:val="0"/>
          <w:divBdr>
            <w:top w:val="none" w:sz="0" w:space="0" w:color="auto"/>
            <w:left w:val="none" w:sz="0" w:space="0" w:color="auto"/>
            <w:bottom w:val="none" w:sz="0" w:space="0" w:color="auto"/>
            <w:right w:val="none" w:sz="0" w:space="0" w:color="auto"/>
          </w:divBdr>
          <w:divsChild>
            <w:div w:id="119349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192934">
      <w:bodyDiv w:val="1"/>
      <w:marLeft w:val="0"/>
      <w:marRight w:val="0"/>
      <w:marTop w:val="0"/>
      <w:marBottom w:val="0"/>
      <w:divBdr>
        <w:top w:val="none" w:sz="0" w:space="0" w:color="auto"/>
        <w:left w:val="none" w:sz="0" w:space="0" w:color="auto"/>
        <w:bottom w:val="none" w:sz="0" w:space="0" w:color="auto"/>
        <w:right w:val="none" w:sz="0" w:space="0" w:color="auto"/>
      </w:divBdr>
      <w:divsChild>
        <w:div w:id="1954315038">
          <w:marLeft w:val="0"/>
          <w:marRight w:val="0"/>
          <w:marTop w:val="0"/>
          <w:marBottom w:val="0"/>
          <w:divBdr>
            <w:top w:val="none" w:sz="0" w:space="0" w:color="auto"/>
            <w:left w:val="none" w:sz="0" w:space="0" w:color="auto"/>
            <w:bottom w:val="none" w:sz="0" w:space="0" w:color="auto"/>
            <w:right w:val="none" w:sz="0" w:space="0" w:color="auto"/>
          </w:divBdr>
          <w:divsChild>
            <w:div w:id="33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022141">
      <w:bodyDiv w:val="1"/>
      <w:marLeft w:val="0"/>
      <w:marRight w:val="0"/>
      <w:marTop w:val="0"/>
      <w:marBottom w:val="0"/>
      <w:divBdr>
        <w:top w:val="none" w:sz="0" w:space="0" w:color="auto"/>
        <w:left w:val="none" w:sz="0" w:space="0" w:color="auto"/>
        <w:bottom w:val="none" w:sz="0" w:space="0" w:color="auto"/>
        <w:right w:val="none" w:sz="0" w:space="0" w:color="auto"/>
      </w:divBdr>
    </w:div>
    <w:div w:id="1922909364">
      <w:bodyDiv w:val="1"/>
      <w:marLeft w:val="0"/>
      <w:marRight w:val="0"/>
      <w:marTop w:val="0"/>
      <w:marBottom w:val="0"/>
      <w:divBdr>
        <w:top w:val="none" w:sz="0" w:space="0" w:color="auto"/>
        <w:left w:val="none" w:sz="0" w:space="0" w:color="auto"/>
        <w:bottom w:val="none" w:sz="0" w:space="0" w:color="auto"/>
        <w:right w:val="none" w:sz="0" w:space="0" w:color="auto"/>
      </w:divBdr>
    </w:div>
    <w:div w:id="1933203851">
      <w:bodyDiv w:val="1"/>
      <w:marLeft w:val="0"/>
      <w:marRight w:val="0"/>
      <w:marTop w:val="0"/>
      <w:marBottom w:val="0"/>
      <w:divBdr>
        <w:top w:val="none" w:sz="0" w:space="0" w:color="auto"/>
        <w:left w:val="none" w:sz="0" w:space="0" w:color="auto"/>
        <w:bottom w:val="none" w:sz="0" w:space="0" w:color="auto"/>
        <w:right w:val="none" w:sz="0" w:space="0" w:color="auto"/>
      </w:divBdr>
    </w:div>
    <w:div w:id="1987779530">
      <w:bodyDiv w:val="1"/>
      <w:marLeft w:val="0"/>
      <w:marRight w:val="0"/>
      <w:marTop w:val="0"/>
      <w:marBottom w:val="0"/>
      <w:divBdr>
        <w:top w:val="none" w:sz="0" w:space="0" w:color="auto"/>
        <w:left w:val="none" w:sz="0" w:space="0" w:color="auto"/>
        <w:bottom w:val="none" w:sz="0" w:space="0" w:color="auto"/>
        <w:right w:val="none" w:sz="0" w:space="0" w:color="auto"/>
      </w:divBdr>
    </w:div>
    <w:div w:id="2016419581">
      <w:bodyDiv w:val="1"/>
      <w:marLeft w:val="0"/>
      <w:marRight w:val="0"/>
      <w:marTop w:val="0"/>
      <w:marBottom w:val="0"/>
      <w:divBdr>
        <w:top w:val="none" w:sz="0" w:space="0" w:color="auto"/>
        <w:left w:val="none" w:sz="0" w:space="0" w:color="auto"/>
        <w:bottom w:val="none" w:sz="0" w:space="0" w:color="auto"/>
        <w:right w:val="none" w:sz="0" w:space="0" w:color="auto"/>
      </w:divBdr>
      <w:divsChild>
        <w:div w:id="125971642">
          <w:marLeft w:val="0"/>
          <w:marRight w:val="0"/>
          <w:marTop w:val="0"/>
          <w:marBottom w:val="0"/>
          <w:divBdr>
            <w:top w:val="none" w:sz="0" w:space="0" w:color="auto"/>
            <w:left w:val="none" w:sz="0" w:space="0" w:color="auto"/>
            <w:bottom w:val="none" w:sz="0" w:space="0" w:color="auto"/>
            <w:right w:val="none" w:sz="0" w:space="0" w:color="auto"/>
          </w:divBdr>
          <w:divsChild>
            <w:div w:id="70368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261817">
      <w:bodyDiv w:val="1"/>
      <w:marLeft w:val="0"/>
      <w:marRight w:val="0"/>
      <w:marTop w:val="0"/>
      <w:marBottom w:val="0"/>
      <w:divBdr>
        <w:top w:val="none" w:sz="0" w:space="0" w:color="auto"/>
        <w:left w:val="none" w:sz="0" w:space="0" w:color="auto"/>
        <w:bottom w:val="none" w:sz="0" w:space="0" w:color="auto"/>
        <w:right w:val="none" w:sz="0" w:space="0" w:color="auto"/>
      </w:divBdr>
      <w:divsChild>
        <w:div w:id="1703821623">
          <w:marLeft w:val="0"/>
          <w:marRight w:val="0"/>
          <w:marTop w:val="0"/>
          <w:marBottom w:val="0"/>
          <w:divBdr>
            <w:top w:val="none" w:sz="0" w:space="0" w:color="auto"/>
            <w:left w:val="none" w:sz="0" w:space="0" w:color="auto"/>
            <w:bottom w:val="none" w:sz="0" w:space="0" w:color="auto"/>
            <w:right w:val="none" w:sz="0" w:space="0" w:color="auto"/>
          </w:divBdr>
          <w:divsChild>
            <w:div w:id="158541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6.sv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hyperlink" Target="https://www.accessdata.fda.gov/drugsatfda_docs/nda/2016/209115Orig1s000MultiDisciplineR.pdf"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svg"/><Relationship Id="rId20" Type="http://schemas.openxmlformats.org/officeDocument/2006/relationships/image" Target="media/image8.sv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ccessdata.fda.gov/drugsatfda_docs/nda/2016/209115Orig1s000TOC.cfm" TargetMode="External"/><Relationship Id="rId24" Type="http://schemas.openxmlformats.org/officeDocument/2006/relationships/image" Target="media/image12.sv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svg"/><Relationship Id="rId22" Type="http://schemas.openxmlformats.org/officeDocument/2006/relationships/image" Target="media/image10.svg"/><Relationship Id="rId27" Type="http://schemas.openxmlformats.org/officeDocument/2006/relationships/image" Target="media/image15.sv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4bd3b2f-ab7b-4387-9a8e-87ee270f3704">
      <Terms xmlns="http://schemas.microsoft.com/office/infopath/2007/PartnerControls"/>
    </lcf76f155ced4ddcb4097134ff3c332f>
    <TaxCatchAll xmlns="622abf69-601f-4459-a63f-99daed29c47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50495EFCDFACF49A920C984B9A7303A" ma:contentTypeVersion="11" ma:contentTypeDescription="Create a new document." ma:contentTypeScope="" ma:versionID="61af9832ff584700657e902eff321f0f">
  <xsd:schema xmlns:xsd="http://www.w3.org/2001/XMLSchema" xmlns:xs="http://www.w3.org/2001/XMLSchema" xmlns:p="http://schemas.microsoft.com/office/2006/metadata/properties" xmlns:ns2="44bd3b2f-ab7b-4387-9a8e-87ee270f3704" xmlns:ns3="622abf69-601f-4459-a63f-99daed29c47d" targetNamespace="http://schemas.microsoft.com/office/2006/metadata/properties" ma:root="true" ma:fieldsID="559358d7e6679d791155c4e2419b8a7f" ns2:_="" ns3:_="">
    <xsd:import namespace="44bd3b2f-ab7b-4387-9a8e-87ee270f3704"/>
    <xsd:import namespace="622abf69-601f-4459-a63f-99daed29c4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bd3b2f-ab7b-4387-9a8e-87ee270f37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e5619bd-761b-4af9-81bc-6e3c9018450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2abf69-601f-4459-a63f-99daed29c47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e593dab-0a0a-4808-a34b-9197757dfbca}" ma:internalName="TaxCatchAll" ma:showField="CatchAllData" ma:web="622abf69-601f-4459-a63f-99daed29c4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F9F964-02DE-4BEC-9CDB-8022A3208C9E}">
  <ds:schemaRefs>
    <ds:schemaRef ds:uri="http://schemas.openxmlformats.org/officeDocument/2006/bibliography"/>
  </ds:schemaRefs>
</ds:datastoreItem>
</file>

<file path=customXml/itemProps2.xml><?xml version="1.0" encoding="utf-8"?>
<ds:datastoreItem xmlns:ds="http://schemas.openxmlformats.org/officeDocument/2006/customXml" ds:itemID="{AFD8E20F-F354-4DDF-8071-ADE7506A72BD}">
  <ds:schemaRefs>
    <ds:schemaRef ds:uri="http://schemas.microsoft.com/office/2006/metadata/properties"/>
    <ds:schemaRef ds:uri="http://schemas.microsoft.com/office/infopath/2007/PartnerControls"/>
    <ds:schemaRef ds:uri="44bd3b2f-ab7b-4387-9a8e-87ee270f3704"/>
    <ds:schemaRef ds:uri="622abf69-601f-4459-a63f-99daed29c47d"/>
  </ds:schemaRefs>
</ds:datastoreItem>
</file>

<file path=customXml/itemProps3.xml><?xml version="1.0" encoding="utf-8"?>
<ds:datastoreItem xmlns:ds="http://schemas.openxmlformats.org/officeDocument/2006/customXml" ds:itemID="{8723070E-CD44-4505-8B6D-66CAEFE50DEC}">
  <ds:schemaRefs>
    <ds:schemaRef ds:uri="http://schemas.microsoft.com/sharepoint/v3/contenttype/forms"/>
  </ds:schemaRefs>
</ds:datastoreItem>
</file>

<file path=customXml/itemProps4.xml><?xml version="1.0" encoding="utf-8"?>
<ds:datastoreItem xmlns:ds="http://schemas.openxmlformats.org/officeDocument/2006/customXml" ds:itemID="{F8ACA9FB-E002-47BF-9893-5792217C49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bd3b2f-ab7b-4387-9a8e-87ee270f3704"/>
    <ds:schemaRef ds:uri="622abf69-601f-4459-a63f-99daed29c4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26</Pages>
  <Words>10981</Words>
  <Characters>61608</Characters>
  <Application>Microsoft Office Word</Application>
  <DocSecurity>0</DocSecurity>
  <Lines>1162</Lines>
  <Paragraphs>276</Paragraphs>
  <ScaleCrop>false</ScaleCrop>
  <Company/>
  <LinksUpToDate>false</LinksUpToDate>
  <CharactersWithSpaces>72313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Dupuy</dc:creator>
  <cp:keywords/>
  <dc:description/>
  <cp:lastModifiedBy>Christophe Chassagnole</cp:lastModifiedBy>
  <cp:revision>535</cp:revision>
  <dcterms:created xsi:type="dcterms:W3CDTF">2022-12-21T23:42:00Z</dcterms:created>
  <dcterms:modified xsi:type="dcterms:W3CDTF">2024-12-04T14:31:00Z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id="3YYPdx1w"/&gt;&lt;style id="http://www.zotero.org/styles/vancouver" locale="en-GB" hasBibliography="1" bibliographyStyleHasBeenSet="1"/&gt;&lt;prefs&gt;&lt;pref name="fieldType" value="Field"/&gt;&lt;pref name="automati</vt:lpwstr>
  </property>
  <property fmtid="{D5CDD505-2E9C-101B-9397-08002B2CF9AE}" pid="3" name="ZOTERO_PREF_2">
    <vt:lpwstr>cJournalAbbreviations" value="true"/&gt;&lt;/prefs&gt;&lt;/data&gt;</vt:lpwstr>
  </property>
  <property fmtid="{D5CDD505-2E9C-101B-9397-08002B2CF9AE}" pid="4" name="ContentTypeId">
    <vt:lpwstr>0x010100F50495EFCDFACF49A920C984B9A7303A</vt:lpwstr>
  </property>
  <property fmtid="{D5CDD505-2E9C-101B-9397-08002B2CF9AE}" pid="5" name="MediaServiceImageTags">
    <vt:lpwstr/>
  </property>
  <property fmtid="{D5CDD505-2E9C-101B-9397-08002B2CF9AE}" pid="6" name="GrammarlyDocumentId">
    <vt:lpwstr>6c9cec39564844f5e813fa78d8581aed7f86f5c989decaa251432fd78ac9b421</vt:lpwstr>
  </property>
</Properties>
</file>