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569" w:rsidRPr="00632569" w:rsidRDefault="00632569" w:rsidP="00632569">
      <w:pPr>
        <w:pStyle w:val="Text"/>
        <w:spacing w:before="0" w:afterLines="160" w:after="384"/>
        <w:rPr>
          <w:b/>
          <w:bCs/>
          <w:sz w:val="28"/>
          <w:szCs w:val="28"/>
        </w:rPr>
      </w:pPr>
      <w:r w:rsidRPr="00632569">
        <w:rPr>
          <w:b/>
          <w:bCs/>
          <w:sz w:val="28"/>
          <w:szCs w:val="28"/>
        </w:rPr>
        <w:t xml:space="preserve">Legends for Supplementary Figures and Tables. 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>Figure S1. Gating strategies for cell death analyses and images from the clonogenic survival assays.</w:t>
      </w:r>
    </w:p>
    <w:p w:rsidR="00632569" w:rsidRPr="00A42C74" w:rsidRDefault="00632569" w:rsidP="00632569">
      <w:pPr>
        <w:pStyle w:val="Text"/>
        <w:spacing w:before="0" w:afterLines="160" w:after="384"/>
        <w:rPr>
          <w:sz w:val="22"/>
          <w:szCs w:val="22"/>
        </w:rPr>
      </w:pPr>
      <w:r w:rsidRPr="00A42C74">
        <w:rPr>
          <w:b/>
          <w:bCs/>
          <w:sz w:val="22"/>
          <w:szCs w:val="22"/>
        </w:rPr>
        <w:t>a</w:t>
      </w:r>
      <w:r w:rsidRPr="00A42C74">
        <w:rPr>
          <w:sz w:val="22"/>
          <w:szCs w:val="22"/>
        </w:rPr>
        <w:t>, Example of gating strategy for HUB005 at 0 and 5 Gy.</w:t>
      </w:r>
      <w:r w:rsidRPr="00A42C74">
        <w:rPr>
          <w:b/>
          <w:bCs/>
          <w:sz w:val="22"/>
          <w:szCs w:val="22"/>
        </w:rPr>
        <w:t xml:space="preserve"> b</w:t>
      </w:r>
      <w:r w:rsidRPr="00A42C74">
        <w:rPr>
          <w:sz w:val="22"/>
          <w:szCs w:val="22"/>
        </w:rPr>
        <w:t xml:space="preserve">, Example of gating strategy for HUB106 at 0 and 5 Gy. </w:t>
      </w:r>
      <w:r w:rsidRPr="00A42C74">
        <w:rPr>
          <w:b/>
          <w:bCs/>
          <w:sz w:val="22"/>
          <w:szCs w:val="22"/>
        </w:rPr>
        <w:t>c</w:t>
      </w:r>
      <w:r w:rsidRPr="00A42C74">
        <w:rPr>
          <w:sz w:val="22"/>
          <w:szCs w:val="22"/>
        </w:rPr>
        <w:t xml:space="preserve">, </w:t>
      </w:r>
      <w:proofErr w:type="spellStart"/>
      <w:r w:rsidRPr="00A42C74">
        <w:rPr>
          <w:sz w:val="22"/>
          <w:szCs w:val="22"/>
        </w:rPr>
        <w:t>Barplot</w:t>
      </w:r>
      <w:proofErr w:type="spellEnd"/>
      <w:r w:rsidRPr="00A42C74">
        <w:rPr>
          <w:sz w:val="22"/>
          <w:szCs w:val="22"/>
        </w:rPr>
        <w:t xml:space="preserve"> indicating relative cell proportions in each cycle at the indicated doses. Sub-G1 cells represent cells in apoptosis. </w:t>
      </w:r>
      <w:r w:rsidRPr="00A42C74">
        <w:rPr>
          <w:b/>
          <w:bCs/>
          <w:sz w:val="22"/>
          <w:szCs w:val="22"/>
        </w:rPr>
        <w:t>d</w:t>
      </w:r>
      <w:r w:rsidRPr="00A42C74">
        <w:rPr>
          <w:sz w:val="22"/>
          <w:szCs w:val="22"/>
        </w:rPr>
        <w:t xml:space="preserve">, Representative images from the clonogenic survival assays conducted on organoids HUB005, HUB183, HUB062, and HUB106. </w:t>
      </w:r>
    </w:p>
    <w:p w:rsidR="00632569" w:rsidRPr="00A42C74" w:rsidRDefault="00632569" w:rsidP="00632569">
      <w:pPr>
        <w:spacing w:afterLines="160" w:after="384" w:line="360" w:lineRule="auto"/>
        <w:rPr>
          <w:rFonts w:ascii="Arial" w:hAnsi="Arial" w:cs="Arial"/>
          <w:b/>
          <w:bCs/>
          <w:lang w:val="en-US"/>
        </w:rPr>
      </w:pPr>
      <w:r w:rsidRPr="00A42C74">
        <w:rPr>
          <w:rFonts w:ascii="Arial" w:hAnsi="Arial" w:cs="Arial"/>
          <w:b/>
          <w:bCs/>
          <w:lang w:val="en-US"/>
        </w:rPr>
        <w:t xml:space="preserve">Figure S2. Radioresistant organoids have increased transcriptional adaptability to irradiation </w:t>
      </w:r>
    </w:p>
    <w:p w:rsidR="00632569" w:rsidRPr="00A42C74" w:rsidRDefault="00632569" w:rsidP="00632569">
      <w:pPr>
        <w:spacing w:afterLines="160" w:after="384" w:line="360" w:lineRule="auto"/>
        <w:rPr>
          <w:b/>
          <w:bCs/>
          <w:lang w:val="en-US"/>
        </w:rPr>
      </w:pPr>
      <w:r w:rsidRPr="00A42C74">
        <w:rPr>
          <w:rFonts w:ascii="Arial" w:hAnsi="Arial" w:cs="Arial"/>
          <w:b/>
          <w:bCs/>
          <w:lang w:val="en-US"/>
        </w:rPr>
        <w:t xml:space="preserve">a, </w:t>
      </w:r>
      <w:r w:rsidRPr="00A42C74">
        <w:rPr>
          <w:rFonts w:ascii="Arial" w:hAnsi="Arial" w:cs="Arial"/>
          <w:lang w:val="en-US"/>
        </w:rPr>
        <w:t xml:space="preserve">Schematic illustrating the methodology of the RNA sequencing experiment (see also Methods). </w:t>
      </w:r>
      <w:r w:rsidRPr="00A42C74">
        <w:rPr>
          <w:rFonts w:ascii="Arial" w:hAnsi="Arial" w:cs="Arial"/>
          <w:b/>
          <w:lang w:val="en-US"/>
        </w:rPr>
        <w:t>b,</w:t>
      </w:r>
      <w:r w:rsidRPr="00A42C74">
        <w:rPr>
          <w:rFonts w:ascii="Arial" w:hAnsi="Arial" w:cs="Arial"/>
          <w:bCs/>
          <w:lang w:val="en-US"/>
        </w:rPr>
        <w:t xml:space="preserve"> </w:t>
      </w:r>
      <w:proofErr w:type="gramStart"/>
      <w:r w:rsidRPr="00A42C74">
        <w:rPr>
          <w:rFonts w:ascii="Arial" w:hAnsi="Arial" w:cs="Arial"/>
          <w:bCs/>
          <w:lang w:val="en-US"/>
        </w:rPr>
        <w:t>Differentially</w:t>
      </w:r>
      <w:proofErr w:type="gramEnd"/>
      <w:r w:rsidRPr="00A42C74">
        <w:rPr>
          <w:rFonts w:ascii="Arial" w:hAnsi="Arial" w:cs="Arial"/>
          <w:bCs/>
          <w:lang w:val="en-US"/>
        </w:rPr>
        <w:t xml:space="preserve"> expressed gene sets before and after irradiation for radioresistant (red) vs. radiosensitive (blue) organoids. Each dot indicates an </w:t>
      </w:r>
      <w:proofErr w:type="spellStart"/>
      <w:r w:rsidRPr="00A42C74">
        <w:rPr>
          <w:rFonts w:ascii="Arial" w:hAnsi="Arial" w:cs="Arial"/>
          <w:bCs/>
          <w:lang w:val="en-US"/>
        </w:rPr>
        <w:t>MSigDB</w:t>
      </w:r>
      <w:proofErr w:type="spellEnd"/>
      <w:r w:rsidRPr="00A42C74">
        <w:rPr>
          <w:rFonts w:ascii="Arial" w:hAnsi="Arial" w:cs="Arial"/>
          <w:bCs/>
          <w:lang w:val="en-US"/>
        </w:rPr>
        <w:t xml:space="preserve"> gene set. Dots above the horizontal line indicate differentially expressed gene sets (BH-adjusted at a false discovery rate of 1%); 469 gene sets in radioresistant and 145 gene sets in radiosensitive organoids). </w:t>
      </w:r>
      <w:r w:rsidRPr="00A42C74">
        <w:rPr>
          <w:rFonts w:ascii="Arial" w:hAnsi="Arial" w:cs="Arial"/>
          <w:b/>
          <w:lang w:val="en-US"/>
        </w:rPr>
        <w:t>c,</w:t>
      </w:r>
      <w:r w:rsidRPr="00A42C74">
        <w:rPr>
          <w:rFonts w:ascii="Arial" w:hAnsi="Arial" w:cs="Arial"/>
          <w:bCs/>
          <w:lang w:val="en-US"/>
        </w:rPr>
        <w:t xml:space="preserve"> Gene set-gene set graph of differentially expressed gene sets between irradiated and unirradiated radioresistant organoids. Opaque dots indicate upregulated gene sets (after irradiation), while translucent dots indicate downregulated gene sets. </w:t>
      </w:r>
      <w:r w:rsidRPr="00A42C74">
        <w:rPr>
          <w:rFonts w:ascii="Arial" w:hAnsi="Arial" w:cs="Arial"/>
          <w:b/>
          <w:bCs/>
          <w:lang w:val="en-US"/>
        </w:rPr>
        <w:t xml:space="preserve">d, </w:t>
      </w:r>
      <w:r w:rsidRPr="00A42C74">
        <w:rPr>
          <w:rFonts w:ascii="Arial" w:hAnsi="Arial" w:cs="Arial"/>
          <w:lang w:val="en-US"/>
        </w:rPr>
        <w:t xml:space="preserve">Bar plot showing all differentially upregulated gene sets with function in DNA repair in response to radiation in radioresistant organoids. </w:t>
      </w:r>
      <w:r w:rsidRPr="00A42C74">
        <w:rPr>
          <w:rFonts w:ascii="Arial" w:hAnsi="Arial" w:cs="Arial"/>
          <w:b/>
          <w:lang w:val="en-US"/>
        </w:rPr>
        <w:t>e,</w:t>
      </w:r>
      <w:r w:rsidRPr="00A42C74">
        <w:rPr>
          <w:rFonts w:ascii="Arial" w:hAnsi="Arial" w:cs="Arial"/>
          <w:bCs/>
          <w:lang w:val="en-US"/>
        </w:rPr>
        <w:t xml:space="preserve"> Gene set-gene set graph of differentially expressed gene sets between irradiated and unirradiated radiosensitive organoids. </w:t>
      </w:r>
      <w:r w:rsidRPr="00A42C74">
        <w:rPr>
          <w:rFonts w:ascii="Arial" w:hAnsi="Arial" w:cs="Arial"/>
          <w:b/>
          <w:bCs/>
          <w:lang w:val="en-US"/>
        </w:rPr>
        <w:t xml:space="preserve">f, </w:t>
      </w:r>
      <w:r w:rsidRPr="00A42C74">
        <w:rPr>
          <w:rFonts w:ascii="Arial" w:hAnsi="Arial" w:cs="Arial"/>
          <w:lang w:val="en-US"/>
        </w:rPr>
        <w:t>Bar plot showing all differentially upregulated gene sets with function in DNA repair in response to radiation in radioresistant organoids</w:t>
      </w:r>
      <w:r w:rsidRPr="00A42C74">
        <w:rPr>
          <w:rFonts w:ascii="Arial" w:hAnsi="Arial" w:cs="Arial"/>
          <w:b/>
          <w:lang w:val="en-US"/>
        </w:rPr>
        <w:t xml:space="preserve"> g, </w:t>
      </w:r>
      <w:r w:rsidRPr="00A42C74">
        <w:rPr>
          <w:rFonts w:ascii="Arial" w:hAnsi="Arial" w:cs="Arial"/>
          <w:bCs/>
          <w:lang w:val="en-US"/>
        </w:rPr>
        <w:t>Transcriptional response of DNA repair pathways that were upregulated after irradiation in radiosensitive (</w:t>
      </w:r>
      <w:r w:rsidRPr="00A42C74">
        <w:rPr>
          <w:rFonts w:ascii="Arial" w:hAnsi="Arial" w:cs="Arial"/>
          <w:bCs/>
          <w:i/>
          <w:iCs/>
          <w:lang w:val="en-US"/>
        </w:rPr>
        <w:t xml:space="preserve">n </w:t>
      </w:r>
      <w:r w:rsidRPr="00A42C74">
        <w:rPr>
          <w:rFonts w:ascii="Arial" w:hAnsi="Arial" w:cs="Arial"/>
          <w:bCs/>
          <w:lang w:val="en-US"/>
        </w:rPr>
        <w:t>= 16 pathways) versus radioresistant organoids (</w:t>
      </w:r>
      <w:r w:rsidRPr="00A42C74">
        <w:rPr>
          <w:rFonts w:ascii="Arial" w:hAnsi="Arial" w:cs="Arial"/>
          <w:bCs/>
          <w:i/>
          <w:iCs/>
          <w:lang w:val="en-US"/>
        </w:rPr>
        <w:t>n</w:t>
      </w:r>
      <w:r w:rsidRPr="00A42C74">
        <w:rPr>
          <w:rFonts w:ascii="Arial" w:hAnsi="Arial" w:cs="Arial"/>
          <w:bCs/>
          <w:lang w:val="en-US"/>
        </w:rPr>
        <w:t xml:space="preserve"> = 43 pathways).</w:t>
      </w:r>
      <w:r w:rsidRPr="00A42C74">
        <w:rPr>
          <w:rFonts w:ascii="Arial" w:hAnsi="Arial" w:cs="Arial"/>
          <w:b/>
          <w:bCs/>
          <w:lang w:val="en-US"/>
        </w:rPr>
        <w:t xml:space="preserve"> 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Figure S3. Inhibition of GCLC alone is not effective in inducing cancer cell death. 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>a</w:t>
      </w:r>
      <w:r w:rsidRPr="00A42C74">
        <w:rPr>
          <w:sz w:val="22"/>
          <w:szCs w:val="22"/>
        </w:rPr>
        <w:t xml:space="preserve">, Total glutathione levels as measured by luminescence for HUB005 and HUB183 at 0 or 50 </w:t>
      </w:r>
      <w:r w:rsidRPr="00A42C74">
        <w:rPr>
          <w:color w:val="4D5156"/>
          <w:sz w:val="22"/>
          <w:szCs w:val="22"/>
          <w:shd w:val="clear" w:color="auto" w:fill="FFFFFF"/>
        </w:rPr>
        <w:t>μ</w:t>
      </w:r>
      <w:r w:rsidRPr="00A42C74">
        <w:rPr>
          <w:sz w:val="22"/>
          <w:szCs w:val="22"/>
        </w:rPr>
        <w:t xml:space="preserve">M BSO. </w:t>
      </w:r>
      <w:r w:rsidRPr="00A42C74">
        <w:rPr>
          <w:b/>
          <w:bCs/>
          <w:sz w:val="22"/>
          <w:szCs w:val="22"/>
        </w:rPr>
        <w:t>b</w:t>
      </w:r>
      <w:r w:rsidRPr="00A42C74">
        <w:rPr>
          <w:sz w:val="22"/>
          <w:szCs w:val="22"/>
        </w:rPr>
        <w:t xml:space="preserve">, Viability of radioresistant organoids HUB005 and HUB183 at 20 and 100 </w:t>
      </w:r>
      <w:r w:rsidRPr="00A42C74">
        <w:rPr>
          <w:color w:val="4D5156"/>
          <w:sz w:val="22"/>
          <w:szCs w:val="22"/>
          <w:shd w:val="clear" w:color="auto" w:fill="FFFFFF"/>
        </w:rPr>
        <w:t>μ</w:t>
      </w:r>
      <w:r w:rsidRPr="00A42C74">
        <w:rPr>
          <w:sz w:val="22"/>
          <w:szCs w:val="22"/>
        </w:rPr>
        <w:t xml:space="preserve">M BSO, </w:t>
      </w:r>
      <w:proofErr w:type="spellStart"/>
      <w:r w:rsidRPr="00A42C74">
        <w:rPr>
          <w:sz w:val="22"/>
          <w:szCs w:val="22"/>
        </w:rPr>
        <w:t>normalised</w:t>
      </w:r>
      <w:proofErr w:type="spellEnd"/>
      <w:r w:rsidRPr="00A42C74">
        <w:rPr>
          <w:sz w:val="22"/>
          <w:szCs w:val="22"/>
        </w:rPr>
        <w:t xml:space="preserve"> to control (DMSO). </w:t>
      </w:r>
      <w:r w:rsidRPr="00A42C74">
        <w:rPr>
          <w:b/>
          <w:bCs/>
          <w:sz w:val="22"/>
          <w:szCs w:val="22"/>
        </w:rPr>
        <w:t xml:space="preserve">c, </w:t>
      </w:r>
      <w:r w:rsidRPr="00A42C74">
        <w:rPr>
          <w:sz w:val="22"/>
          <w:szCs w:val="22"/>
        </w:rPr>
        <w:t xml:space="preserve">Western blot showing GCLC protein expression in Tor10 Ecas9 </w:t>
      </w:r>
      <w:r w:rsidRPr="00A42C74">
        <w:rPr>
          <w:sz w:val="22"/>
          <w:szCs w:val="22"/>
        </w:rPr>
        <w:lastRenderedPageBreak/>
        <w:t xml:space="preserve">control and Tor10 </w:t>
      </w:r>
      <w:r w:rsidRPr="00A42C74">
        <w:rPr>
          <w:i/>
          <w:iCs/>
          <w:sz w:val="22"/>
          <w:szCs w:val="22"/>
        </w:rPr>
        <w:t>GCLC</w:t>
      </w:r>
      <w:r w:rsidRPr="00A42C74">
        <w:rPr>
          <w:sz w:val="22"/>
          <w:szCs w:val="22"/>
        </w:rPr>
        <w:t xml:space="preserve"> knockout. </w:t>
      </w:r>
      <w:r w:rsidRPr="00A42C74">
        <w:rPr>
          <w:b/>
          <w:bCs/>
          <w:sz w:val="22"/>
          <w:szCs w:val="22"/>
        </w:rPr>
        <w:t>d</w:t>
      </w:r>
      <w:r w:rsidRPr="00A42C74">
        <w:rPr>
          <w:sz w:val="22"/>
          <w:szCs w:val="22"/>
        </w:rPr>
        <w:t xml:space="preserve">, Viability (as measured by ATP through CellTiter Glo 3D) of Tor10 GCLC, </w:t>
      </w:r>
      <w:proofErr w:type="spellStart"/>
      <w:r w:rsidRPr="00A42C74">
        <w:rPr>
          <w:sz w:val="22"/>
          <w:szCs w:val="22"/>
        </w:rPr>
        <w:t>normalised</w:t>
      </w:r>
      <w:proofErr w:type="spellEnd"/>
      <w:r w:rsidRPr="00A42C74">
        <w:rPr>
          <w:sz w:val="22"/>
          <w:szCs w:val="22"/>
        </w:rPr>
        <w:t xml:space="preserve"> to Tor10 Ecas9 control. Measurements were taken during the exponential phase of organoid growth. </w:t>
      </w:r>
      <w:r w:rsidRPr="00A42C74">
        <w:rPr>
          <w:b/>
          <w:bCs/>
          <w:sz w:val="22"/>
          <w:szCs w:val="22"/>
        </w:rPr>
        <w:t>e</w:t>
      </w:r>
      <w:r w:rsidRPr="00A42C74">
        <w:rPr>
          <w:sz w:val="22"/>
          <w:szCs w:val="22"/>
        </w:rPr>
        <w:t xml:space="preserve">, Density plot of Chronos essentiality scores for </w:t>
      </w:r>
      <w:r w:rsidRPr="00A42C74">
        <w:rPr>
          <w:i/>
          <w:iCs/>
          <w:sz w:val="22"/>
          <w:szCs w:val="22"/>
        </w:rPr>
        <w:t>GCLC</w:t>
      </w:r>
      <w:r w:rsidRPr="00A42C74">
        <w:rPr>
          <w:sz w:val="22"/>
          <w:szCs w:val="22"/>
        </w:rPr>
        <w:t xml:space="preserve">, </w:t>
      </w:r>
      <w:r w:rsidRPr="00A42C74">
        <w:rPr>
          <w:i/>
          <w:iCs/>
          <w:sz w:val="22"/>
          <w:szCs w:val="22"/>
        </w:rPr>
        <w:t>MYC,</w:t>
      </w:r>
      <w:r w:rsidRPr="00A42C74">
        <w:rPr>
          <w:sz w:val="22"/>
          <w:szCs w:val="22"/>
        </w:rPr>
        <w:t xml:space="preserve"> and </w:t>
      </w:r>
      <w:r w:rsidRPr="00A42C74">
        <w:rPr>
          <w:i/>
          <w:iCs/>
          <w:sz w:val="22"/>
          <w:szCs w:val="22"/>
        </w:rPr>
        <w:t>KRAS</w:t>
      </w:r>
      <w:r w:rsidRPr="00A42C74">
        <w:rPr>
          <w:sz w:val="22"/>
          <w:szCs w:val="22"/>
        </w:rPr>
        <w:t xml:space="preserve"> CRIPSR knockout across 1095 cancer cell lines. Lower scores indicate a gene is essential for the cell’s survival while a score of 0 indicates a gene is not essential. Cancer driver genes </w:t>
      </w:r>
      <w:r w:rsidRPr="00A42C74">
        <w:rPr>
          <w:i/>
          <w:iCs/>
          <w:sz w:val="22"/>
          <w:szCs w:val="22"/>
        </w:rPr>
        <w:t>MYC</w:t>
      </w:r>
      <w:r w:rsidRPr="00A42C74">
        <w:rPr>
          <w:sz w:val="22"/>
          <w:szCs w:val="22"/>
        </w:rPr>
        <w:t xml:space="preserve"> and </w:t>
      </w:r>
      <w:r w:rsidRPr="00A42C74">
        <w:rPr>
          <w:i/>
          <w:iCs/>
          <w:sz w:val="22"/>
          <w:szCs w:val="22"/>
        </w:rPr>
        <w:t xml:space="preserve">KRAS </w:t>
      </w:r>
      <w:r w:rsidRPr="00A42C74">
        <w:rPr>
          <w:sz w:val="22"/>
          <w:szCs w:val="22"/>
        </w:rPr>
        <w:t xml:space="preserve">are highly essential, while </w:t>
      </w:r>
      <w:r w:rsidRPr="00A42C74">
        <w:rPr>
          <w:i/>
          <w:iCs/>
          <w:sz w:val="22"/>
          <w:szCs w:val="22"/>
        </w:rPr>
        <w:t>GCLC</w:t>
      </w:r>
      <w:r w:rsidRPr="00A42C74">
        <w:rPr>
          <w:sz w:val="22"/>
          <w:szCs w:val="22"/>
        </w:rPr>
        <w:t xml:space="preserve"> is not. </w:t>
      </w:r>
    </w:p>
    <w:p w:rsidR="00632569" w:rsidRPr="00A42C74" w:rsidRDefault="00632569" w:rsidP="00632569">
      <w:pPr>
        <w:pStyle w:val="Titelmidel"/>
        <w:spacing w:afterLines="160" w:after="384" w:line="360" w:lineRule="auto"/>
        <w:rPr>
          <w:sz w:val="28"/>
          <w:szCs w:val="28"/>
          <w:lang w:val="en-US"/>
        </w:rPr>
      </w:pPr>
      <w:r w:rsidRPr="00A42C74">
        <w:rPr>
          <w:sz w:val="28"/>
          <w:szCs w:val="28"/>
          <w:lang w:val="en-US"/>
        </w:rPr>
        <w:t>Table Legends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>Table S1. Clinical data and mutation status of organoids.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S2.  Supplements used for the colorectal cancer organoid medium. 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S3. Antibody list. 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S4. List of drugs used in drug screens. </w:t>
      </w:r>
    </w:p>
    <w:p w:rsidR="00632569" w:rsidRPr="00A42C74" w:rsidRDefault="00632569" w:rsidP="00632569">
      <w:pPr>
        <w:pStyle w:val="Text"/>
        <w:spacing w:before="0" w:afterLines="160" w:after="384"/>
        <w:rPr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S5. Differentially expressed gene sets comparing radioresistant organoids before and after irradiation. </w:t>
      </w:r>
      <w:r w:rsidRPr="00A42C74">
        <w:rPr>
          <w:sz w:val="22"/>
          <w:szCs w:val="22"/>
        </w:rPr>
        <w:t xml:space="preserve">Comparison C in Figure S2.  </w:t>
      </w:r>
    </w:p>
    <w:p w:rsidR="00632569" w:rsidRPr="00A42C74" w:rsidRDefault="00632569" w:rsidP="00632569">
      <w:pPr>
        <w:pStyle w:val="Text"/>
        <w:spacing w:before="0" w:afterLines="160" w:after="384"/>
        <w:rPr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S6. Differentially expressed gene sets comparing radiosensitive organoids before and after irradiation. </w:t>
      </w:r>
      <w:r w:rsidRPr="00A42C74">
        <w:rPr>
          <w:sz w:val="22"/>
          <w:szCs w:val="22"/>
        </w:rPr>
        <w:t xml:space="preserve">Comparison D in Figure S2.  </w:t>
      </w:r>
    </w:p>
    <w:p w:rsidR="00632569" w:rsidRPr="00A42C74" w:rsidRDefault="00632569" w:rsidP="00632569">
      <w:pPr>
        <w:pStyle w:val="Text"/>
        <w:spacing w:before="0" w:afterLines="160" w:after="384"/>
        <w:rPr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S7. Differentially expressed genes comparing unirradiated radioresistant versus unirradiated radiosensitive organoids. </w:t>
      </w:r>
      <w:r w:rsidRPr="00A42C74">
        <w:rPr>
          <w:sz w:val="22"/>
          <w:szCs w:val="22"/>
        </w:rPr>
        <w:t xml:space="preserve">Comparison A in Figure S2.  </w:t>
      </w:r>
    </w:p>
    <w:p w:rsidR="00632569" w:rsidRPr="00A42C74" w:rsidRDefault="00632569" w:rsidP="00632569">
      <w:pPr>
        <w:pStyle w:val="Text"/>
        <w:spacing w:before="0" w:afterLines="160" w:after="384"/>
        <w:rPr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S8. Differentially expressed gene sets comparing unirradiated radioresistant versus unirradiated radiosensitive organoids. </w:t>
      </w:r>
      <w:r w:rsidRPr="00A42C74">
        <w:rPr>
          <w:sz w:val="22"/>
          <w:szCs w:val="22"/>
        </w:rPr>
        <w:t>Comparison A in Figure S2.</w:t>
      </w:r>
    </w:p>
    <w:p w:rsidR="00632569" w:rsidRPr="00A42C74" w:rsidRDefault="00632569" w:rsidP="00632569">
      <w:pPr>
        <w:pStyle w:val="Text"/>
        <w:spacing w:before="0" w:afterLines="160" w:after="384"/>
        <w:rPr>
          <w:b/>
          <w:bCs/>
          <w:sz w:val="22"/>
          <w:szCs w:val="22"/>
        </w:rPr>
      </w:pPr>
      <w:r w:rsidRPr="00A42C74">
        <w:rPr>
          <w:b/>
          <w:bCs/>
          <w:sz w:val="22"/>
          <w:szCs w:val="22"/>
        </w:rPr>
        <w:t xml:space="preserve">Table S9. Differentially expressed gene sets comparing irradiated radioresistant versus irradiated radiosensitive organoids. </w:t>
      </w:r>
      <w:r w:rsidRPr="00A42C74">
        <w:rPr>
          <w:sz w:val="22"/>
          <w:szCs w:val="22"/>
        </w:rPr>
        <w:t xml:space="preserve">Comparison B in Figure S2.  </w:t>
      </w:r>
    </w:p>
    <w:p w:rsidR="00632569" w:rsidRDefault="00632569"/>
    <w:sectPr w:rsidR="00632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69"/>
    <w:rsid w:val="0063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08BD6D"/>
  <w15:chartTrackingRefBased/>
  <w15:docId w15:val="{4EC47562-71CB-7843-9DB4-4D70E399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569"/>
    <w:pPr>
      <w:spacing w:after="160" w:line="259" w:lineRule="auto"/>
    </w:pPr>
    <w:rPr>
      <w:kern w:val="0"/>
      <w:sz w:val="22"/>
      <w:szCs w:val="22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elmidel">
    <w:name w:val="Titel midel"/>
    <w:basedOn w:val="Normal"/>
    <w:link w:val="TitelmidelChar"/>
    <w:qFormat/>
    <w:rsid w:val="00632569"/>
    <w:rPr>
      <w:rFonts w:ascii="Arial" w:hAnsi="Arial" w:cs="Arial"/>
      <w:b/>
      <w:sz w:val="32"/>
      <w:szCs w:val="32"/>
    </w:rPr>
  </w:style>
  <w:style w:type="character" w:customStyle="1" w:styleId="TitelmidelChar">
    <w:name w:val="Titel midel Char"/>
    <w:basedOn w:val="DefaultParagraphFont"/>
    <w:link w:val="Titelmidel"/>
    <w:rsid w:val="00632569"/>
    <w:rPr>
      <w:rFonts w:ascii="Arial" w:hAnsi="Arial" w:cs="Arial"/>
      <w:b/>
      <w:kern w:val="0"/>
      <w:sz w:val="32"/>
      <w:szCs w:val="32"/>
      <w:lang w:val="nl-NL"/>
      <w14:ligatures w14:val="none"/>
    </w:rPr>
  </w:style>
  <w:style w:type="paragraph" w:customStyle="1" w:styleId="Text">
    <w:name w:val="Text"/>
    <w:basedOn w:val="Normal"/>
    <w:qFormat/>
    <w:rsid w:val="00632569"/>
    <w:pPr>
      <w:spacing w:before="180" w:after="180" w:line="360" w:lineRule="auto"/>
      <w:jc w:val="both"/>
    </w:pPr>
    <w:rPr>
      <w:rFonts w:ascii="Arial" w:hAnsi="Arial" w:cs="Arial"/>
      <w:color w:val="000000" w:themeColor="text1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Andel</dc:creator>
  <cp:keywords/>
  <dc:description/>
  <cp:lastModifiedBy>Daan Andel</cp:lastModifiedBy>
  <cp:revision>1</cp:revision>
  <dcterms:created xsi:type="dcterms:W3CDTF">2025-02-20T18:47:00Z</dcterms:created>
  <dcterms:modified xsi:type="dcterms:W3CDTF">2025-02-20T18:49:00Z</dcterms:modified>
</cp:coreProperties>
</file>