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5B9" w:rsidRDefault="00EC75B9" w:rsidP="00EC75B9">
      <w:pPr>
        <w:jc w:val="center"/>
        <w:rPr>
          <w:b/>
          <w:sz w:val="40"/>
          <w:szCs w:val="40"/>
        </w:rPr>
      </w:pPr>
    </w:p>
    <w:p w:rsidR="00EC75B9" w:rsidRDefault="00EC75B9" w:rsidP="00EC75B9">
      <w:pPr>
        <w:jc w:val="center"/>
        <w:rPr>
          <w:b/>
          <w:sz w:val="40"/>
          <w:szCs w:val="40"/>
        </w:rPr>
      </w:pPr>
    </w:p>
    <w:p w:rsidR="00EC75B9" w:rsidRPr="00EC75B9" w:rsidRDefault="00736E06" w:rsidP="00EC75B9">
      <w:pPr>
        <w:jc w:val="center"/>
        <w:rPr>
          <w:b/>
          <w:sz w:val="40"/>
          <w:szCs w:val="40"/>
        </w:rPr>
      </w:pPr>
      <w:r w:rsidRPr="00EC75B9">
        <w:rPr>
          <w:b/>
          <w:sz w:val="40"/>
          <w:szCs w:val="40"/>
        </w:rPr>
        <w:t xml:space="preserve">Supplementary Tables 1–3 </w:t>
      </w:r>
      <w:r w:rsidR="00EC75B9" w:rsidRPr="00EC75B9">
        <w:rPr>
          <w:b/>
          <w:sz w:val="40"/>
          <w:szCs w:val="40"/>
        </w:rPr>
        <w:t>for</w:t>
      </w:r>
    </w:p>
    <w:p w:rsidR="00EC75B9" w:rsidRPr="00EC75B9" w:rsidRDefault="00736E06" w:rsidP="00EC75B9">
      <w:pPr>
        <w:jc w:val="center"/>
        <w:rPr>
          <w:b/>
          <w:sz w:val="40"/>
          <w:szCs w:val="40"/>
        </w:rPr>
      </w:pPr>
      <w:proofErr w:type="gramStart"/>
      <w:r w:rsidRPr="00EC75B9">
        <w:rPr>
          <w:b/>
          <w:sz w:val="40"/>
          <w:szCs w:val="40"/>
        </w:rPr>
        <w:t>Mass</w:t>
      </w:r>
      <w:proofErr w:type="gramEnd"/>
      <w:r w:rsidRPr="00EC75B9">
        <w:rPr>
          <w:b/>
          <w:sz w:val="40"/>
          <w:szCs w:val="40"/>
        </w:rPr>
        <w:t xml:space="preserve"> spectrometric insights into the protein composition of human cutaneous </w:t>
      </w:r>
      <w:proofErr w:type="spellStart"/>
      <w:r w:rsidRPr="00EC75B9">
        <w:rPr>
          <w:b/>
          <w:sz w:val="40"/>
          <w:szCs w:val="40"/>
        </w:rPr>
        <w:t>neurofibromas</w:t>
      </w:r>
      <w:proofErr w:type="spellEnd"/>
      <w:r w:rsidRPr="00EC75B9">
        <w:rPr>
          <w:b/>
          <w:sz w:val="40"/>
          <w:szCs w:val="40"/>
        </w:rPr>
        <w:t xml:space="preserve">: comparison of </w:t>
      </w:r>
      <w:proofErr w:type="spellStart"/>
      <w:r w:rsidRPr="00EC75B9">
        <w:rPr>
          <w:b/>
          <w:sz w:val="40"/>
          <w:szCs w:val="40"/>
        </w:rPr>
        <w:t>neurofibromas</w:t>
      </w:r>
      <w:proofErr w:type="spellEnd"/>
      <w:r w:rsidRPr="00EC75B9">
        <w:rPr>
          <w:b/>
          <w:sz w:val="40"/>
          <w:szCs w:val="40"/>
        </w:rPr>
        <w:t xml:space="preserve"> with the overlying skin</w:t>
      </w:r>
    </w:p>
    <w:p w:rsidR="00736E06" w:rsidRPr="00EC75B9" w:rsidRDefault="00736E06" w:rsidP="00EC75B9">
      <w:pPr>
        <w:jc w:val="center"/>
        <w:rPr>
          <w:sz w:val="28"/>
          <w:szCs w:val="28"/>
          <w:vertAlign w:val="superscript"/>
          <w:lang w:val="fi-FI"/>
        </w:rPr>
      </w:pPr>
      <w:proofErr w:type="spellStart"/>
      <w:r w:rsidRPr="00EC75B9">
        <w:rPr>
          <w:sz w:val="28"/>
          <w:szCs w:val="28"/>
          <w:lang w:val="fi-FI"/>
        </w:rPr>
        <w:t>by</w:t>
      </w:r>
      <w:proofErr w:type="spellEnd"/>
      <w:r w:rsidRPr="00EC75B9">
        <w:rPr>
          <w:sz w:val="28"/>
          <w:szCs w:val="28"/>
          <w:lang w:val="fi-FI"/>
        </w:rPr>
        <w:t xml:space="preserve"> Roope A. Kallionpää, Eija Martikkala, Pekka Haapaniemi, </w:t>
      </w:r>
      <w:r w:rsidR="00715247" w:rsidRPr="00715247">
        <w:rPr>
          <w:sz w:val="28"/>
          <w:szCs w:val="28"/>
          <w:lang w:val="fi-FI"/>
        </w:rPr>
        <w:t xml:space="preserve">Sanna-Maria Karppinen, Pilvi </w:t>
      </w:r>
      <w:proofErr w:type="spellStart"/>
      <w:r w:rsidR="00715247" w:rsidRPr="00715247">
        <w:rPr>
          <w:sz w:val="28"/>
          <w:szCs w:val="28"/>
          <w:lang w:val="fi-FI"/>
        </w:rPr>
        <w:t>Riihilä</w:t>
      </w:r>
      <w:proofErr w:type="spellEnd"/>
      <w:r w:rsidR="00715247" w:rsidRPr="00715247">
        <w:rPr>
          <w:sz w:val="28"/>
          <w:szCs w:val="28"/>
          <w:lang w:val="fi-FI"/>
        </w:rPr>
        <w:t>, Anne Rokka, Ilmo Leivo, Taina Pihlajaniemi</w:t>
      </w:r>
      <w:r w:rsidRPr="00EC75B9">
        <w:rPr>
          <w:sz w:val="28"/>
          <w:szCs w:val="28"/>
          <w:lang w:val="fi-FI"/>
        </w:rPr>
        <w:t>, Sirkku Peltonen, Juha Peltonen</w:t>
      </w:r>
    </w:p>
    <w:p w:rsidR="00736E06" w:rsidRPr="00EC75B9" w:rsidRDefault="00736E06">
      <w:pPr>
        <w:rPr>
          <w:lang w:val="fi-FI"/>
        </w:rPr>
      </w:pPr>
      <w:r w:rsidRPr="00EC75B9">
        <w:rPr>
          <w:lang w:val="fi-FI"/>
        </w:rPr>
        <w:br w:type="page"/>
      </w:r>
    </w:p>
    <w:tbl>
      <w:tblPr>
        <w:tblW w:w="12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850"/>
        <w:gridCol w:w="1701"/>
        <w:gridCol w:w="709"/>
        <w:gridCol w:w="1701"/>
        <w:gridCol w:w="709"/>
        <w:gridCol w:w="1701"/>
        <w:gridCol w:w="709"/>
      </w:tblGrid>
      <w:tr w:rsidR="003823EE" w:rsidRPr="003823EE" w:rsidTr="002269A2">
        <w:trPr>
          <w:trHeight w:val="20"/>
        </w:trPr>
        <w:tc>
          <w:tcPr>
            <w:tcW w:w="12900" w:type="dxa"/>
            <w:gridSpan w:val="8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823EE" w:rsidRPr="003823EE" w:rsidRDefault="003823EE" w:rsidP="002269A2">
            <w:pPr>
              <w:spacing w:line="240" w:lineRule="auto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lastRenderedPageBreak/>
              <w:t xml:space="preserve">Supplementary Table 1. </w:t>
            </w:r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>Sensitivity analysis of the extracellular matrix-related</w:t>
            </w: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t xml:space="preserve"> </w:t>
            </w:r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Gene Ontology (GO) terms included in the main manuscript Table 1. The comparison of cutaneous </w:t>
            </w:r>
            <w:proofErr w:type="spellStart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>neurofibromas</w:t>
            </w:r>
            <w:proofErr w:type="spellEnd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 vs. the overlying skin is sh</w:t>
            </w:r>
            <w:r w:rsidR="006F5F4C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own for growing tumors </w:t>
            </w:r>
            <w:proofErr w:type="gramStart"/>
            <w:r w:rsidR="006F5F4C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>only,</w:t>
            </w:r>
            <w:proofErr w:type="gramEnd"/>
            <w:r w:rsidR="002648B3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 </w:t>
            </w:r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and for tumors from patient 4 only. 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  <w:t>Primary analysis (Table 1)</w:t>
            </w:r>
          </w:p>
        </w:tc>
        <w:tc>
          <w:tcPr>
            <w:tcW w:w="24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  <w:t>Sensitivity analysis: only growing tumors</w:t>
            </w:r>
          </w:p>
        </w:tc>
        <w:tc>
          <w:tcPr>
            <w:tcW w:w="24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  <w:t>Sensitivity analysis: only tumors from patient 4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GO term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Proteins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Estimate (95% CI)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eastAsia="fi-FI"/>
              </w:rPr>
              <w:t>P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Estimate (95% CI)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eastAsia="fi-FI"/>
              </w:rPr>
              <w:t>P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Estimate (95% CI)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eastAsia="fi-FI"/>
              </w:rPr>
              <w:t>P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extracellular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matrix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disassembly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[GO:0022617]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25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0.41 (0.32 to 0.52)</w:t>
            </w:r>
          </w:p>
        </w:tc>
        <w:tc>
          <w:tcPr>
            <w:tcW w:w="709" w:type="dxa"/>
            <w:tcBorders>
              <w:top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0.49 (0.35 to 0.67)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0.33 (0.19 to 0.57)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collagen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biosynthetic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process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[GO:0032964]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0.60 (0.47 to 0.76)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0.58 (0.41 to 0.82)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0.83 (0.57 to 1.21)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0.332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extracellular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space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[GO:0005615]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454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0.69 (0.66 to 0.72)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0.71 (0.67 to 0.75)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0.70 (0.65 to 0.76)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mitochondrial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matrix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[GO:0005759]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92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0.76 (0.73 to 0.79)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0.83 (0.79 to 0.87)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0.69 (0.65 to 0.73)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extracellular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region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[GO:0005576]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554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0.83 (0.80 to 0.85)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0.85 (0.81 to 0.88)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0.86 (0.81 to 0.92)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collagen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trimer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[GO:0005581]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20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0.84 (0.71 to 0.99)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0.041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0.84 (0.67 to 1.05)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0.135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0.92 (0.75 to 1.12)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0.384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collagen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catabolic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process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[GO:0030574]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0.87 (0.76 to 0.99)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0.040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0.84 (0.74 to 0.94)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0.91 (0.65 to 1.28)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0.598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collagen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binding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[GO:0005518]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31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1.13 (1.00 to 1.27)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0.047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1.10 (0.92 to 1.30)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0.298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1.14 (1.02 to 1.29)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0.024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cell-matrix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adhesion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[GO:0007160]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49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1.15 (1.01 to 1.31)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0.036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1.09 (0.92 to 1.30)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0.317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1.25 (1.01 to 1.54)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0.042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extracellular matrix structural constituent [GO:0005201]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51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1.25 (1.11 to 1.41)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1.22 (1.05 to 1.42)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1.21 (0.97 to 1.51)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0.089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basement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membrane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organization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[GO:0071711]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2.09 (1.51 to 2.89)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2.19 (1.43 to 3.36)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1.60 (1.23 to 2.08)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0.001</w:t>
            </w:r>
          </w:p>
        </w:tc>
      </w:tr>
      <w:tr w:rsidR="003823EE" w:rsidRPr="003823EE" w:rsidTr="00B44CF7">
        <w:trPr>
          <w:trHeight w:val="20"/>
        </w:trPr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extracellular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matrix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binding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[GO:0050840]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2.10 (1.52 to 2.89)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1.76 (1.22 to 2.53)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2.74 (1.36 to 5.52)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22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0.006</w:t>
            </w:r>
          </w:p>
        </w:tc>
      </w:tr>
    </w:tbl>
    <w:p w:rsidR="003823EE" w:rsidRPr="003823EE" w:rsidRDefault="003823EE"/>
    <w:p w:rsidR="00EC75B9" w:rsidRDefault="00EC75B9"/>
    <w:p w:rsidR="00EC75B9" w:rsidRDefault="003823EE">
      <w:r w:rsidRPr="003823EE">
        <w:br w:type="page"/>
      </w:r>
    </w:p>
    <w:tbl>
      <w:tblPr>
        <w:tblpPr w:leftFromText="141" w:rightFromText="141" w:vertAnchor="page" w:horzAnchor="margin" w:tblpY="1542"/>
        <w:tblW w:w="148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3"/>
        <w:gridCol w:w="763"/>
        <w:gridCol w:w="1505"/>
        <w:gridCol w:w="641"/>
        <w:gridCol w:w="1485"/>
        <w:gridCol w:w="709"/>
        <w:gridCol w:w="1559"/>
        <w:gridCol w:w="641"/>
      </w:tblGrid>
      <w:tr w:rsidR="00EC75B9" w:rsidRPr="003823EE" w:rsidTr="00EC75B9">
        <w:trPr>
          <w:trHeight w:val="20"/>
        </w:trPr>
        <w:tc>
          <w:tcPr>
            <w:tcW w:w="14816" w:type="dxa"/>
            <w:gridSpan w:val="8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EC75B9" w:rsidRPr="003823EE" w:rsidRDefault="00EC75B9" w:rsidP="00EC75B9">
            <w:pPr>
              <w:spacing w:line="240" w:lineRule="auto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lastRenderedPageBreak/>
              <w:t xml:space="preserve">Supplementary Table 2. </w:t>
            </w:r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>Sensitivity analysis of the angiogenesis-related</w:t>
            </w: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t xml:space="preserve"> </w:t>
            </w:r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Gene Ontology (GO) terms included in </w:t>
            </w:r>
            <w:bookmarkStart w:id="0" w:name="_GoBack"/>
            <w:bookmarkEnd w:id="0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the main manuscript Table 3. The comparison of cutaneous </w:t>
            </w:r>
            <w:proofErr w:type="spellStart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>neurofibromas</w:t>
            </w:r>
            <w:proofErr w:type="spellEnd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 vs. the overlying skin is shown for growing tumors </w:t>
            </w:r>
            <w:proofErr w:type="gramStart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>only,</w:t>
            </w:r>
            <w:proofErr w:type="gramEnd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 and for tumors from patient 4 only. 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</w:pPr>
          </w:p>
        </w:tc>
        <w:tc>
          <w:tcPr>
            <w:tcW w:w="763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</w:pPr>
          </w:p>
        </w:tc>
        <w:tc>
          <w:tcPr>
            <w:tcW w:w="21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  <w:t>Primary analysis (Table 3)</w:t>
            </w:r>
          </w:p>
        </w:tc>
        <w:tc>
          <w:tcPr>
            <w:tcW w:w="219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  <w:t>Sensitivity analysis: only growing tumors</w:t>
            </w:r>
          </w:p>
        </w:tc>
        <w:tc>
          <w:tcPr>
            <w:tcW w:w="22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  <w:t>Sensitivity analysis: only tumors from patient 4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GO term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Proteins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Estimate (95% CI)</w:t>
            </w:r>
          </w:p>
        </w:tc>
        <w:tc>
          <w:tcPr>
            <w:tcW w:w="64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eastAsia="fi-FI"/>
              </w:rPr>
              <w:t>P</w:t>
            </w:r>
          </w:p>
        </w:tc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Estimate (95% CI)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/>
                <w:sz w:val="18"/>
                <w:szCs w:val="18"/>
                <w:lang w:eastAsia="fi-FI"/>
              </w:rPr>
              <w:t>P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fi-FI"/>
              </w:rPr>
              <w:t>Estimate (95% CI)</w:t>
            </w:r>
          </w:p>
        </w:tc>
        <w:tc>
          <w:tcPr>
            <w:tcW w:w="64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/>
                <w:sz w:val="18"/>
                <w:szCs w:val="18"/>
                <w:lang w:val="fi-FI" w:eastAsia="fi-FI"/>
              </w:rPr>
              <w:t>P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positive regulation of endothelial cell chemotaxis [GO:2001028]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5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0.66 (0.50 to 0.88)</w:t>
            </w:r>
          </w:p>
        </w:tc>
        <w:tc>
          <w:tcPr>
            <w:tcW w:w="641" w:type="dxa"/>
            <w:tcBorders>
              <w:top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0.005</w:t>
            </w:r>
          </w:p>
        </w:tc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0.74 (0.55 to 1.00)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0.057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0.58 (0.36 to 0.93)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0.029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endothelial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cell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migration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[GO:0043542]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0.69 (0.57 to 0.84)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0.67 (0.53 to 0.86)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0.77 (0.58 to 1.01)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0.062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regulation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of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angiogenesis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[GO:0045765]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9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0.72 (0.60 to 0.86)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0.71 (0.55 to 0.91)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0.79 (0.55 to 1.12)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0.185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endothelial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cell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</w:t>
            </w:r>
            <w:proofErr w:type="spellStart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proliferation</w:t>
            </w:r>
            <w:proofErr w:type="spellEnd"/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[GO:0001935]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0.75 (0.61 to 0.91)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0.004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0.77 (0.63 to 0.93)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0.82 (0.62 to 1.08)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0.154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positive regulation of angiogenesis [GO:0045766]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32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0.76 (0.67 to 0.87)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0.83 (0.72 to 0.97)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0.70 (0.54 to 0.90)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0.007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negative regulation of vascular associated smooth muscle cell proliferation [GO:1904706]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9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0.81 (0.70 to 0.93)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0.003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0.87 (0.73 to 1.02)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0.092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0.78 (0.61 to 0.98)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0.034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positive regulation of vascular associated smooth muscle cell proliferation [GO:1904707]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0.81 (0.66 to 1.00)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0.051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0.91 (0.75 to 1.09)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0.306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0.62 (0.39 to 1.01)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0.059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positive regulation of blood vessel endothelial cell migration [GO:0043536]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10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0.83 (0.73 to 0.96)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0.011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0.95 (0.80 to 1.12)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0.509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0.76 (0.58 to 0.99)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0.047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establishment of endothelial barrier [GO:0061028]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8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0.85 (0.77 to 0.94)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0.002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0.90 (0.79 to 1.02)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0.102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0.86 (0.75 to 0.99)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0.036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negative regulation of vascular endothelial growth factor receptor signaling pathway [GO:0030948]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1.32 (1.11 to 1.57)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0.002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1.36 (1.06 to 1.76)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1.31 (1.08 to 1.59)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0.008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negative regulation of vascular permeability [GO:0043116]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1.47 (1.26 to 1.71)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1.30 (1.05 to 1.61)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1.39 (1.15 to 1.69)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0.002</w:t>
            </w:r>
          </w:p>
        </w:tc>
      </w:tr>
      <w:tr w:rsidR="00EC75B9" w:rsidRPr="003823EE" w:rsidTr="00B44CF7">
        <w:trPr>
          <w:trHeight w:val="20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  <w:t>cell migration involved in sprouting angiogenesis [GO:0002042]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1.64 (1.33 to 2.01)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4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1.38 (1.06 to 1.80)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2.16 (1.76 to 2.65)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5B9" w:rsidRPr="003823EE" w:rsidRDefault="00EC75B9" w:rsidP="00EC75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</w:tbl>
    <w:p w:rsidR="003823EE" w:rsidRPr="003823EE" w:rsidRDefault="003823EE">
      <w:r w:rsidRPr="003823EE">
        <w:br w:type="page"/>
      </w:r>
    </w:p>
    <w:tbl>
      <w:tblPr>
        <w:tblpPr w:leftFromText="141" w:rightFromText="141" w:vertAnchor="page" w:horzAnchor="margin" w:tblpY="1542"/>
        <w:tblW w:w="133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1"/>
        <w:gridCol w:w="851"/>
        <w:gridCol w:w="1559"/>
        <w:gridCol w:w="641"/>
        <w:gridCol w:w="1701"/>
        <w:gridCol w:w="709"/>
        <w:gridCol w:w="1559"/>
        <w:gridCol w:w="641"/>
      </w:tblGrid>
      <w:tr w:rsidR="003823EE" w:rsidRPr="003823EE" w:rsidTr="003823EE">
        <w:trPr>
          <w:trHeight w:val="20"/>
        </w:trPr>
        <w:tc>
          <w:tcPr>
            <w:tcW w:w="13332" w:type="dxa"/>
            <w:gridSpan w:val="8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823EE" w:rsidRPr="003823EE" w:rsidRDefault="003823EE" w:rsidP="003823EE">
            <w:pPr>
              <w:spacing w:line="240" w:lineRule="auto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lastRenderedPageBreak/>
              <w:t xml:space="preserve">Supplementary Table 3. </w:t>
            </w:r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>Sensitivity analysis of the cellular metabolism-related</w:t>
            </w: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t xml:space="preserve"> </w:t>
            </w:r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Gene Ontology (GO) terms included in the main manuscript Table 4. The comparison of cutaneous </w:t>
            </w:r>
            <w:proofErr w:type="spellStart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>neurofibromas</w:t>
            </w:r>
            <w:proofErr w:type="spellEnd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 vs. the overlying skin is shown for growing tumors </w:t>
            </w:r>
            <w:proofErr w:type="gramStart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>only,</w:t>
            </w:r>
            <w:proofErr w:type="gramEnd"/>
            <w:r w:rsidRPr="003823EE">
              <w:rPr>
                <w:rFonts w:ascii="Calibri" w:eastAsia="Times New Roman" w:hAnsi="Calibri" w:cstheme="minorHAnsi"/>
                <w:bCs/>
                <w:sz w:val="18"/>
                <w:szCs w:val="18"/>
                <w:lang w:eastAsia="fi-FI"/>
              </w:rPr>
              <w:t xml:space="preserve"> and for tumors from patient 4 only. 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</w:pPr>
          </w:p>
        </w:tc>
        <w:tc>
          <w:tcPr>
            <w:tcW w:w="22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  <w:t>Primary analysis (Table 4)</w:t>
            </w:r>
          </w:p>
        </w:tc>
        <w:tc>
          <w:tcPr>
            <w:tcW w:w="24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  <w:t>Sensitivity analysis: only growing tumors</w:t>
            </w:r>
          </w:p>
        </w:tc>
        <w:tc>
          <w:tcPr>
            <w:tcW w:w="22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="Calibri"/>
                <w:b/>
                <w:bCs/>
                <w:iCs/>
                <w:sz w:val="18"/>
                <w:szCs w:val="18"/>
                <w:lang w:eastAsia="fi-FI"/>
              </w:rPr>
              <w:t>Sensitivity analysis: only tumors from patient 4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t>GO term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t>Proteins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t>Estimate (95% CI)</w:t>
            </w:r>
          </w:p>
        </w:tc>
        <w:tc>
          <w:tcPr>
            <w:tcW w:w="64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i/>
                <w:iCs/>
                <w:sz w:val="18"/>
                <w:szCs w:val="18"/>
                <w:lang w:eastAsia="fi-FI"/>
              </w:rPr>
              <w:t>P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t>Estimate (95% CI)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i/>
                <w:iCs/>
                <w:sz w:val="18"/>
                <w:szCs w:val="18"/>
                <w:lang w:eastAsia="fi-FI"/>
              </w:rPr>
              <w:t>P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sz w:val="18"/>
                <w:szCs w:val="18"/>
                <w:lang w:eastAsia="fi-FI"/>
              </w:rPr>
              <w:t>Estimate (95% CI)</w:t>
            </w:r>
          </w:p>
        </w:tc>
        <w:tc>
          <w:tcPr>
            <w:tcW w:w="641" w:type="dxa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b/>
                <w:bCs/>
                <w:i/>
                <w:iCs/>
                <w:sz w:val="18"/>
                <w:szCs w:val="18"/>
                <w:lang w:eastAsia="fi-FI"/>
              </w:rPr>
              <w:t>P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sphingolipid metabolic process [GO:0006665]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0.12 (0.05 to 0.28)</w:t>
            </w:r>
          </w:p>
        </w:tc>
        <w:tc>
          <w:tcPr>
            <w:tcW w:w="641" w:type="dxa"/>
            <w:tcBorders>
              <w:top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0.14 (0.05 to 0.46)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0.07 (0.01 to 0.4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0.005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nucleotide metabolic process [GO:0009117]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0.32 (0.18 to 0.57)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0.018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0.26 (0.1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to 0.63)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0.34 (0.1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to 1.16)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0.090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regulation of lipid metabolic process [GO:0019216]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0.39 (0.26 to 0.59)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0.46 (0.28 to 0.75)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0.29 (0.12 to 0.72)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0.009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release of cytochrome c from mitochondria [GO:0001836]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0.41 (0.31 to 0.54)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0.42 (0.28 to 0.62)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0.38 (0.21 to 0.67)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cellular response to glucagon stimulus [GO:0071377]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0.44 (0.31 to 0.63)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0.42 (0.23 to 0.75)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(0.33 to 0.74)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one-carbon metabolic process [GO:0006730]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0.47 (0.36 to 0.62)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0.63 (0.5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to 0.8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0.45 (0.29 to 0.7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mitochondrial electron transport, cytochrome c to oxygen [GO:0006123]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0.57 (0.50 to 0.64)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0.64 (0.56 to 0.73)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0.53 (0.45 to 0.61)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response to insulin [GO:0032868]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0.63 (0.56 to 0.70)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0.67 (0.59 to 0.76)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0.57 (0.47 to 0.7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mitochondrial calcium ion transmembrane transport [GO:0006851]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0.64 (0.54 to 0.76)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0.71 (0.57 to 0.87)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0.65 (0.55 to 0.77)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phosphate-containing compound metabolic process [GO:0006796]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0.63 (0.55 to 0.72)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0.74 (0.61 to 0.91)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0.48 (0.38 to 0.6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triglyceride metabolic process [GO:0006641]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0.63 (0.50 to 0.80)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0.012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0.62 (0.44 to 0.86)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0.59 (0.36 to 0.97)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0.040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 xml:space="preserve">mitochondrial electron transport, </w:t>
            </w:r>
            <w:proofErr w:type="spellStart"/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ubiquinol</w:t>
            </w:r>
            <w:proofErr w:type="spellEnd"/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 xml:space="preserve"> to cytochrome c [GO:0006122]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0.64 (0.55 to 0.74)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0.77 (0.69 to 0.86)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0.57 (0.46 to 0.69)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mitochondrial respiratory chain complex IV [GO:0005751]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0.64 (0.54 to 0.75)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0.75 (0.66 to 0.86)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0.66 (0.56 to 0.79)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retinoid metabolic process [GO:0001523]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23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0.64 (0.51 to 0.80)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0.010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0.54 (0.38 to 0.77)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0.88 (0.64 to 1.2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0.407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mitochondrial respiratory chain complex III [GO:0005750]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0.64 (0.55 to 0.74)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0.79 (0.7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to 0.89)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0.58 (0.46 to 0.72)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mitochondrial proton-transporting ATP synthase complex [GO:0005753]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0.67 (0.61 to 0.74)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0.78 (0.69 to 0.87)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0.64 (0.56 to 0.74)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regulation of insulin secretion [GO:0050796]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0.68 (0.56 to 0.83)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0.017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0.72 (0.57 to 0.92)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0.63 (0.43 to 0.91)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0.017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2-oxoglutarate metabolic process [GO:0006103]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0.69 (0.63 to 0.75)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0.78 (0.7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to 0.88)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0.58 (0.5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to 0.66)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mitochondrial ATP synthesis coupled proton transport [GO:0042776]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0.69 (0.63 to 0.76)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(0.71 to 0.9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0.67 (0.58 to 0.76)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mitochondrial respiratory chain complex I [GO:0005747]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0.70 (0.64 to 0.77)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0.75 (0.67 to 0.85)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0.76 (0.64 to 0.9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0.002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mitochondrial electron transport, NADH to ubiquinone [GO:0006120]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16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0.70 (0.65 to 0.77)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0.76 (0.68 to 0.85)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0.75 (0.64 to 0.87)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oxaloacetate metabolic process [GO:0006107]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0.71 (0.64 to 0.79)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0.82 (0.71 to 0.93)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(0.5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to 0.71)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lipid metabolic process [GO:0006629]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28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0.74 (0.63 to 0.86)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0.018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0.78 (0.64 to 0.96)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0.021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0.71 (0.51 to 0.99)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0.043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ATP metabolic process [GO:0046034]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0.74 (0.67 to 0.82)</w:t>
            </w:r>
          </w:p>
        </w:tc>
        <w:tc>
          <w:tcPr>
            <w:tcW w:w="641" w:type="dxa"/>
            <w:tcBorders>
              <w:top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0.81 (0.71 to 0.92)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0.66 (0.56 to 0.78)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glycosphingolipid metabolic process [GO:0006687]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0.74 (0.67 to 0.82)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0.79 (0.71 to 0.89)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</w:t>
            </w:r>
            <w:r w:rsidR="005832B3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(0.48 to 0.74)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glutathione metabolic process [GO:0006749]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22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0.75 (0.67 to 0.85)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0.77 (0.64 to 0.91)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0.76 (0.67 to 0.85)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generation of precursor metabolites and energy [GO:0006091]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0.76 (0.68 to 0.85)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0.89 (0.78 to 1.02)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0.107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0.71 (0.63 to 0.81)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carbohydrate metabolic process [GO:0005975]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37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0.76 (0.68 to 0.85)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0.84 (0.73 to 0.96)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0.61 (0.47 to 0.78)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RNA metabolic process [GO:0016070]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22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0.77 (0.73 to 0.82)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(0.74 to 0.87)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0.71 (0.66 to 0.78)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regulation of cellular amino acid metabolic process [GO:0006521]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38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0.82 (0.77 to 0.88)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0.93 (0.88 to 0.98)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0.67 (0.58 to 0.78)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histone mRNA metabolic process [GO:0008334]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0.84 (0.77 to 0.90)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0.88 (0.8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to 0.96)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0.68 (0.59 to 0.78)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glycogen metabolic process [GO:0005977]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1.34 (1.18 to 1.53)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0.002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1.4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 xml:space="preserve"> (1.16 to 1.7</w:t>
            </w:r>
            <w:r w:rsidR="00036A3A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1.25 (1.03 to 1.5</w:t>
            </w:r>
            <w:r w:rsidR="005832B3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</w:t>
            </w: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0.025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proofErr w:type="spellStart"/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hyaluronan</w:t>
            </w:r>
            <w:proofErr w:type="spellEnd"/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 xml:space="preserve"> metabolic process [GO:0030212]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1.47 (1.27 to 1.70)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1.48 (1.27 to 1.71)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1.93 (1.59 to 2.34)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&lt;0.001</w:t>
            </w:r>
          </w:p>
        </w:tc>
      </w:tr>
      <w:tr w:rsidR="003823EE" w:rsidRPr="003823EE" w:rsidTr="00B44CF7">
        <w:trPr>
          <w:trHeight w:val="20"/>
        </w:trPr>
        <w:tc>
          <w:tcPr>
            <w:tcW w:w="5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aspartate family amino acid metabolic process [GO:0009066]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3.48 (1.82 to 6.62)</w:t>
            </w:r>
          </w:p>
        </w:tc>
        <w:tc>
          <w:tcPr>
            <w:tcW w:w="641" w:type="dxa"/>
            <w:tcBorders>
              <w:top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theme="minorHAnsi"/>
                <w:sz w:val="18"/>
                <w:szCs w:val="18"/>
                <w:lang w:eastAsia="fi-FI"/>
              </w:rPr>
              <w:t>0.019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4.93 (1.92 to 12.67)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0.001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1.67 (0.61 to 4.55)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23EE" w:rsidRPr="003823EE" w:rsidRDefault="003823EE" w:rsidP="003823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</w:pPr>
            <w:r w:rsidRPr="003823EE">
              <w:rPr>
                <w:rFonts w:ascii="Calibri" w:eastAsia="Times New Roman" w:hAnsi="Calibri" w:cs="Calibri"/>
                <w:sz w:val="18"/>
                <w:szCs w:val="18"/>
                <w:lang w:val="fi-FI" w:eastAsia="fi-FI"/>
              </w:rPr>
              <w:t>0.318</w:t>
            </w:r>
          </w:p>
        </w:tc>
      </w:tr>
    </w:tbl>
    <w:p w:rsidR="00652CC5" w:rsidRPr="003823EE" w:rsidRDefault="00780601" w:rsidP="003823EE"/>
    <w:sectPr w:rsidR="00652CC5" w:rsidRPr="003823EE" w:rsidSect="003823EE">
      <w:headerReference w:type="default" r:id="rId6"/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601" w:rsidRDefault="00780601" w:rsidP="00EC75B9">
      <w:pPr>
        <w:spacing w:after="0" w:line="240" w:lineRule="auto"/>
      </w:pPr>
      <w:r>
        <w:separator/>
      </w:r>
    </w:p>
  </w:endnote>
  <w:endnote w:type="continuationSeparator" w:id="0">
    <w:p w:rsidR="00780601" w:rsidRDefault="00780601" w:rsidP="00EC7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601" w:rsidRDefault="00780601" w:rsidP="00EC75B9">
      <w:pPr>
        <w:spacing w:after="0" w:line="240" w:lineRule="auto"/>
      </w:pPr>
      <w:r>
        <w:separator/>
      </w:r>
    </w:p>
  </w:footnote>
  <w:footnote w:type="continuationSeparator" w:id="0">
    <w:p w:rsidR="00780601" w:rsidRDefault="00780601" w:rsidP="00EC7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5B9" w:rsidRDefault="00EC75B9" w:rsidP="00EC75B9">
    <w:pPr>
      <w:pStyle w:val="Header"/>
      <w:jc w:val="right"/>
    </w:pPr>
    <w:r>
      <w:t xml:space="preserve">Supplementary Tables for Kallionpää et al.: Mass Spectrometry of cutaneous </w:t>
    </w:r>
    <w:proofErr w:type="spellStart"/>
    <w:r>
      <w:t>neurofibromas</w:t>
    </w:r>
    <w:proofErr w:type="spellEnd"/>
  </w:p>
  <w:p w:rsidR="00EC75B9" w:rsidRDefault="00EC75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3EE"/>
    <w:rsid w:val="00036A3A"/>
    <w:rsid w:val="0008513C"/>
    <w:rsid w:val="002648B3"/>
    <w:rsid w:val="0035256D"/>
    <w:rsid w:val="0036698F"/>
    <w:rsid w:val="003823EE"/>
    <w:rsid w:val="005554B7"/>
    <w:rsid w:val="005832B3"/>
    <w:rsid w:val="006F5F4C"/>
    <w:rsid w:val="00715247"/>
    <w:rsid w:val="00725518"/>
    <w:rsid w:val="00736E06"/>
    <w:rsid w:val="00780601"/>
    <w:rsid w:val="0081085E"/>
    <w:rsid w:val="0092439A"/>
    <w:rsid w:val="00933CFB"/>
    <w:rsid w:val="00951083"/>
    <w:rsid w:val="00B44CF7"/>
    <w:rsid w:val="00BD6E04"/>
    <w:rsid w:val="00EC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15578-3D2A-4C83-9F63-67612E3D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3EE"/>
  </w:style>
  <w:style w:type="paragraph" w:styleId="Heading1">
    <w:name w:val="heading 1"/>
    <w:basedOn w:val="Normal"/>
    <w:next w:val="Normal"/>
    <w:link w:val="Heading1Char"/>
    <w:uiPriority w:val="9"/>
    <w:qFormat/>
    <w:rsid w:val="00736E06"/>
    <w:pPr>
      <w:keepNext/>
      <w:keepLines/>
      <w:spacing w:before="240" w:after="240" w:line="360" w:lineRule="auto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E06"/>
    <w:rPr>
      <w:rFonts w:asciiTheme="majorHAnsi" w:eastAsiaTheme="majorEastAsia" w:hAnsiTheme="majorHAnsi" w:cstheme="majorBidi"/>
      <w:b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C75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5B9"/>
  </w:style>
  <w:style w:type="paragraph" w:styleId="Footer">
    <w:name w:val="footer"/>
    <w:basedOn w:val="Normal"/>
    <w:link w:val="FooterChar"/>
    <w:uiPriority w:val="99"/>
    <w:unhideWhenUsed/>
    <w:rsid w:val="00EC75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4</Pages>
  <Words>1050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Turku</Company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Roope Kallionpää</dc:creator>
  <cp:keywords/>
  <dc:description/>
  <cp:lastModifiedBy>Roope Kallionpää</cp:lastModifiedBy>
  <cp:revision>8</cp:revision>
  <dcterms:created xsi:type="dcterms:W3CDTF">2024-12-09T11:40:00Z</dcterms:created>
  <dcterms:modified xsi:type="dcterms:W3CDTF">2025-03-05T14:32:00Z</dcterms:modified>
</cp:coreProperties>
</file>