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38DC" w:rsidRPr="00BE0BAF" w:rsidRDefault="000438DC" w:rsidP="000438DC">
      <w:pPr>
        <w:jc w:val="both"/>
        <w:rPr>
          <w:rFonts w:ascii="Times New Roman Bold" w:hAnsi="Times New Roman Bold" w:cs="Times New Roman"/>
          <w:b/>
          <w:sz w:val="28"/>
          <w:szCs w:val="24"/>
        </w:rPr>
      </w:pPr>
      <w:r w:rsidRPr="00BE0BAF">
        <w:rPr>
          <w:rFonts w:ascii="Times New Roman Bold" w:hAnsi="Times New Roman Bold" w:cs="Times New Roman"/>
          <w:b/>
          <w:sz w:val="28"/>
          <w:szCs w:val="24"/>
        </w:rPr>
        <w:t>Supplementary Information</w:t>
      </w:r>
    </w:p>
    <w:p w:rsidR="000438DC" w:rsidRPr="005638F1" w:rsidRDefault="00FC3A10" w:rsidP="000438DC">
      <w:pPr>
        <w:jc w:val="both"/>
        <w:rPr>
          <w:rFonts w:ascii="Times New Roman Bold" w:hAnsi="Times New Roman Bold" w:cs="Times New Roman"/>
          <w:b/>
          <w:caps/>
          <w:sz w:val="24"/>
          <w:szCs w:val="24"/>
        </w:rPr>
      </w:pPr>
      <w:r w:rsidRPr="00FC3A10">
        <w:rPr>
          <w:rFonts w:ascii="Times New Roman Bold" w:hAnsi="Times New Roman Bold" w:cs="Times New Roman"/>
          <w:b/>
          <w:caps/>
          <w:sz w:val="24"/>
          <w:szCs w:val="24"/>
        </w:rPr>
        <w:drawing>
          <wp:inline distT="0" distB="0" distL="0" distR="0" wp14:anchorId="6F6DD98C" wp14:editId="7FD89F13">
            <wp:extent cx="5943600" cy="5640705"/>
            <wp:effectExtent l="0" t="0" r="0" b="0"/>
            <wp:docPr id="12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1BD164C0-0D2D-4178-914D-A2BA085BC6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1BD164C0-0D2D-4178-914D-A2BA085BC66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66" t="3876" r="9655" b="6667"/>
                    <a:stretch/>
                  </pic:blipFill>
                  <pic:spPr>
                    <a:xfrm>
                      <a:off x="0" y="0"/>
                      <a:ext cx="5943600" cy="564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8DC" w:rsidRDefault="000438DC" w:rsidP="002F2FC4">
      <w:pPr>
        <w:spacing w:line="360" w:lineRule="auto"/>
        <w:jc w:val="both"/>
      </w:pPr>
      <w:r w:rsidRPr="00D8005E">
        <w:rPr>
          <w:rFonts w:ascii="Times New Roman" w:hAnsi="Times New Roman" w:cs="Times New Roman"/>
          <w:b/>
          <w:sz w:val="24"/>
          <w:szCs w:val="24"/>
        </w:rPr>
        <w:t>Supplementary Fig</w:t>
      </w:r>
      <w:r w:rsidR="00C8263E">
        <w:rPr>
          <w:rFonts w:ascii="Times New Roman" w:hAnsi="Times New Roman" w:cs="Times New Roman"/>
          <w:b/>
          <w:sz w:val="24"/>
          <w:szCs w:val="24"/>
        </w:rPr>
        <w:t>.</w:t>
      </w:r>
      <w:r w:rsidRPr="00D8005E">
        <w:rPr>
          <w:rFonts w:ascii="Times New Roman" w:hAnsi="Times New Roman" w:cs="Times New Roman"/>
          <w:b/>
          <w:sz w:val="24"/>
          <w:szCs w:val="24"/>
        </w:rPr>
        <w:t xml:space="preserve"> S1</w:t>
      </w:r>
      <w:r>
        <w:rPr>
          <w:rFonts w:ascii="Times New Roman" w:hAnsi="Times New Roman" w:cs="Times New Roman"/>
          <w:sz w:val="24"/>
          <w:szCs w:val="24"/>
        </w:rPr>
        <w:t>. Dot plots for ALPPL2</w:t>
      </w:r>
      <w:r w:rsidRPr="00D8005E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and THBS2</w:t>
      </w:r>
      <w:r w:rsidRPr="00D8005E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exosome concentrations</w:t>
      </w:r>
      <w:r w:rsidR="00B92761">
        <w:rPr>
          <w:rFonts w:ascii="Times New Roman" w:hAnsi="Times New Roman" w:cs="Times New Roman"/>
          <w:sz w:val="24"/>
          <w:szCs w:val="24"/>
        </w:rPr>
        <w:t xml:space="preserve"> and exosomes captured (IM) </w:t>
      </w:r>
      <w:r>
        <w:rPr>
          <w:rFonts w:ascii="Times New Roman" w:hAnsi="Times New Roman" w:cs="Times New Roman"/>
          <w:sz w:val="24"/>
          <w:szCs w:val="24"/>
        </w:rPr>
        <w:t xml:space="preserve">in different diagnostic cohorts for individual tetraspanin captures: A) CD63 capture, B) CD81 capture, and C) CD9 capture.   </w:t>
      </w:r>
      <w:bookmarkStart w:id="0" w:name="_GoBack"/>
      <w:bookmarkEnd w:id="0"/>
    </w:p>
    <w:p w:rsidR="002A3D1C" w:rsidRDefault="002A3D1C">
      <w:r>
        <w:br w:type="page"/>
      </w:r>
    </w:p>
    <w:p w:rsidR="00CC70CD" w:rsidRDefault="00CC70CD" w:rsidP="000438D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477DFAFF">
            <wp:extent cx="5300345" cy="266550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465" cy="267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70CD" w:rsidRDefault="00CC70CD" w:rsidP="00CC70CD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9A608D" w:rsidRDefault="00CC70CD" w:rsidP="00CC70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005E">
        <w:rPr>
          <w:rFonts w:ascii="Times New Roman" w:hAnsi="Times New Roman" w:cs="Times New Roman"/>
          <w:b/>
          <w:sz w:val="24"/>
          <w:szCs w:val="24"/>
        </w:rPr>
        <w:t>Supplementary 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D8005E"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Dot plots for ALPPL2</w:t>
      </w:r>
      <w:r w:rsidRPr="00D8005E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>and THBS2</w:t>
      </w:r>
      <w:r w:rsidRPr="00D8005E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(B) </w:t>
      </w:r>
      <w:r>
        <w:rPr>
          <w:rFonts w:ascii="Times New Roman" w:hAnsi="Times New Roman" w:cs="Times New Roman"/>
          <w:sz w:val="24"/>
          <w:szCs w:val="24"/>
        </w:rPr>
        <w:t xml:space="preserve">exosome concentrations in </w:t>
      </w:r>
      <w:r>
        <w:rPr>
          <w:rFonts w:ascii="Times New Roman" w:hAnsi="Times New Roman" w:cs="Times New Roman"/>
          <w:sz w:val="24"/>
          <w:szCs w:val="24"/>
        </w:rPr>
        <w:t xml:space="preserve">patients with Stage I, II, III, or IV pancreatic ductal adenocarcinoma (PDAC).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A608D" w:rsidRDefault="009A608D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9A608D" w:rsidRDefault="009A608D" w:rsidP="00CC70CD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4F7DEEAA">
            <wp:extent cx="5916768" cy="34321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649" cy="34402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608D" w:rsidRDefault="009A608D" w:rsidP="009A60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005E">
        <w:rPr>
          <w:rFonts w:ascii="Times New Roman" w:hAnsi="Times New Roman" w:cs="Times New Roman"/>
          <w:b/>
          <w:sz w:val="24"/>
          <w:szCs w:val="24"/>
        </w:rPr>
        <w:t>Supplementary 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D8005E"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D5E91" w:rsidRPr="001D5E91">
        <w:rPr>
          <w:rFonts w:ascii="Times New Roman" w:hAnsi="Times New Roman" w:cs="Times New Roman"/>
          <w:sz w:val="24"/>
          <w:szCs w:val="24"/>
        </w:rPr>
        <w:t xml:space="preserve">Performance of </w:t>
      </w:r>
      <w:r w:rsidR="001D5E91">
        <w:rPr>
          <w:rFonts w:ascii="Times New Roman" w:hAnsi="Times New Roman" w:cs="Times New Roman"/>
          <w:sz w:val="24"/>
          <w:szCs w:val="24"/>
        </w:rPr>
        <w:t xml:space="preserve">dual </w:t>
      </w:r>
      <w:r w:rsidR="001D5E91" w:rsidRPr="001D5E91">
        <w:rPr>
          <w:rFonts w:ascii="Times New Roman" w:hAnsi="Times New Roman" w:cs="Times New Roman"/>
          <w:sz w:val="24"/>
          <w:szCs w:val="24"/>
        </w:rPr>
        <w:t>exosomal ALPPL2 and THBS2 as early detection biomarkers for PDAC. Concentrations of ALPPL2</w:t>
      </w:r>
      <w:r w:rsidR="001D5E91">
        <w:rPr>
          <w:rFonts w:ascii="Times New Roman" w:hAnsi="Times New Roman" w:cs="Times New Roman"/>
          <w:sz w:val="24"/>
          <w:szCs w:val="24"/>
        </w:rPr>
        <w:t>/</w:t>
      </w:r>
      <w:r w:rsidR="001D5E91" w:rsidRPr="001D5E91">
        <w:rPr>
          <w:rFonts w:ascii="Times New Roman" w:hAnsi="Times New Roman" w:cs="Times New Roman"/>
          <w:sz w:val="24"/>
          <w:szCs w:val="24"/>
        </w:rPr>
        <w:t>THBS2</w:t>
      </w:r>
      <w:r w:rsidR="001D5E91">
        <w:rPr>
          <w:rFonts w:ascii="Times New Roman" w:hAnsi="Times New Roman" w:cs="Times New Roman"/>
          <w:sz w:val="24"/>
          <w:szCs w:val="24"/>
        </w:rPr>
        <w:t xml:space="preserve"> dual positive exosomes</w:t>
      </w:r>
      <w:r w:rsidR="001D5E91" w:rsidRPr="001D5E91">
        <w:rPr>
          <w:rFonts w:ascii="Times New Roman" w:hAnsi="Times New Roman" w:cs="Times New Roman"/>
          <w:sz w:val="24"/>
          <w:szCs w:val="24"/>
        </w:rPr>
        <w:t xml:space="preserve"> are plotted for individual subjects by groups as listed in Table 1. </w:t>
      </w:r>
      <w:r w:rsidR="001D5E91">
        <w:rPr>
          <w:rFonts w:ascii="Times New Roman" w:hAnsi="Times New Roman" w:cs="Times New Roman"/>
          <w:sz w:val="24"/>
          <w:szCs w:val="24"/>
        </w:rPr>
        <w:t xml:space="preserve">A) </w:t>
      </w:r>
      <w:r w:rsidR="001D5E91" w:rsidRPr="001D5E91">
        <w:rPr>
          <w:rFonts w:ascii="Times New Roman" w:hAnsi="Times New Roman" w:cs="Times New Roman"/>
          <w:sz w:val="24"/>
          <w:szCs w:val="24"/>
        </w:rPr>
        <w:t xml:space="preserve">Concentrations </w:t>
      </w:r>
      <w:r w:rsidR="001D5E91">
        <w:rPr>
          <w:rFonts w:ascii="Times New Roman" w:hAnsi="Times New Roman" w:cs="Times New Roman"/>
          <w:sz w:val="24"/>
          <w:szCs w:val="24"/>
        </w:rPr>
        <w:t>of</w:t>
      </w:r>
      <w:r w:rsidR="001D5E91" w:rsidRPr="001D5E91">
        <w:rPr>
          <w:rFonts w:ascii="Times New Roman" w:hAnsi="Times New Roman" w:cs="Times New Roman"/>
          <w:sz w:val="24"/>
          <w:szCs w:val="24"/>
        </w:rPr>
        <w:t xml:space="preserve"> </w:t>
      </w:r>
      <w:r w:rsidR="001D5E91">
        <w:rPr>
          <w:rFonts w:ascii="Times New Roman" w:hAnsi="Times New Roman" w:cs="Times New Roman"/>
          <w:sz w:val="24"/>
          <w:szCs w:val="24"/>
        </w:rPr>
        <w:t xml:space="preserve">dual marker positive exosomes as </w:t>
      </w:r>
      <w:r w:rsidR="001D5E91" w:rsidRPr="001D5E91">
        <w:rPr>
          <w:rFonts w:ascii="Times New Roman" w:hAnsi="Times New Roman" w:cs="Times New Roman"/>
          <w:sz w:val="24"/>
          <w:szCs w:val="24"/>
        </w:rPr>
        <w:t xml:space="preserve">the average of three tetraspanin captures. </w:t>
      </w:r>
      <w:r w:rsidR="001D5E91">
        <w:rPr>
          <w:rFonts w:ascii="Times New Roman" w:hAnsi="Times New Roman" w:cs="Times New Roman"/>
          <w:sz w:val="24"/>
          <w:szCs w:val="24"/>
        </w:rPr>
        <w:t xml:space="preserve">B) </w:t>
      </w:r>
      <w:r w:rsidR="001D5E91" w:rsidRPr="001D5E91">
        <w:rPr>
          <w:rFonts w:ascii="Times New Roman" w:hAnsi="Times New Roman" w:cs="Times New Roman"/>
          <w:sz w:val="24"/>
          <w:szCs w:val="24"/>
        </w:rPr>
        <w:t>ROC analysis compar</w:t>
      </w:r>
      <w:r w:rsidR="001D5E91">
        <w:rPr>
          <w:rFonts w:ascii="Times New Roman" w:hAnsi="Times New Roman" w:cs="Times New Roman"/>
          <w:sz w:val="24"/>
          <w:szCs w:val="24"/>
        </w:rPr>
        <w:t>ing</w:t>
      </w:r>
      <w:r w:rsidR="001D5E91" w:rsidRPr="001D5E91">
        <w:rPr>
          <w:rFonts w:ascii="Times New Roman" w:hAnsi="Times New Roman" w:cs="Times New Roman"/>
          <w:sz w:val="24"/>
          <w:szCs w:val="24"/>
        </w:rPr>
        <w:t xml:space="preserve"> the performance of </w:t>
      </w:r>
      <w:r w:rsidR="001D5E91">
        <w:rPr>
          <w:rFonts w:ascii="Times New Roman" w:hAnsi="Times New Roman" w:cs="Times New Roman"/>
          <w:sz w:val="24"/>
          <w:szCs w:val="24"/>
        </w:rPr>
        <w:t xml:space="preserve">dual </w:t>
      </w:r>
      <w:r w:rsidR="001D5E91" w:rsidRPr="001D5E91">
        <w:rPr>
          <w:rFonts w:ascii="Times New Roman" w:hAnsi="Times New Roman" w:cs="Times New Roman"/>
          <w:sz w:val="24"/>
          <w:szCs w:val="24"/>
        </w:rPr>
        <w:t>exosomal ALPPL2</w:t>
      </w:r>
      <w:r w:rsidR="001D5E91">
        <w:rPr>
          <w:rFonts w:ascii="Times New Roman" w:hAnsi="Times New Roman" w:cs="Times New Roman"/>
          <w:sz w:val="24"/>
          <w:szCs w:val="24"/>
        </w:rPr>
        <w:t>/</w:t>
      </w:r>
      <w:r w:rsidR="001D5E91" w:rsidRPr="001D5E91">
        <w:rPr>
          <w:rFonts w:ascii="Times New Roman" w:hAnsi="Times New Roman" w:cs="Times New Roman"/>
          <w:sz w:val="24"/>
          <w:szCs w:val="24"/>
        </w:rPr>
        <w:t xml:space="preserve">THBS2 </w:t>
      </w:r>
      <w:r w:rsidR="001D5E91">
        <w:rPr>
          <w:rFonts w:ascii="Times New Roman" w:hAnsi="Times New Roman" w:cs="Times New Roman"/>
          <w:sz w:val="24"/>
          <w:szCs w:val="24"/>
        </w:rPr>
        <w:t xml:space="preserve">biomarkers </w:t>
      </w:r>
      <w:r w:rsidR="001D5E91" w:rsidRPr="001D5E91">
        <w:rPr>
          <w:rFonts w:ascii="Times New Roman" w:hAnsi="Times New Roman" w:cs="Times New Roman"/>
          <w:sz w:val="24"/>
          <w:szCs w:val="24"/>
        </w:rPr>
        <w:t xml:space="preserve">in discriminating all stages of PDAC from healthy control (HC) and non-cancerous conditions (NCC), early stage (Stage I and II) PDAC from HC and NCC, NCC from HC, and early stage PDAC from NCC. </w:t>
      </w:r>
      <w:r w:rsidR="001D5E91">
        <w:rPr>
          <w:rFonts w:ascii="Times New Roman" w:hAnsi="Times New Roman" w:cs="Times New Roman"/>
          <w:sz w:val="24"/>
          <w:szCs w:val="24"/>
        </w:rPr>
        <w:t>C, D, and E)</w:t>
      </w:r>
      <w:r w:rsidR="001D5E91" w:rsidRPr="001D5E91">
        <w:rPr>
          <w:rFonts w:ascii="Times New Roman" w:hAnsi="Times New Roman" w:cs="Times New Roman"/>
          <w:sz w:val="24"/>
          <w:szCs w:val="24"/>
        </w:rPr>
        <w:t xml:space="preserve"> </w:t>
      </w:r>
      <w:r w:rsidR="001D5E91" w:rsidRPr="001D5E91">
        <w:rPr>
          <w:rFonts w:ascii="Times New Roman" w:hAnsi="Times New Roman" w:cs="Times New Roman"/>
          <w:sz w:val="24"/>
          <w:szCs w:val="24"/>
        </w:rPr>
        <w:t xml:space="preserve">Concentrations </w:t>
      </w:r>
      <w:r w:rsidR="001D5E91">
        <w:rPr>
          <w:rFonts w:ascii="Times New Roman" w:hAnsi="Times New Roman" w:cs="Times New Roman"/>
          <w:sz w:val="24"/>
          <w:szCs w:val="24"/>
        </w:rPr>
        <w:t>of</w:t>
      </w:r>
      <w:r w:rsidR="001D5E91" w:rsidRPr="001D5E91">
        <w:rPr>
          <w:rFonts w:ascii="Times New Roman" w:hAnsi="Times New Roman" w:cs="Times New Roman"/>
          <w:sz w:val="24"/>
          <w:szCs w:val="24"/>
        </w:rPr>
        <w:t xml:space="preserve"> </w:t>
      </w:r>
      <w:r w:rsidR="001D5E91">
        <w:rPr>
          <w:rFonts w:ascii="Times New Roman" w:hAnsi="Times New Roman" w:cs="Times New Roman"/>
          <w:sz w:val="24"/>
          <w:szCs w:val="24"/>
        </w:rPr>
        <w:t xml:space="preserve">dual </w:t>
      </w:r>
      <w:r w:rsidR="001D5E91">
        <w:rPr>
          <w:rFonts w:ascii="Times New Roman" w:hAnsi="Times New Roman" w:cs="Times New Roman"/>
          <w:sz w:val="24"/>
          <w:szCs w:val="24"/>
        </w:rPr>
        <w:t xml:space="preserve">marker positive exosomes as </w:t>
      </w:r>
      <w:r w:rsidR="001D5E91">
        <w:rPr>
          <w:rFonts w:ascii="Times New Roman" w:hAnsi="Times New Roman" w:cs="Times New Roman"/>
          <w:sz w:val="24"/>
          <w:szCs w:val="24"/>
        </w:rPr>
        <w:t>individual</w:t>
      </w:r>
      <w:r w:rsidR="001D5E91" w:rsidRPr="001D5E91">
        <w:rPr>
          <w:rFonts w:ascii="Times New Roman" w:hAnsi="Times New Roman" w:cs="Times New Roman"/>
          <w:sz w:val="24"/>
          <w:szCs w:val="24"/>
        </w:rPr>
        <w:t xml:space="preserve"> tetraspanin captures.</w:t>
      </w:r>
      <w:r w:rsidR="001D5E91">
        <w:rPr>
          <w:rFonts w:ascii="Times New Roman" w:hAnsi="Times New Roman" w:cs="Times New Roman"/>
          <w:sz w:val="24"/>
          <w:szCs w:val="24"/>
        </w:rPr>
        <w:t xml:space="preserve"> </w:t>
      </w:r>
      <w:r w:rsidR="001D5E91" w:rsidRPr="001D5E91">
        <w:rPr>
          <w:rFonts w:ascii="Times New Roman" w:hAnsi="Times New Roman" w:cs="Times New Roman"/>
          <w:sz w:val="24"/>
          <w:szCs w:val="24"/>
        </w:rPr>
        <w:t xml:space="preserve"> </w:t>
      </w:r>
      <w:r w:rsidR="001D5E91">
        <w:rPr>
          <w:rFonts w:ascii="Times New Roman" w:hAnsi="Times New Roman" w:cs="Times New Roman"/>
          <w:sz w:val="24"/>
          <w:szCs w:val="24"/>
        </w:rPr>
        <w:t>*</w:t>
      </w:r>
      <w:r w:rsidR="001D5E91" w:rsidRPr="001D5E91">
        <w:rPr>
          <w:rFonts w:ascii="Times New Roman" w:hAnsi="Times New Roman" w:cs="Times New Roman"/>
          <w:sz w:val="24"/>
          <w:szCs w:val="24"/>
        </w:rPr>
        <w:t xml:space="preserve">***P &lt; 0.0001. </w:t>
      </w:r>
      <w:r w:rsidR="001D5E91" w:rsidRPr="001D5E91">
        <w:rPr>
          <w:rFonts w:ascii="Times New Roman" w:hAnsi="Times New Roman" w:cs="Times New Roman"/>
          <w:sz w:val="24"/>
          <w:szCs w:val="24"/>
        </w:rPr>
        <w:t>***P &lt; 0.001.</w:t>
      </w:r>
      <w:r w:rsidR="001D5E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17938" w:rsidRDefault="00D1793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D17938" w:rsidRDefault="00D17938" w:rsidP="00CC70CD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1DC6C980">
            <wp:extent cx="5910868" cy="34105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050" cy="3419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17938" w:rsidRDefault="00D17938" w:rsidP="00D179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005E">
        <w:rPr>
          <w:rFonts w:ascii="Times New Roman" w:hAnsi="Times New Roman" w:cs="Times New Roman"/>
          <w:b/>
          <w:sz w:val="24"/>
          <w:szCs w:val="24"/>
        </w:rPr>
        <w:t>Supplementary 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D8005E"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D5E91">
        <w:rPr>
          <w:rFonts w:ascii="Times New Roman" w:hAnsi="Times New Roman" w:cs="Times New Roman"/>
          <w:sz w:val="24"/>
          <w:szCs w:val="24"/>
        </w:rPr>
        <w:t>Performance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D5E91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serum</w:t>
      </w:r>
      <w:r w:rsidRPr="001D5E91">
        <w:rPr>
          <w:rFonts w:ascii="Times New Roman" w:hAnsi="Times New Roman" w:cs="Times New Roman"/>
          <w:sz w:val="24"/>
          <w:szCs w:val="24"/>
        </w:rPr>
        <w:t xml:space="preserve"> ALPPL2 and THBS2 </w:t>
      </w:r>
      <w:r>
        <w:rPr>
          <w:rFonts w:ascii="Times New Roman" w:hAnsi="Times New Roman" w:cs="Times New Roman"/>
          <w:sz w:val="24"/>
          <w:szCs w:val="24"/>
        </w:rPr>
        <w:t xml:space="preserve">measured by ELISA </w:t>
      </w:r>
      <w:r w:rsidRPr="001D5E91">
        <w:rPr>
          <w:rFonts w:ascii="Times New Roman" w:hAnsi="Times New Roman" w:cs="Times New Roman"/>
          <w:sz w:val="24"/>
          <w:szCs w:val="24"/>
        </w:rPr>
        <w:t>as early detection biomarkers for PDAC. Concentrations of ALPPL2</w:t>
      </w:r>
      <w:r>
        <w:rPr>
          <w:rFonts w:ascii="Times New Roman" w:hAnsi="Times New Roman" w:cs="Times New Roman"/>
          <w:sz w:val="24"/>
          <w:szCs w:val="24"/>
        </w:rPr>
        <w:t xml:space="preserve"> (A) and </w:t>
      </w:r>
      <w:r w:rsidRPr="001D5E91">
        <w:rPr>
          <w:rFonts w:ascii="Times New Roman" w:hAnsi="Times New Roman" w:cs="Times New Roman"/>
          <w:sz w:val="24"/>
          <w:szCs w:val="24"/>
        </w:rPr>
        <w:t>THBS2</w:t>
      </w:r>
      <w:r>
        <w:rPr>
          <w:rFonts w:ascii="Times New Roman" w:hAnsi="Times New Roman" w:cs="Times New Roman"/>
          <w:sz w:val="24"/>
          <w:szCs w:val="24"/>
        </w:rPr>
        <w:t xml:space="preserve"> (B)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serum samples </w:t>
      </w:r>
      <w:r w:rsidRPr="001D5E91">
        <w:rPr>
          <w:rFonts w:ascii="Times New Roman" w:hAnsi="Times New Roman" w:cs="Times New Roman"/>
          <w:sz w:val="24"/>
          <w:szCs w:val="24"/>
        </w:rPr>
        <w:t>are plotted for individual subjects by groups as listed in Table 1. ROC a</w:t>
      </w:r>
      <w:r>
        <w:rPr>
          <w:rFonts w:ascii="Times New Roman" w:hAnsi="Times New Roman" w:cs="Times New Roman"/>
          <w:sz w:val="24"/>
          <w:szCs w:val="24"/>
        </w:rPr>
        <w:t xml:space="preserve">nalysis is used to </w:t>
      </w:r>
      <w:r w:rsidRPr="001D5E91">
        <w:rPr>
          <w:rFonts w:ascii="Times New Roman" w:hAnsi="Times New Roman" w:cs="Times New Roman"/>
          <w:sz w:val="24"/>
          <w:szCs w:val="24"/>
        </w:rPr>
        <w:t>compar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1D5E91">
        <w:rPr>
          <w:rFonts w:ascii="Times New Roman" w:hAnsi="Times New Roman" w:cs="Times New Roman"/>
          <w:sz w:val="24"/>
          <w:szCs w:val="24"/>
        </w:rPr>
        <w:t xml:space="preserve"> the performance</w:t>
      </w:r>
      <w:r w:rsidR="00D25AFF">
        <w:rPr>
          <w:rFonts w:ascii="Times New Roman" w:hAnsi="Times New Roman" w:cs="Times New Roman"/>
          <w:sz w:val="24"/>
          <w:szCs w:val="24"/>
        </w:rPr>
        <w:t>s</w:t>
      </w:r>
      <w:r w:rsidRPr="001D5E91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serum</w:t>
      </w:r>
      <w:r w:rsidRPr="001D5E91">
        <w:rPr>
          <w:rFonts w:ascii="Times New Roman" w:hAnsi="Times New Roman" w:cs="Times New Roman"/>
          <w:sz w:val="24"/>
          <w:szCs w:val="24"/>
        </w:rPr>
        <w:t xml:space="preserve"> ALPPL2</w:t>
      </w:r>
      <w:r>
        <w:rPr>
          <w:rFonts w:ascii="Times New Roman" w:hAnsi="Times New Roman" w:cs="Times New Roman"/>
          <w:sz w:val="24"/>
          <w:szCs w:val="24"/>
        </w:rPr>
        <w:t xml:space="preserve"> (C) and </w:t>
      </w:r>
      <w:r w:rsidRPr="001D5E91">
        <w:rPr>
          <w:rFonts w:ascii="Times New Roman" w:hAnsi="Times New Roman" w:cs="Times New Roman"/>
          <w:sz w:val="24"/>
          <w:szCs w:val="24"/>
        </w:rPr>
        <w:t xml:space="preserve">THBS2 </w:t>
      </w:r>
      <w:r>
        <w:rPr>
          <w:rFonts w:ascii="Times New Roman" w:hAnsi="Times New Roman" w:cs="Times New Roman"/>
          <w:sz w:val="24"/>
          <w:szCs w:val="24"/>
        </w:rPr>
        <w:t xml:space="preserve">(D) </w:t>
      </w:r>
      <w:r w:rsidRPr="001D5E91">
        <w:rPr>
          <w:rFonts w:ascii="Times New Roman" w:hAnsi="Times New Roman" w:cs="Times New Roman"/>
          <w:sz w:val="24"/>
          <w:szCs w:val="24"/>
        </w:rPr>
        <w:t xml:space="preserve">in discriminating all stages of PDAC from healthy control (HC) and non-cancerous conditions (NCC), early stage (Stage I and II) PDAC from HC and NCC, NCC from HC, and early stage PDAC from NCC.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1D5E91">
        <w:rPr>
          <w:rFonts w:ascii="Times New Roman" w:hAnsi="Times New Roman" w:cs="Times New Roman"/>
          <w:sz w:val="24"/>
          <w:szCs w:val="24"/>
        </w:rPr>
        <w:t>***P &lt; 0.0001</w:t>
      </w:r>
      <w:r w:rsidR="00492AAC">
        <w:rPr>
          <w:rFonts w:ascii="Times New Roman" w:hAnsi="Times New Roman" w:cs="Times New Roman"/>
          <w:sz w:val="24"/>
          <w:szCs w:val="24"/>
        </w:rPr>
        <w:t>;</w:t>
      </w:r>
      <w:r w:rsidRPr="001D5E91">
        <w:rPr>
          <w:rFonts w:ascii="Times New Roman" w:hAnsi="Times New Roman" w:cs="Times New Roman"/>
          <w:sz w:val="24"/>
          <w:szCs w:val="24"/>
        </w:rPr>
        <w:t xml:space="preserve"> ***P &lt; 0.001</w:t>
      </w:r>
      <w:r w:rsidR="00492AA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E91">
        <w:rPr>
          <w:rFonts w:ascii="Times New Roman" w:hAnsi="Times New Roman" w:cs="Times New Roman"/>
          <w:sz w:val="24"/>
          <w:szCs w:val="24"/>
        </w:rPr>
        <w:t>**P &lt; 0.01.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0438DC" w:rsidRDefault="000438DC" w:rsidP="00CC70CD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0438DC" w:rsidRDefault="009A608D" w:rsidP="000438DC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 wp14:anchorId="07462204">
            <wp:extent cx="5938520" cy="220965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912" cy="22246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38DC" w:rsidRDefault="000438DC" w:rsidP="002F2FC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D8005E">
        <w:rPr>
          <w:rFonts w:ascii="Times New Roman" w:hAnsi="Times New Roman" w:cs="Times New Roman"/>
          <w:b/>
          <w:sz w:val="24"/>
        </w:rPr>
        <w:t>Supplementary Fig</w:t>
      </w:r>
      <w:r w:rsidR="009A608D">
        <w:rPr>
          <w:rFonts w:ascii="Times New Roman" w:hAnsi="Times New Roman" w:cs="Times New Roman"/>
          <w:b/>
          <w:sz w:val="24"/>
        </w:rPr>
        <w:t>.</w:t>
      </w:r>
      <w:r w:rsidRPr="00D8005E">
        <w:rPr>
          <w:rFonts w:ascii="Times New Roman" w:hAnsi="Times New Roman" w:cs="Times New Roman"/>
          <w:b/>
          <w:sz w:val="24"/>
        </w:rPr>
        <w:t xml:space="preserve"> S</w:t>
      </w:r>
      <w:r w:rsidR="009A608D">
        <w:rPr>
          <w:rFonts w:ascii="Times New Roman" w:hAnsi="Times New Roman" w:cs="Times New Roman"/>
          <w:b/>
          <w:sz w:val="24"/>
        </w:rPr>
        <w:t>5</w:t>
      </w:r>
      <w:r w:rsidRPr="00D8005E">
        <w:rPr>
          <w:rFonts w:ascii="Times New Roman" w:hAnsi="Times New Roman" w:cs="Times New Roman"/>
          <w:b/>
          <w:sz w:val="24"/>
        </w:rPr>
        <w:t>.</w:t>
      </w:r>
      <w:r w:rsidRPr="002C72B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A) Antibodies against ALPPL2 and ALPP cross react with ALPPL2 and ALPP proteins. Two anti-ALPPL2 antibodies (#1: </w:t>
      </w:r>
      <w:r w:rsidRPr="00D8005E">
        <w:rPr>
          <w:rFonts w:ascii="Times New Roman" w:hAnsi="Times New Roman" w:cs="Times New Roman"/>
          <w:sz w:val="24"/>
        </w:rPr>
        <w:t>mouse monoclonal antibody</w:t>
      </w:r>
      <w:r>
        <w:rPr>
          <w:rFonts w:ascii="Times New Roman" w:hAnsi="Times New Roman" w:cs="Times New Roman"/>
          <w:sz w:val="24"/>
        </w:rPr>
        <w:t xml:space="preserve"> </w:t>
      </w:r>
      <w:r w:rsidRPr="00D8005E">
        <w:rPr>
          <w:rFonts w:ascii="Times New Roman" w:hAnsi="Times New Roman" w:cs="Times New Roman"/>
          <w:sz w:val="24"/>
        </w:rPr>
        <w:t>Clone 2B3</w:t>
      </w:r>
      <w:r>
        <w:rPr>
          <w:rFonts w:ascii="Times New Roman" w:hAnsi="Times New Roman" w:cs="Times New Roman"/>
          <w:sz w:val="24"/>
        </w:rPr>
        <w:t xml:space="preserve"> from</w:t>
      </w:r>
      <w:r w:rsidRPr="00D800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005E">
        <w:rPr>
          <w:rFonts w:ascii="Times New Roman" w:hAnsi="Times New Roman" w:cs="Times New Roman"/>
          <w:sz w:val="24"/>
        </w:rPr>
        <w:t>Abnova</w:t>
      </w:r>
      <w:proofErr w:type="spellEnd"/>
      <w:r w:rsidRPr="00D8005E">
        <w:rPr>
          <w:rFonts w:ascii="Times New Roman" w:hAnsi="Times New Roman" w:cs="Times New Roman"/>
          <w:sz w:val="24"/>
        </w:rPr>
        <w:t>, Taipei, Taiwan</w:t>
      </w:r>
      <w:r>
        <w:rPr>
          <w:rFonts w:ascii="Times New Roman" w:hAnsi="Times New Roman" w:cs="Times New Roman"/>
          <w:sz w:val="24"/>
        </w:rPr>
        <w:t>, and #2:</w:t>
      </w:r>
      <w:r w:rsidRPr="00C119EB">
        <w:t xml:space="preserve"> </w:t>
      </w:r>
      <w:r w:rsidRPr="00C119EB">
        <w:rPr>
          <w:rFonts w:ascii="Times New Roman" w:hAnsi="Times New Roman" w:cs="Times New Roman"/>
          <w:sz w:val="24"/>
        </w:rPr>
        <w:t xml:space="preserve">Rabbit </w:t>
      </w:r>
      <w:proofErr w:type="spellStart"/>
      <w:r w:rsidRPr="00C119EB">
        <w:rPr>
          <w:rFonts w:ascii="Times New Roman" w:hAnsi="Times New Roman" w:cs="Times New Roman"/>
          <w:sz w:val="24"/>
        </w:rPr>
        <w:t>Polyoclonal</w:t>
      </w:r>
      <w:proofErr w:type="spellEnd"/>
      <w:r>
        <w:rPr>
          <w:rFonts w:ascii="Times New Roman" w:hAnsi="Times New Roman" w:cs="Times New Roman"/>
          <w:sz w:val="24"/>
        </w:rPr>
        <w:t xml:space="preserve"> antibody from </w:t>
      </w:r>
      <w:proofErr w:type="spellStart"/>
      <w:r w:rsidRPr="001E5B57">
        <w:rPr>
          <w:rFonts w:ascii="Times New Roman" w:hAnsi="Times New Roman" w:cs="Times New Roman"/>
          <w:sz w:val="24"/>
        </w:rPr>
        <w:t>Signalway</w:t>
      </w:r>
      <w:proofErr w:type="spellEnd"/>
      <w:r w:rsidRPr="001E5B57">
        <w:rPr>
          <w:rFonts w:ascii="Times New Roman" w:hAnsi="Times New Roman" w:cs="Times New Roman"/>
          <w:sz w:val="24"/>
        </w:rPr>
        <w:t xml:space="preserve"> Antibody,</w:t>
      </w:r>
      <w:r>
        <w:rPr>
          <w:rFonts w:ascii="Times New Roman" w:hAnsi="Times New Roman" w:cs="Times New Roman"/>
          <w:sz w:val="24"/>
        </w:rPr>
        <w:t xml:space="preserve"> </w:t>
      </w:r>
      <w:r w:rsidRPr="001E5B57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D</w:t>
      </w:r>
      <w:r w:rsidRPr="001E5B57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Pr="001E5B57">
        <w:rPr>
          <w:rFonts w:ascii="Times New Roman" w:hAnsi="Times New Roman" w:cs="Times New Roman"/>
          <w:sz w:val="24"/>
        </w:rPr>
        <w:t>USA</w:t>
      </w:r>
      <w:r w:rsidRPr="00D8005E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 xml:space="preserve">react with both recombinant human ALPPL2 and ALPP and so does the anti-ALPP rabbit monoclonal antibody (Clone </w:t>
      </w:r>
      <w:r w:rsidRPr="001E5B57">
        <w:rPr>
          <w:rFonts w:ascii="Times New Roman" w:hAnsi="Times New Roman" w:cs="Times New Roman"/>
          <w:sz w:val="24"/>
        </w:rPr>
        <w:t>JM22-53</w:t>
      </w:r>
      <w:r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1E5B57">
        <w:rPr>
          <w:rFonts w:ascii="Times New Roman" w:hAnsi="Times New Roman" w:cs="Times New Roman"/>
          <w:sz w:val="24"/>
        </w:rPr>
        <w:t>Signalway</w:t>
      </w:r>
      <w:proofErr w:type="spellEnd"/>
      <w:r w:rsidRPr="001E5B57">
        <w:rPr>
          <w:rFonts w:ascii="Times New Roman" w:hAnsi="Times New Roman" w:cs="Times New Roman"/>
          <w:sz w:val="24"/>
        </w:rPr>
        <w:t xml:space="preserve"> Antibody</w:t>
      </w:r>
      <w:r>
        <w:rPr>
          <w:rFonts w:ascii="Times New Roman" w:hAnsi="Times New Roman" w:cs="Times New Roman"/>
          <w:sz w:val="24"/>
        </w:rPr>
        <w:t>). Ten nanograms of the recombination proteins, ALPPL2 (</w:t>
      </w:r>
      <w:proofErr w:type="spellStart"/>
      <w:r>
        <w:rPr>
          <w:rFonts w:ascii="Times New Roman" w:hAnsi="Times New Roman" w:cs="Times New Roman"/>
          <w:sz w:val="24"/>
        </w:rPr>
        <w:t>Acro</w:t>
      </w:r>
      <w:proofErr w:type="spellEnd"/>
      <w:r>
        <w:rPr>
          <w:rFonts w:ascii="Times New Roman" w:hAnsi="Times New Roman" w:cs="Times New Roman"/>
          <w:sz w:val="24"/>
        </w:rPr>
        <w:t xml:space="preserve"> Biosystem, San Diego, CA, USA) and ALPP (</w:t>
      </w:r>
      <w:proofErr w:type="spellStart"/>
      <w:r>
        <w:rPr>
          <w:rFonts w:ascii="Times New Roman" w:hAnsi="Times New Roman" w:cs="Times New Roman"/>
          <w:sz w:val="24"/>
        </w:rPr>
        <w:t>Acro</w:t>
      </w:r>
      <w:proofErr w:type="spellEnd"/>
      <w:r>
        <w:rPr>
          <w:rFonts w:ascii="Times New Roman" w:hAnsi="Times New Roman" w:cs="Times New Roman"/>
          <w:sz w:val="24"/>
        </w:rPr>
        <w:t xml:space="preserve"> Biosystem) were loaded to each lane and detected with the anti-ALPPL2 antibody (1:1000) using Western blotting. B and C) Kaplan-Meier survival analysis of CTGA pancreatic adenocarcinoma cohort (CTGA-PAAP) based on mRNA expression of ALPPL2 (B) and ALPP (C). A total of 176 PDAC cases were included in the survival analysis for the ALPPL2 high (N = 75) and low (N = 101) groups or ALPP high (N = 56) and low (N = 120) groups. HR: hazard ratio.</w:t>
      </w:r>
    </w:p>
    <w:p w:rsidR="000438DC" w:rsidRDefault="000438DC" w:rsidP="000438D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0438DC" w:rsidRPr="002C72B3" w:rsidRDefault="000438DC" w:rsidP="000438D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B0DB4" w:rsidRDefault="007B7F40"/>
    <w:sectPr w:rsidR="007B0DB4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7F40" w:rsidRDefault="007B7F40">
      <w:pPr>
        <w:spacing w:after="0" w:line="240" w:lineRule="auto"/>
      </w:pPr>
      <w:r>
        <w:separator/>
      </w:r>
    </w:p>
  </w:endnote>
  <w:endnote w:type="continuationSeparator" w:id="0">
    <w:p w:rsidR="007B7F40" w:rsidRDefault="007B7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8783552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63D7" w:rsidRPr="00FB5423" w:rsidRDefault="000438DC">
        <w:pPr>
          <w:pStyle w:val="Footer"/>
          <w:jc w:val="center"/>
          <w:rPr>
            <w:rFonts w:ascii="Times New Roman" w:hAnsi="Times New Roman" w:cs="Times New Roman"/>
          </w:rPr>
        </w:pPr>
        <w:r w:rsidRPr="00FB5423">
          <w:rPr>
            <w:rFonts w:ascii="Times New Roman" w:hAnsi="Times New Roman" w:cs="Times New Roman"/>
          </w:rPr>
          <w:fldChar w:fldCharType="begin"/>
        </w:r>
        <w:r w:rsidRPr="00FB5423">
          <w:rPr>
            <w:rFonts w:ascii="Times New Roman" w:hAnsi="Times New Roman" w:cs="Times New Roman"/>
          </w:rPr>
          <w:instrText xml:space="preserve"> PAGE   \* MERGEFORMAT </w:instrText>
        </w:r>
        <w:r w:rsidRPr="00FB5423">
          <w:rPr>
            <w:rFonts w:ascii="Times New Roman" w:hAnsi="Times New Roman" w:cs="Times New Roman"/>
          </w:rPr>
          <w:fldChar w:fldCharType="separate"/>
        </w:r>
        <w:r w:rsidRPr="00FB5423">
          <w:rPr>
            <w:rFonts w:ascii="Times New Roman" w:hAnsi="Times New Roman" w:cs="Times New Roman"/>
            <w:noProof/>
          </w:rPr>
          <w:t>2</w:t>
        </w:r>
        <w:r w:rsidRPr="00FB5423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3A63D7" w:rsidRDefault="007B7F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7F40" w:rsidRDefault="007B7F40">
      <w:pPr>
        <w:spacing w:after="0" w:line="240" w:lineRule="auto"/>
      </w:pPr>
      <w:r>
        <w:separator/>
      </w:r>
    </w:p>
  </w:footnote>
  <w:footnote w:type="continuationSeparator" w:id="0">
    <w:p w:rsidR="007B7F40" w:rsidRDefault="007B7F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8DC"/>
    <w:rsid w:val="00034BE3"/>
    <w:rsid w:val="000438DC"/>
    <w:rsid w:val="001D5E91"/>
    <w:rsid w:val="002A3D1C"/>
    <w:rsid w:val="002F2FC4"/>
    <w:rsid w:val="00492AAC"/>
    <w:rsid w:val="0058595C"/>
    <w:rsid w:val="007B7F40"/>
    <w:rsid w:val="0080521D"/>
    <w:rsid w:val="009A608D"/>
    <w:rsid w:val="00A95007"/>
    <w:rsid w:val="00AE274C"/>
    <w:rsid w:val="00B92761"/>
    <w:rsid w:val="00C8263E"/>
    <w:rsid w:val="00CB6828"/>
    <w:rsid w:val="00CC70CD"/>
    <w:rsid w:val="00D17938"/>
    <w:rsid w:val="00D25AFF"/>
    <w:rsid w:val="00E80BD1"/>
    <w:rsid w:val="00EA4747"/>
    <w:rsid w:val="00FC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14F58"/>
  <w15:chartTrackingRefBased/>
  <w15:docId w15:val="{C7C70B51-F4DC-4773-B866-FB0297EE9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38DC"/>
    <w:rPr>
      <w:rFonts w:eastAsiaTheme="minorHAnsi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43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8DC"/>
    <w:rPr>
      <w:rFonts w:eastAsiaTheme="minorHAns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TGen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Haiyong Han</dc:creator>
  <cp:keywords/>
  <dc:description/>
  <cp:lastModifiedBy>Haiyong Han</cp:lastModifiedBy>
  <cp:revision>8</cp:revision>
  <dcterms:created xsi:type="dcterms:W3CDTF">2025-02-11T17:02:00Z</dcterms:created>
  <dcterms:modified xsi:type="dcterms:W3CDTF">2025-07-03T19:06:00Z</dcterms:modified>
</cp:coreProperties>
</file>