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0DA" w:rsidRPr="00E13FE6" w:rsidRDefault="00E13FE6" w:rsidP="00E13FE6">
      <w:pPr>
        <w:spacing w:line="480" w:lineRule="auto"/>
        <w:rPr>
          <w:b/>
        </w:rPr>
      </w:pPr>
      <w:r w:rsidRPr="00E13FE6">
        <w:rPr>
          <w:b/>
        </w:rPr>
        <w:t>Specific criteria used for identification of DMRs in bioinformatic analysis</w:t>
      </w:r>
    </w:p>
    <w:p w:rsidR="00E13FE6" w:rsidRDefault="00E13FE6" w:rsidP="00E13FE6">
      <w:pPr>
        <w:spacing w:line="480" w:lineRule="auto"/>
      </w:pPr>
      <w:r>
        <w:t>For cancer specific methylation changes, criteria used to identify changes specific for all transformed B-cell population were: 1) Methylation change in all five B-cell malignancies combined vs B-cell progenitors &gt;0.2 beta value. 2) Methylation change seen in each individual B-cell malignancy vs B-cell progenitors &gt;0.1 beta value. 3) Methylation change seen in Memory B-cells vs progenitors is &lt;0.1 beta value and at least four times smaller than change in each individual B-cell malignancy.</w:t>
      </w:r>
    </w:p>
    <w:p w:rsidR="00E13FE6" w:rsidRDefault="00E13FE6" w:rsidP="00E13FE6">
      <w:pPr>
        <w:spacing w:line="480" w:lineRule="auto"/>
      </w:pPr>
      <w:r>
        <w:t xml:space="preserve">Cancer absent methylation changes met the following criteria: 1) Methylation changes seen in B-cell memory greater than &gt;0.2 beta value as compared to B-cell progenitor. 2) Methylation change seen in B-cell memory cell is four times greater than methylation in all five B-cell malignancies combined. 3) Methylation change seen in all individual B-cell malignancies is &lt;0.1 beta value. </w:t>
      </w:r>
    </w:p>
    <w:p w:rsidR="00E13FE6" w:rsidRDefault="00E13FE6" w:rsidP="00E13FE6">
      <w:pPr>
        <w:spacing w:line="480" w:lineRule="auto"/>
      </w:pPr>
      <w:r>
        <w:t xml:space="preserve">For proliferation related methylation changes, multiple criteria were defined to ensure DNA methylation changes are due to B-cell proliferation: 1) Methylation changes in total proliferated B-cells (B-cell malignancies and B-cell memory cells) are greater than &gt;0.2 beta value compared to B-cell progenitor. 2) Methylation change seen in all individual B-cell malignancies as well as in B-cell memory B-cells compared to B-cell progenitors is &gt;0.1 beta value. </w:t>
      </w:r>
    </w:p>
    <w:p w:rsidR="00E13FE6" w:rsidRDefault="00E13FE6" w:rsidP="00E13FE6">
      <w:pPr>
        <w:spacing w:line="480" w:lineRule="auto"/>
      </w:pPr>
      <w:r>
        <w:t>For methylation changes due to B-cell differentiation: 1) Methylation changes in differentiated B-cells (i.e., B-cell malignancies (with the exception of ALL) and B-cell memory cells) vs B-cell progenitors &gt;0.2 beta value. 2) Methylation change seen in an individual differentiated B-cells (B-cell malignancies and B-cell memory cells), with the exception of ALL, vs B-cell progenitors &gt;0.1 beta value. 3) Methylation change in ALL vs B-cell progenitors &lt;0.1 beta value.</w:t>
      </w:r>
    </w:p>
    <w:p w:rsidR="00E13FE6" w:rsidRDefault="00E13FE6" w:rsidP="00E13FE6">
      <w:pPr>
        <w:spacing w:line="480" w:lineRule="auto"/>
      </w:pPr>
      <w:r>
        <w:t>For individual disease specific methylation changes, criteria used to identify changes were: 1) Methylation change in the specific disease vs B-cell progenitors &gt;0.2 beta value. 2) Methylation change seen in all other B-cell malignancies and normal memory B-cells vs B-cell progenitors &lt;0.1 beta value. To increase stringency, a third criteria 3) Methylation change in the specific disease vs B-</w:t>
      </w:r>
      <w:r>
        <w:lastRenderedPageBreak/>
        <w:t>cell progenitors at least four times greater than methylation change vs B-cell progenitors for any of the other diseases or memory B-cells, was also included where indicated.</w:t>
      </w:r>
    </w:p>
    <w:p w:rsidR="00E13FE6" w:rsidRDefault="00E13FE6" w:rsidP="00E13FE6">
      <w:pPr>
        <w:spacing w:line="480" w:lineRule="auto"/>
      </w:pPr>
    </w:p>
    <w:p w:rsidR="00E13FE6" w:rsidRPr="00E77CBB" w:rsidRDefault="00E13FE6" w:rsidP="00E13FE6">
      <w:pPr>
        <w:spacing w:line="480" w:lineRule="auto"/>
        <w:rPr>
          <w:rFonts w:cstheme="minorHAnsi"/>
          <w:b/>
        </w:rPr>
      </w:pPr>
      <w:r w:rsidRPr="00E77CBB">
        <w:rPr>
          <w:rFonts w:cstheme="minorHAnsi"/>
          <w:b/>
        </w:rPr>
        <w:t xml:space="preserve">RNA extraction and cDNA synthesis </w:t>
      </w:r>
    </w:p>
    <w:p w:rsidR="00E13FE6" w:rsidRPr="00244D7F" w:rsidRDefault="00E13FE6" w:rsidP="00E13FE6">
      <w:pPr>
        <w:spacing w:line="480" w:lineRule="auto"/>
        <w:rPr>
          <w:rFonts w:cstheme="minorHAnsi"/>
        </w:rPr>
      </w:pPr>
      <w:r>
        <w:rPr>
          <w:rFonts w:cstheme="minorHAnsi"/>
        </w:rPr>
        <w:t>T</w:t>
      </w:r>
      <w:r w:rsidRPr="00244D7F">
        <w:rPr>
          <w:rFonts w:cstheme="minorHAnsi"/>
        </w:rPr>
        <w:t xml:space="preserve">otal RNA was extracted using a </w:t>
      </w:r>
      <w:proofErr w:type="spellStart"/>
      <w:r w:rsidRPr="00244D7F">
        <w:rPr>
          <w:rFonts w:cstheme="minorHAnsi"/>
        </w:rPr>
        <w:t>GeneJET</w:t>
      </w:r>
      <w:proofErr w:type="spellEnd"/>
      <w:r w:rsidRPr="00244D7F">
        <w:rPr>
          <w:rFonts w:cstheme="minorHAnsi"/>
        </w:rPr>
        <w:t xml:space="preserve"> RNA Purification Kit (</w:t>
      </w:r>
      <w:proofErr w:type="spellStart"/>
      <w:r w:rsidRPr="00244D7F">
        <w:rPr>
          <w:rFonts w:cstheme="minorHAnsi"/>
        </w:rPr>
        <w:t>Thermo</w:t>
      </w:r>
      <w:proofErr w:type="spellEnd"/>
      <w:r w:rsidRPr="00244D7F">
        <w:rPr>
          <w:rFonts w:cstheme="minorHAnsi"/>
        </w:rPr>
        <w:t xml:space="preserve"> Fisher Scientific, Cat No: K0731) according to the manufacturer’s protocol. The extracted RNA was stored at -20oC (for use in the short term) or at -80oC if long-term storage was required. </w:t>
      </w:r>
    </w:p>
    <w:p w:rsidR="00E13FE6" w:rsidRDefault="00E13FE6" w:rsidP="00E13FE6">
      <w:pPr>
        <w:spacing w:line="480" w:lineRule="auto"/>
        <w:rPr>
          <w:rFonts w:cstheme="minorHAnsi"/>
        </w:rPr>
      </w:pPr>
      <w:r w:rsidRPr="00244D7F">
        <w:rPr>
          <w:rFonts w:cstheme="minorHAnsi"/>
        </w:rPr>
        <w:t xml:space="preserve">The purified RNA was quantified using the </w:t>
      </w:r>
      <w:proofErr w:type="spellStart"/>
      <w:r w:rsidRPr="00244D7F">
        <w:rPr>
          <w:rFonts w:cstheme="minorHAnsi"/>
        </w:rPr>
        <w:t>Nanodrop</w:t>
      </w:r>
      <w:proofErr w:type="spellEnd"/>
      <w:r w:rsidRPr="00244D7F">
        <w:rPr>
          <w:rFonts w:cstheme="minorHAnsi"/>
        </w:rPr>
        <w:t xml:space="preserve"> ND-1000 spectrophotometer (</w:t>
      </w:r>
      <w:proofErr w:type="spellStart"/>
      <w:r w:rsidRPr="00244D7F">
        <w:rPr>
          <w:rFonts w:cstheme="minorHAnsi"/>
        </w:rPr>
        <w:t>Nanodrop</w:t>
      </w:r>
      <w:proofErr w:type="spellEnd"/>
      <w:r w:rsidRPr="00244D7F">
        <w:rPr>
          <w:rFonts w:cstheme="minorHAnsi"/>
        </w:rPr>
        <w:t xml:space="preserve">, Delaware, </w:t>
      </w:r>
      <w:proofErr w:type="gramStart"/>
      <w:r w:rsidRPr="00244D7F">
        <w:rPr>
          <w:rFonts w:cstheme="minorHAnsi"/>
        </w:rPr>
        <w:t>USA</w:t>
      </w:r>
      <w:proofErr w:type="gramEnd"/>
      <w:r w:rsidRPr="00244D7F">
        <w:rPr>
          <w:rFonts w:cstheme="minorHAnsi"/>
        </w:rPr>
        <w:t xml:space="preserve">). About 2μg of RNA was used for cDNA synthesis using the High-Capacity cDNA Reverse Transcription Kit (Applied </w:t>
      </w:r>
      <w:proofErr w:type="spellStart"/>
      <w:r w:rsidRPr="00244D7F">
        <w:rPr>
          <w:rFonts w:cstheme="minorHAnsi"/>
        </w:rPr>
        <w:t>Biosystems</w:t>
      </w:r>
      <w:proofErr w:type="spellEnd"/>
      <w:r w:rsidRPr="00244D7F">
        <w:rPr>
          <w:rFonts w:cstheme="minorHAnsi"/>
        </w:rPr>
        <w:t>, UK Cat No: 4368814) according to the manufacturer’s protocol.  Samples with no reverse transcriptase (RT) were also included in the reaction to act as a control in subsequent PCR reactions.</w:t>
      </w:r>
    </w:p>
    <w:p w:rsidR="00692B4B" w:rsidRDefault="00692B4B" w:rsidP="00E13FE6">
      <w:pPr>
        <w:spacing w:line="480" w:lineRule="auto"/>
        <w:rPr>
          <w:rFonts w:cstheme="minorHAnsi"/>
        </w:rPr>
      </w:pPr>
    </w:p>
    <w:p w:rsidR="00692B4B" w:rsidRPr="00E77CBB" w:rsidRDefault="00692B4B" w:rsidP="00692B4B">
      <w:pPr>
        <w:spacing w:line="480" w:lineRule="auto"/>
        <w:rPr>
          <w:rFonts w:cstheme="minorHAnsi"/>
          <w:b/>
        </w:rPr>
      </w:pPr>
      <w:r>
        <w:rPr>
          <w:rFonts w:cstheme="minorHAnsi"/>
          <w:b/>
        </w:rPr>
        <w:t>Cell culture</w:t>
      </w:r>
    </w:p>
    <w:p w:rsidR="00692B4B" w:rsidRDefault="00692B4B" w:rsidP="00692B4B">
      <w:pPr>
        <w:spacing w:line="480" w:lineRule="auto"/>
        <w:rPr>
          <w:rFonts w:cstheme="minorHAnsi"/>
        </w:rPr>
      </w:pPr>
      <w:r>
        <w:rPr>
          <w:rFonts w:cstheme="minorHAnsi"/>
        </w:rPr>
        <w:t xml:space="preserve">All </w:t>
      </w:r>
      <w:proofErr w:type="spellStart"/>
      <w:r>
        <w:rPr>
          <w:rFonts w:cstheme="minorHAnsi"/>
        </w:rPr>
        <w:t>leukemia</w:t>
      </w:r>
      <w:proofErr w:type="spellEnd"/>
      <w:r w:rsidRPr="00244D7F">
        <w:rPr>
          <w:rFonts w:cstheme="minorHAnsi"/>
        </w:rPr>
        <w:t xml:space="preserve"> and lymphoma cell lines were cultured in RPMI 1640 media with L-glutamine and sodium bicarbonate (S</w:t>
      </w:r>
      <w:r>
        <w:rPr>
          <w:rFonts w:cstheme="minorHAnsi"/>
        </w:rPr>
        <w:t xml:space="preserve">igma-Aldrich, UK). </w:t>
      </w:r>
      <w:r w:rsidRPr="00244D7F">
        <w:rPr>
          <w:rFonts w:cstheme="minorHAnsi"/>
        </w:rPr>
        <w:t xml:space="preserve">293T </w:t>
      </w:r>
      <w:r>
        <w:rPr>
          <w:rFonts w:cstheme="minorHAnsi"/>
        </w:rPr>
        <w:t xml:space="preserve">cells </w:t>
      </w:r>
      <w:r w:rsidRPr="00244D7F">
        <w:rPr>
          <w:rFonts w:cstheme="minorHAnsi"/>
        </w:rPr>
        <w:t>were cultured in Dulbecco’s Modified Eagle’s Medium with 4500mg/l glucose, L-glutamine supplemented with foetal calf serum (</w:t>
      </w:r>
      <w:proofErr w:type="spellStart"/>
      <w:r w:rsidRPr="00244D7F">
        <w:rPr>
          <w:rFonts w:cstheme="minorHAnsi"/>
        </w:rPr>
        <w:t>Gibco</w:t>
      </w:r>
      <w:proofErr w:type="spellEnd"/>
      <w:r w:rsidRPr="00244D7F">
        <w:rPr>
          <w:rFonts w:cstheme="minorHAnsi"/>
        </w:rPr>
        <w:t xml:space="preserve">, UK). Mycoplasma infection of cell lines was regularly checked for by using </w:t>
      </w:r>
      <w:proofErr w:type="spellStart"/>
      <w:r w:rsidRPr="00244D7F">
        <w:rPr>
          <w:rFonts w:cstheme="minorHAnsi"/>
        </w:rPr>
        <w:t>Mycoalert</w:t>
      </w:r>
      <w:proofErr w:type="spellEnd"/>
      <w:r w:rsidRPr="00244D7F">
        <w:rPr>
          <w:rFonts w:cstheme="minorHAnsi"/>
        </w:rPr>
        <w:t>® Detection Kit (</w:t>
      </w:r>
      <w:proofErr w:type="spellStart"/>
      <w:r w:rsidRPr="00244D7F">
        <w:rPr>
          <w:rFonts w:cstheme="minorHAnsi"/>
        </w:rPr>
        <w:t>Lonza</w:t>
      </w:r>
      <w:proofErr w:type="spellEnd"/>
      <w:r w:rsidRPr="00244D7F">
        <w:rPr>
          <w:rFonts w:cstheme="minorHAnsi"/>
        </w:rPr>
        <w:t xml:space="preserve">, Basel, Switzerland). Cells grown in an incubator at 37⁰C and 5% CO2. </w:t>
      </w:r>
      <w:r w:rsidR="00CF26BC" w:rsidRPr="00CF26BC">
        <w:rPr>
          <w:rFonts w:cstheme="minorHAnsi"/>
        </w:rPr>
        <w:t xml:space="preserve">Cell lines have been recently authenticated (by </w:t>
      </w:r>
      <w:proofErr w:type="spellStart"/>
      <w:r w:rsidR="00CF26BC" w:rsidRPr="00CF26BC">
        <w:rPr>
          <w:rFonts w:cstheme="minorHAnsi"/>
        </w:rPr>
        <w:t>Northgene</w:t>
      </w:r>
      <w:proofErr w:type="spellEnd"/>
      <w:r w:rsidR="00CF26BC" w:rsidRPr="00CF26BC">
        <w:rPr>
          <w:rFonts w:cstheme="minorHAnsi"/>
        </w:rPr>
        <w:t xml:space="preserve">, UK) </w:t>
      </w:r>
      <w:r w:rsidR="00CF26BC">
        <w:rPr>
          <w:rFonts w:cstheme="minorHAnsi"/>
        </w:rPr>
        <w:t>by STR analysis</w:t>
      </w:r>
      <w:bookmarkStart w:id="0" w:name="_GoBack"/>
      <w:bookmarkEnd w:id="0"/>
      <w:r w:rsidR="00CF26BC" w:rsidRPr="00CF26BC">
        <w:rPr>
          <w:rFonts w:cstheme="minorHAnsi"/>
        </w:rPr>
        <w:t>.</w:t>
      </w:r>
    </w:p>
    <w:p w:rsidR="008C3CD7" w:rsidRDefault="008C3CD7" w:rsidP="00692B4B">
      <w:pPr>
        <w:spacing w:line="480" w:lineRule="auto"/>
        <w:rPr>
          <w:rFonts w:cstheme="minorHAnsi"/>
        </w:rPr>
      </w:pPr>
    </w:p>
    <w:p w:rsidR="008C3CD7" w:rsidRPr="00244D7F" w:rsidRDefault="008C3CD7" w:rsidP="00692B4B">
      <w:pPr>
        <w:spacing w:line="480" w:lineRule="auto"/>
        <w:rPr>
          <w:rFonts w:cstheme="minorHAnsi"/>
        </w:rPr>
      </w:pPr>
    </w:p>
    <w:p w:rsidR="00692B4B" w:rsidRPr="00244D7F" w:rsidRDefault="00692B4B" w:rsidP="00E13FE6">
      <w:pPr>
        <w:spacing w:line="480" w:lineRule="auto"/>
        <w:rPr>
          <w:rFonts w:cstheme="minorHAnsi"/>
        </w:rPr>
      </w:pPr>
    </w:p>
    <w:p w:rsidR="00E13FE6" w:rsidRDefault="00E13FE6"/>
    <w:sectPr w:rsidR="00E13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48"/>
    <w:rsid w:val="00074C48"/>
    <w:rsid w:val="00692B4B"/>
    <w:rsid w:val="007310DA"/>
    <w:rsid w:val="008C3CD7"/>
    <w:rsid w:val="008F19CB"/>
    <w:rsid w:val="00CF26BC"/>
    <w:rsid w:val="00D75EBD"/>
    <w:rsid w:val="00D87383"/>
    <w:rsid w:val="00E13FE6"/>
    <w:rsid w:val="00E256C4"/>
    <w:rsid w:val="00EA225B"/>
    <w:rsid w:val="00F6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FB199"/>
  <w15:chartTrackingRefBased/>
  <w15:docId w15:val="{064A4BB3-8260-4FEF-A7E8-28EFD1DB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FE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Strathdee</dc:creator>
  <cp:keywords/>
  <dc:description/>
  <cp:lastModifiedBy>Gordon Strathdee</cp:lastModifiedBy>
  <cp:revision>5</cp:revision>
  <dcterms:created xsi:type="dcterms:W3CDTF">2025-02-27T11:08:00Z</dcterms:created>
  <dcterms:modified xsi:type="dcterms:W3CDTF">2025-08-15T16:41:00Z</dcterms:modified>
</cp:coreProperties>
</file>