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B6987" w14:textId="18CC37B5" w:rsidR="00AB74B5" w:rsidRPr="00D95C9E" w:rsidRDefault="00AB74B5" w:rsidP="00C878CA">
      <w:pPr>
        <w:keepNext/>
        <w:keepLines/>
        <w:spacing w:before="0" w:after="0" w:line="240" w:lineRule="auto"/>
        <w:jc w:val="both"/>
        <w:outlineLvl w:val="0"/>
        <w:rPr>
          <w:rFonts w:ascii="Calibri" w:eastAsia="MS Gothic" w:hAnsi="Calibri" w:cs="Times New Roman"/>
          <w:b/>
          <w:bCs/>
          <w:kern w:val="0"/>
          <w:sz w:val="28"/>
          <w:szCs w:val="32"/>
          <w:lang w:val="en-GB"/>
          <w14:ligatures w14:val="none"/>
        </w:rPr>
      </w:pPr>
      <w:r w:rsidRPr="00D95C9E">
        <w:rPr>
          <w:rFonts w:ascii="Calibri" w:eastAsia="MS Gothic" w:hAnsi="Calibri" w:cs="Times New Roman"/>
          <w:b/>
          <w:bCs/>
          <w:kern w:val="0"/>
          <w:sz w:val="28"/>
          <w:szCs w:val="32"/>
          <w:lang w:val="en-GB"/>
          <w14:ligatures w14:val="none"/>
        </w:rPr>
        <w:t>Supplementary material</w:t>
      </w:r>
    </w:p>
    <w:p w14:paraId="2CCE6C58" w14:textId="77777777" w:rsidR="00C878CA" w:rsidRPr="00D95C9E" w:rsidRDefault="00C878CA" w:rsidP="0070334C">
      <w:pPr>
        <w:keepNext/>
        <w:keepLines/>
        <w:spacing w:before="0" w:after="0" w:line="240" w:lineRule="auto"/>
        <w:jc w:val="both"/>
        <w:outlineLvl w:val="0"/>
        <w:rPr>
          <w:rFonts w:ascii="Calibri" w:eastAsia="MS Gothic" w:hAnsi="Calibri" w:cs="Times New Roman"/>
          <w:b/>
          <w:bCs/>
          <w:kern w:val="0"/>
          <w:sz w:val="28"/>
          <w:szCs w:val="32"/>
          <w:lang w:val="en-GB"/>
          <w14:ligatures w14:val="none"/>
        </w:rPr>
      </w:pPr>
    </w:p>
    <w:p w14:paraId="219BB5F1" w14:textId="66C2CFE4" w:rsidR="00AB74B5" w:rsidRPr="00D95C9E" w:rsidRDefault="00A14AB3" w:rsidP="0070334C">
      <w:pPr>
        <w:keepNext/>
        <w:keepLines/>
        <w:spacing w:before="0" w:after="0" w:line="240" w:lineRule="auto"/>
        <w:jc w:val="both"/>
        <w:outlineLvl w:val="0"/>
        <w:rPr>
          <w:rFonts w:ascii="Calibri" w:eastAsia="MS Gothic" w:hAnsi="Calibri" w:cs="Times New Roman"/>
          <w:b/>
          <w:bCs/>
          <w:kern w:val="0"/>
          <w:sz w:val="22"/>
          <w:szCs w:val="24"/>
          <w:lang w:val="en-GB"/>
          <w14:ligatures w14:val="none"/>
        </w:rPr>
      </w:pPr>
      <w:r w:rsidRPr="00D95C9E">
        <w:rPr>
          <w:rFonts w:ascii="Calibri" w:eastAsia="MS Gothic" w:hAnsi="Calibri" w:cs="Times New Roman"/>
          <w:b/>
          <w:bCs/>
          <w:kern w:val="0"/>
          <w:sz w:val="22"/>
          <w:szCs w:val="24"/>
          <w:lang w:val="en-GB"/>
          <w14:ligatures w14:val="none"/>
        </w:rPr>
        <w:t xml:space="preserve">Supplementary </w:t>
      </w:r>
      <w:r w:rsidR="009E4405" w:rsidRPr="00D95C9E">
        <w:rPr>
          <w:rFonts w:ascii="Calibri" w:eastAsia="MS Gothic" w:hAnsi="Calibri" w:cs="Times New Roman"/>
          <w:b/>
          <w:bCs/>
          <w:kern w:val="0"/>
          <w:sz w:val="22"/>
          <w:szCs w:val="24"/>
          <w:lang w:val="en-GB"/>
          <w14:ligatures w14:val="none"/>
        </w:rPr>
        <w:t>T</w:t>
      </w:r>
      <w:r w:rsidRPr="00D95C9E">
        <w:rPr>
          <w:rFonts w:ascii="Calibri" w:eastAsia="MS Gothic" w:hAnsi="Calibri" w:cs="Times New Roman"/>
          <w:b/>
          <w:bCs/>
          <w:kern w:val="0"/>
          <w:sz w:val="22"/>
          <w:szCs w:val="24"/>
          <w:lang w:val="en-GB"/>
          <w14:ligatures w14:val="none"/>
        </w:rPr>
        <w:t>able S1</w:t>
      </w:r>
      <w:r w:rsidR="00365FC0" w:rsidRPr="00D95C9E">
        <w:rPr>
          <w:rFonts w:ascii="Calibri" w:eastAsia="MS Gothic" w:hAnsi="Calibri" w:cs="Times New Roman"/>
          <w:b/>
          <w:bCs/>
          <w:kern w:val="0"/>
          <w:sz w:val="22"/>
          <w:szCs w:val="24"/>
          <w:lang w:val="en-GB"/>
          <w14:ligatures w14:val="none"/>
        </w:rPr>
        <w:t>.</w:t>
      </w:r>
      <w:r w:rsidRPr="00D95C9E">
        <w:rPr>
          <w:rFonts w:ascii="Calibri" w:eastAsia="MS Gothic" w:hAnsi="Calibri" w:cs="Times New Roman"/>
          <w:b/>
          <w:bCs/>
          <w:kern w:val="0"/>
          <w:sz w:val="22"/>
          <w:szCs w:val="24"/>
          <w:lang w:val="en-GB"/>
          <w14:ligatures w14:val="none"/>
        </w:rPr>
        <w:t xml:space="preserve"> Detailed summary of the included studies </w:t>
      </w:r>
      <w:r w:rsidR="00365FC0" w:rsidRPr="00D95C9E">
        <w:rPr>
          <w:rFonts w:ascii="Calibri" w:eastAsia="MS Gothic" w:hAnsi="Calibri" w:cs="Times New Roman"/>
          <w:b/>
          <w:bCs/>
          <w:kern w:val="0"/>
          <w:sz w:val="22"/>
          <w:szCs w:val="24"/>
          <w:lang w:val="en-GB"/>
          <w14:ligatures w14:val="none"/>
        </w:rPr>
        <w:t xml:space="preserve">assessing mucin expression in </w:t>
      </w:r>
      <w:r w:rsidRPr="00D95C9E">
        <w:rPr>
          <w:rFonts w:ascii="Calibri" w:eastAsia="MS Gothic" w:hAnsi="Calibri" w:cs="Times New Roman"/>
          <w:b/>
          <w:bCs/>
          <w:kern w:val="0"/>
          <w:sz w:val="22"/>
          <w:szCs w:val="24"/>
          <w:lang w:val="en-GB"/>
          <w14:ligatures w14:val="none"/>
        </w:rPr>
        <w:t>precursor lesions</w:t>
      </w:r>
      <w:r w:rsidR="00365FC0" w:rsidRPr="00D95C9E">
        <w:rPr>
          <w:rFonts w:ascii="Calibri" w:eastAsia="MS Gothic" w:hAnsi="Calibri" w:cs="Times New Roman"/>
          <w:b/>
          <w:bCs/>
          <w:kern w:val="0"/>
          <w:sz w:val="22"/>
          <w:szCs w:val="24"/>
          <w:lang w:val="en-GB"/>
          <w14:ligatures w14:val="none"/>
        </w:rPr>
        <w:t xml:space="preserve"> of the lower GIT </w:t>
      </w:r>
    </w:p>
    <w:tbl>
      <w:tblPr>
        <w:tblStyle w:val="Lijsttabel4-Accent11"/>
        <w:tblW w:w="0" w:type="auto"/>
        <w:tblLayout w:type="fixed"/>
        <w:tblLook w:val="04A0" w:firstRow="1" w:lastRow="0" w:firstColumn="1" w:lastColumn="0" w:noHBand="0" w:noVBand="1"/>
      </w:tblPr>
      <w:tblGrid>
        <w:gridCol w:w="1432"/>
        <w:gridCol w:w="2316"/>
        <w:gridCol w:w="1209"/>
        <w:gridCol w:w="2069"/>
        <w:gridCol w:w="3364"/>
        <w:gridCol w:w="1308"/>
        <w:gridCol w:w="1148"/>
      </w:tblGrid>
      <w:tr w:rsidR="004D4574" w:rsidRPr="00D95C9E" w14:paraId="4217022A" w14:textId="0EF13166" w:rsidTr="00615478">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hideMark/>
          </w:tcPr>
          <w:p w14:paraId="6D9F9FBC" w14:textId="49DBF50F" w:rsidR="00A8711A" w:rsidRPr="00D95C9E" w:rsidRDefault="00A8711A" w:rsidP="00AB74B5">
            <w:pPr>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reference +</w:t>
            </w:r>
          </w:p>
          <w:p w14:paraId="1FBFF08D" w14:textId="77777777" w:rsidR="00A8711A" w:rsidRPr="00D95C9E" w:rsidRDefault="00A8711A" w:rsidP="00AB74B5">
            <w:pPr>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Newcastle-Ottawa score</w:t>
            </w:r>
          </w:p>
        </w:tc>
        <w:tc>
          <w:tcPr>
            <w:tcW w:w="2316" w:type="dxa"/>
            <w:noWrap/>
            <w:hideMark/>
          </w:tcPr>
          <w:p w14:paraId="217C1170" w14:textId="77777777" w:rsidR="00A8711A" w:rsidRPr="00D95C9E" w:rsidRDefault="00A8711A"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Sample</w:t>
            </w:r>
          </w:p>
          <w:p w14:paraId="2FB5C2B7" w14:textId="77777777" w:rsidR="00A8711A" w:rsidRPr="00D95C9E" w:rsidRDefault="00A8711A"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(number and type)</w:t>
            </w:r>
          </w:p>
        </w:tc>
        <w:tc>
          <w:tcPr>
            <w:tcW w:w="1209" w:type="dxa"/>
            <w:noWrap/>
            <w:hideMark/>
          </w:tcPr>
          <w:p w14:paraId="6AFBB5D4" w14:textId="77777777" w:rsidR="00A8711A" w:rsidRPr="00D95C9E" w:rsidRDefault="00A8711A"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Mucin</w:t>
            </w:r>
          </w:p>
        </w:tc>
        <w:tc>
          <w:tcPr>
            <w:tcW w:w="2069" w:type="dxa"/>
            <w:noWrap/>
            <w:hideMark/>
          </w:tcPr>
          <w:p w14:paraId="557B6D91" w14:textId="77777777" w:rsidR="00A8711A" w:rsidRPr="00D95C9E" w:rsidRDefault="00A8711A"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Detection method</w:t>
            </w:r>
          </w:p>
        </w:tc>
        <w:tc>
          <w:tcPr>
            <w:tcW w:w="3364" w:type="dxa"/>
            <w:noWrap/>
            <w:hideMark/>
          </w:tcPr>
          <w:p w14:paraId="7B272EB6" w14:textId="77777777" w:rsidR="00A8711A" w:rsidRPr="00D95C9E" w:rsidRDefault="00A8711A"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Relevant findings</w:t>
            </w:r>
          </w:p>
        </w:tc>
        <w:tc>
          <w:tcPr>
            <w:tcW w:w="1308" w:type="dxa"/>
            <w:noWrap/>
            <w:hideMark/>
          </w:tcPr>
          <w:p w14:paraId="2937F08F" w14:textId="77777777" w:rsidR="00A8711A" w:rsidRPr="00D95C9E" w:rsidRDefault="00A8711A"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Location</w:t>
            </w:r>
          </w:p>
        </w:tc>
        <w:tc>
          <w:tcPr>
            <w:tcW w:w="1148" w:type="dxa"/>
          </w:tcPr>
          <w:p w14:paraId="62145BEA" w14:textId="77777777" w:rsidR="00A8711A" w:rsidRPr="00D95C9E" w:rsidRDefault="00A8711A"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Country</w:t>
            </w:r>
          </w:p>
        </w:tc>
      </w:tr>
      <w:tr w:rsidR="004D4574" w:rsidRPr="00D95C9E" w14:paraId="2DB1F025" w14:textId="77777777" w:rsidTr="0061547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1CF53A9D" w14:textId="04416E76" w:rsidR="00B02A55" w:rsidRPr="00D95C9E" w:rsidRDefault="00B02A55" w:rsidP="00B02A55">
            <w:pPr>
              <w:rPr>
                <w:rFonts w:ascii="Calibri" w:eastAsia="Times New Roman" w:hAnsi="Calibri" w:cs="Calibri"/>
                <w:color w:val="000000"/>
                <w:vertAlign w:val="superscript"/>
                <w:lang w:eastAsia="nl-BE"/>
                <w14:ligatures w14:val="none"/>
              </w:rPr>
            </w:pPr>
            <w:proofErr w:type="spellStart"/>
            <w:r w:rsidRPr="00D95C9E">
              <w:rPr>
                <w:rFonts w:ascii="Calibri" w:eastAsia="Times New Roman" w:hAnsi="Calibri" w:cs="Calibri"/>
                <w:color w:val="000000"/>
                <w:lang w:eastAsia="nl-BE"/>
                <w14:ligatures w14:val="none"/>
              </w:rPr>
              <w:t>Krishn</w:t>
            </w:r>
            <w:proofErr w:type="spellEnd"/>
            <w:r w:rsidRPr="00D95C9E">
              <w:rPr>
                <w:rFonts w:ascii="Calibri" w:eastAsia="Times New Roman" w:hAnsi="Calibri" w:cs="Calibri"/>
                <w:color w:val="000000"/>
                <w:lang w:eastAsia="nl-BE"/>
                <w14:ligatures w14:val="none"/>
              </w:rPr>
              <w:t xml:space="preserve"> S.R. et al.</w:t>
            </w:r>
            <w:r w:rsidRPr="00D95C9E">
              <w:rPr>
                <w:rFonts w:ascii="Calibri" w:eastAsia="Times New Roman" w:hAnsi="Calibri" w:cs="Calibri"/>
                <w:color w:val="000000"/>
                <w:vertAlign w:val="superscript"/>
                <w:lang w:eastAsia="nl-BE"/>
                <w14:ligatures w14:val="none"/>
              </w:rPr>
              <w:t>1</w:t>
            </w:r>
            <w:r w:rsidR="00C34912">
              <w:rPr>
                <w:rFonts w:ascii="Calibri" w:eastAsia="Times New Roman" w:hAnsi="Calibri" w:cs="Calibri"/>
                <w:color w:val="000000"/>
                <w:vertAlign w:val="superscript"/>
                <w:lang w:eastAsia="nl-BE"/>
                <w14:ligatures w14:val="none"/>
              </w:rPr>
              <w:t>2</w:t>
            </w:r>
          </w:p>
          <w:p w14:paraId="3EF6EE94" w14:textId="06D66803" w:rsidR="00B02A55" w:rsidRPr="00D95C9E" w:rsidRDefault="00B02A55" w:rsidP="00B02A55">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tc>
        <w:tc>
          <w:tcPr>
            <w:tcW w:w="2316" w:type="dxa"/>
            <w:noWrap/>
          </w:tcPr>
          <w:p w14:paraId="222B8434" w14:textId="6A60FFCC"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HP (n = 10); adenomas (n = 30); no normal colonic mucosae</w:t>
            </w:r>
          </w:p>
        </w:tc>
        <w:tc>
          <w:tcPr>
            <w:tcW w:w="1209" w:type="dxa"/>
            <w:noWrap/>
          </w:tcPr>
          <w:p w14:paraId="7A7B8099" w14:textId="2642249B"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MUC4, MUC5AC, MUC5B, MUC6, MUC17</w:t>
            </w:r>
          </w:p>
        </w:tc>
        <w:tc>
          <w:tcPr>
            <w:tcW w:w="2069" w:type="dxa"/>
            <w:noWrap/>
          </w:tcPr>
          <w:p w14:paraId="6F01793F" w14:textId="52830C93"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269555E8" w14:textId="08863B12"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There was a downregulation of MUC2 and MUC4 expression (p &lt; 0.0001) while MUC1 and MUC5AC expressions were upregulated (p = 0.01) during adenoma-adenocarcinoma progression. Expression of MUC17 was downregulated in inflamed tissues compared to normal tissues, but its increased expression differentiated adenomas (p = 0.0028) and adenocarcinomas (p = 0.025) from inflammation. Glycan epitope-Tn/</w:t>
            </w:r>
            <w:proofErr w:type="spellStart"/>
            <w:r w:rsidRPr="00D95C9E">
              <w:rPr>
                <w:rFonts w:ascii="Calibri" w:eastAsia="Times New Roman" w:hAnsi="Calibri" w:cs="Calibri"/>
                <w:color w:val="000000"/>
                <w:lang w:val="en-GB" w:eastAsia="nl-BE"/>
                <w14:ligatures w14:val="none"/>
              </w:rPr>
              <w:t>STn</w:t>
            </w:r>
            <w:proofErr w:type="spellEnd"/>
            <w:r w:rsidRPr="00D95C9E">
              <w:rPr>
                <w:rFonts w:ascii="Calibri" w:eastAsia="Times New Roman" w:hAnsi="Calibri" w:cs="Calibri"/>
                <w:color w:val="000000"/>
                <w:lang w:val="en-GB" w:eastAsia="nl-BE"/>
                <w14:ligatures w14:val="none"/>
              </w:rPr>
              <w:t xml:space="preserve"> on MUC1 showed higher expression in hyperplastic polyps (p = 0.023), adenomas (p = 0.042) and adenocarcinomas (p = 0.0096) compared to normal tissues. Multivariate regression analyses indicated that a combination of MUC2, MUC5AC, and MUC17 could effectively discriminate adenoma-adenocarcinoma from hyperplastic polyps.</w:t>
            </w:r>
          </w:p>
        </w:tc>
        <w:tc>
          <w:tcPr>
            <w:tcW w:w="1308" w:type="dxa"/>
            <w:noWrap/>
          </w:tcPr>
          <w:p w14:paraId="4A0D6E09" w14:textId="2094E8F3"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0043376D" w14:textId="0BB969BA"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USA</w:t>
            </w:r>
          </w:p>
        </w:tc>
      </w:tr>
      <w:tr w:rsidR="00B02A55" w:rsidRPr="00D95C9E" w14:paraId="24E2B31D" w14:textId="77777777" w:rsidTr="00615478">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3F28AB8E" w14:textId="2C53DB87" w:rsidR="00B02A55" w:rsidRPr="00C34912" w:rsidRDefault="00B02A55" w:rsidP="00B02A55">
            <w:pPr>
              <w:rPr>
                <w:rFonts w:ascii="Calibri" w:eastAsia="Times New Roman" w:hAnsi="Calibri" w:cs="Calibri"/>
                <w:color w:val="000000"/>
                <w:vertAlign w:val="superscript"/>
                <w:lang w:eastAsia="nl-BE"/>
                <w14:ligatures w14:val="none"/>
              </w:rPr>
            </w:pPr>
            <w:proofErr w:type="spellStart"/>
            <w:r w:rsidRPr="00C34912">
              <w:rPr>
                <w:rFonts w:ascii="Calibri" w:eastAsia="Times New Roman" w:hAnsi="Calibri" w:cs="Calibri"/>
                <w:color w:val="000000"/>
                <w:lang w:eastAsia="nl-BE"/>
                <w14:ligatures w14:val="none"/>
              </w:rPr>
              <w:lastRenderedPageBreak/>
              <w:t>Khaidakov</w:t>
            </w:r>
            <w:proofErr w:type="spellEnd"/>
            <w:r w:rsidRPr="00C34912">
              <w:rPr>
                <w:rFonts w:ascii="Calibri" w:eastAsia="Times New Roman" w:hAnsi="Calibri" w:cs="Calibri"/>
                <w:color w:val="000000"/>
                <w:lang w:eastAsia="nl-BE"/>
                <w14:ligatures w14:val="none"/>
              </w:rPr>
              <w:t xml:space="preserve"> M. et al.</w:t>
            </w:r>
            <w:r w:rsidRPr="00C34912">
              <w:rPr>
                <w:rFonts w:ascii="Calibri" w:eastAsia="Times New Roman" w:hAnsi="Calibri" w:cs="Calibri"/>
                <w:color w:val="000000"/>
                <w:vertAlign w:val="superscript"/>
                <w:lang w:eastAsia="nl-BE"/>
                <w14:ligatures w14:val="none"/>
              </w:rPr>
              <w:t>1</w:t>
            </w:r>
            <w:r w:rsidR="00C34912">
              <w:rPr>
                <w:rFonts w:ascii="Calibri" w:eastAsia="Times New Roman" w:hAnsi="Calibri" w:cs="Calibri"/>
                <w:color w:val="000000"/>
                <w:vertAlign w:val="superscript"/>
                <w:lang w:eastAsia="nl-BE"/>
                <w14:ligatures w14:val="none"/>
              </w:rPr>
              <w:t>3</w:t>
            </w:r>
          </w:p>
          <w:p w14:paraId="2835D7D8" w14:textId="164A418D" w:rsidR="00B02A55" w:rsidRPr="00C34912" w:rsidRDefault="00B02A55" w:rsidP="00B02A55">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Score: 5</w:t>
            </w:r>
          </w:p>
        </w:tc>
        <w:tc>
          <w:tcPr>
            <w:tcW w:w="2316" w:type="dxa"/>
            <w:noWrap/>
          </w:tcPr>
          <w:p w14:paraId="34A63FFA" w14:textId="77233EA1"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HP (n = 47); SSA (n = 37); normal colonic mucosae (n = </w:t>
            </w:r>
            <w:r w:rsidR="008E1AA7" w:rsidRPr="00D95C9E">
              <w:rPr>
                <w:rFonts w:ascii="Calibri" w:eastAsia="Times New Roman" w:hAnsi="Calibri" w:cs="Calibri"/>
                <w:color w:val="000000"/>
                <w:lang w:val="en-GB" w:eastAsia="nl-BE"/>
                <w14:ligatures w14:val="none"/>
              </w:rPr>
              <w:t>30</w:t>
            </w:r>
            <w:r w:rsidRPr="00D95C9E">
              <w:rPr>
                <w:rFonts w:ascii="Calibri" w:eastAsia="Times New Roman" w:hAnsi="Calibri" w:cs="Calibri"/>
                <w:color w:val="000000"/>
                <w:lang w:val="en-GB" w:eastAsia="nl-BE"/>
                <w14:ligatures w14:val="none"/>
              </w:rPr>
              <w:t xml:space="preserve">)   </w:t>
            </w:r>
          </w:p>
        </w:tc>
        <w:tc>
          <w:tcPr>
            <w:tcW w:w="1209" w:type="dxa"/>
            <w:noWrap/>
          </w:tcPr>
          <w:p w14:paraId="68F130BC" w14:textId="2F4558C6"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MUC5AC</w:t>
            </w:r>
          </w:p>
        </w:tc>
        <w:tc>
          <w:tcPr>
            <w:tcW w:w="2069" w:type="dxa"/>
            <w:noWrap/>
          </w:tcPr>
          <w:p w14:paraId="07E7911D" w14:textId="126B6139"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59B6BFD4" w14:textId="3C7D9183"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HP and SSA exhibited an 11.3- and 1.6-fold increase in MUC5AC expression, respectively. </w:t>
            </w:r>
          </w:p>
        </w:tc>
        <w:tc>
          <w:tcPr>
            <w:tcW w:w="1308" w:type="dxa"/>
            <w:noWrap/>
          </w:tcPr>
          <w:p w14:paraId="52EA0DFE" w14:textId="38442535"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Colon</w:t>
            </w:r>
          </w:p>
        </w:tc>
        <w:tc>
          <w:tcPr>
            <w:tcW w:w="1148" w:type="dxa"/>
          </w:tcPr>
          <w:p w14:paraId="7827AB47" w14:textId="29543B32"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USA</w:t>
            </w:r>
          </w:p>
        </w:tc>
      </w:tr>
      <w:tr w:rsidR="004D4574" w:rsidRPr="00D95C9E" w14:paraId="1F50192B" w14:textId="77777777" w:rsidTr="0061547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738B3FD7" w14:textId="75B4A031" w:rsidR="00B02A55" w:rsidRPr="00C34912" w:rsidRDefault="00B02A55" w:rsidP="00B02A55">
            <w:pPr>
              <w:rPr>
                <w:rFonts w:ascii="Calibri" w:eastAsia="Times New Roman" w:hAnsi="Calibri" w:cs="Calibri"/>
                <w:color w:val="000000"/>
                <w:vertAlign w:val="superscript"/>
                <w:lang w:eastAsia="nl-BE"/>
                <w14:ligatures w14:val="none"/>
              </w:rPr>
            </w:pPr>
            <w:proofErr w:type="spellStart"/>
            <w:r w:rsidRPr="00C34912">
              <w:rPr>
                <w:rFonts w:ascii="Calibri" w:eastAsia="Times New Roman" w:hAnsi="Calibri" w:cs="Calibri"/>
                <w:color w:val="000000"/>
                <w:lang w:eastAsia="nl-BE"/>
                <w14:ligatures w14:val="none"/>
              </w:rPr>
              <w:t>Mochizuka</w:t>
            </w:r>
            <w:proofErr w:type="spellEnd"/>
            <w:r w:rsidRPr="00C34912">
              <w:rPr>
                <w:rFonts w:ascii="Calibri" w:eastAsia="Times New Roman" w:hAnsi="Calibri" w:cs="Calibri"/>
                <w:color w:val="000000"/>
                <w:lang w:eastAsia="nl-BE"/>
                <w14:ligatures w14:val="none"/>
              </w:rPr>
              <w:t xml:space="preserve"> A. et al.</w:t>
            </w:r>
            <w:r w:rsidRPr="00C34912">
              <w:rPr>
                <w:rFonts w:ascii="Calibri" w:eastAsia="Times New Roman" w:hAnsi="Calibri" w:cs="Calibri"/>
                <w:color w:val="000000"/>
                <w:vertAlign w:val="superscript"/>
                <w:lang w:eastAsia="nl-BE"/>
                <w14:ligatures w14:val="none"/>
              </w:rPr>
              <w:t>1</w:t>
            </w:r>
            <w:r w:rsidR="00C34912">
              <w:rPr>
                <w:rFonts w:ascii="Calibri" w:eastAsia="Times New Roman" w:hAnsi="Calibri" w:cs="Calibri"/>
                <w:color w:val="000000"/>
                <w:vertAlign w:val="superscript"/>
                <w:lang w:eastAsia="nl-BE"/>
                <w14:ligatures w14:val="none"/>
              </w:rPr>
              <w:t>4</w:t>
            </w:r>
          </w:p>
          <w:p w14:paraId="401D190F" w14:textId="77777777" w:rsidR="00B02A55" w:rsidRPr="00C34912" w:rsidRDefault="00B02A55" w:rsidP="00B02A55">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Score: 6</w:t>
            </w:r>
          </w:p>
          <w:p w14:paraId="23B18EB6" w14:textId="77777777" w:rsidR="00B02A55" w:rsidRPr="00C34912" w:rsidRDefault="00B02A55" w:rsidP="00B02A55">
            <w:pPr>
              <w:rPr>
                <w:rFonts w:ascii="Calibri" w:eastAsia="Times New Roman" w:hAnsi="Calibri" w:cs="Calibri"/>
                <w:color w:val="000000"/>
                <w:lang w:eastAsia="nl-BE"/>
                <w14:ligatures w14:val="none"/>
              </w:rPr>
            </w:pPr>
          </w:p>
        </w:tc>
        <w:tc>
          <w:tcPr>
            <w:tcW w:w="2316" w:type="dxa"/>
            <w:noWrap/>
          </w:tcPr>
          <w:p w14:paraId="6DBCAB8A" w14:textId="37B5A0C2"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HP (n = 15); SSA (n = 29); TSA (n = 12); CA (n = 16); normal colonic mucosae </w:t>
            </w:r>
            <w:r w:rsidR="00763302" w:rsidRPr="00D95C9E">
              <w:rPr>
                <w:rFonts w:ascii="Calibri" w:eastAsia="Times New Roman" w:hAnsi="Calibri" w:cs="Calibri"/>
                <w:color w:val="000000"/>
                <w:lang w:val="en-GB" w:eastAsia="nl-BE"/>
                <w14:ligatures w14:val="none"/>
              </w:rPr>
              <w:t>(n = 10)</w:t>
            </w:r>
          </w:p>
        </w:tc>
        <w:tc>
          <w:tcPr>
            <w:tcW w:w="1209" w:type="dxa"/>
            <w:noWrap/>
          </w:tcPr>
          <w:p w14:paraId="7A0DBBA6" w14:textId="15867FF4"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MUC5AC, MUC6</w:t>
            </w:r>
          </w:p>
        </w:tc>
        <w:tc>
          <w:tcPr>
            <w:tcW w:w="2069" w:type="dxa"/>
            <w:noWrap/>
          </w:tcPr>
          <w:p w14:paraId="7BE4CC82" w14:textId="63E77653"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IHC </w:t>
            </w:r>
          </w:p>
        </w:tc>
        <w:tc>
          <w:tcPr>
            <w:tcW w:w="3364" w:type="dxa"/>
            <w:noWrap/>
          </w:tcPr>
          <w:p w14:paraId="13868526" w14:textId="53CD66F3"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MUC5AC was expressed in the normal colonic mucosa (40%) and in all the serrated polyps examined. MUC5AC was expressed in the mucous granules of goblet cells present in the normal mucosa and the crypt lining cells of serrated polyps. The staining scores for MUC5AC were higher in the HPs, SSAs, and TSAs than in the </w:t>
            </w:r>
            <w:r w:rsidR="0061594C" w:rsidRPr="00D95C9E">
              <w:rPr>
                <w:rFonts w:ascii="Calibri" w:eastAsia="Times New Roman" w:hAnsi="Calibri" w:cs="Calibri"/>
                <w:color w:val="000000"/>
                <w:lang w:val="en-GB" w:eastAsia="nl-BE"/>
                <w14:ligatures w14:val="none"/>
              </w:rPr>
              <w:t>normal colonic</w:t>
            </w:r>
            <w:r w:rsidRPr="00D95C9E">
              <w:rPr>
                <w:rFonts w:ascii="Calibri" w:eastAsia="Times New Roman" w:hAnsi="Calibri" w:cs="Calibri"/>
                <w:color w:val="000000"/>
                <w:lang w:val="en-GB" w:eastAsia="nl-BE"/>
                <w14:ligatures w14:val="none"/>
              </w:rPr>
              <w:t xml:space="preserve"> mucosa.</w:t>
            </w:r>
          </w:p>
        </w:tc>
        <w:tc>
          <w:tcPr>
            <w:tcW w:w="1308" w:type="dxa"/>
            <w:noWrap/>
          </w:tcPr>
          <w:p w14:paraId="2AAEC844" w14:textId="14DDA13C"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0E459ACB" w14:textId="157F485A"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B02A55" w:rsidRPr="00D95C9E" w14:paraId="05E2ABDB" w14:textId="77777777" w:rsidTr="00615478">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778DF296" w14:textId="19A0E510" w:rsidR="00B02A55" w:rsidRPr="00D95C9E" w:rsidRDefault="00B02A55" w:rsidP="00B02A55">
            <w:pPr>
              <w:rPr>
                <w:rFonts w:ascii="Calibri" w:eastAsia="Times New Roman" w:hAnsi="Calibri" w:cs="Calibri"/>
                <w:color w:val="000000"/>
                <w:vertAlign w:val="superscript"/>
                <w:lang w:val="fr-FR" w:eastAsia="nl-BE"/>
                <w14:ligatures w14:val="none"/>
              </w:rPr>
            </w:pPr>
            <w:proofErr w:type="spellStart"/>
            <w:r w:rsidRPr="00D95C9E">
              <w:rPr>
                <w:rFonts w:ascii="Calibri" w:eastAsia="Times New Roman" w:hAnsi="Calibri" w:cs="Calibri"/>
                <w:color w:val="000000"/>
                <w:lang w:val="fr-FR" w:eastAsia="nl-BE"/>
                <w14:ligatures w14:val="none"/>
              </w:rPr>
              <w:t>Higuchi</w:t>
            </w:r>
            <w:proofErr w:type="spellEnd"/>
            <w:r w:rsidRPr="00D95C9E">
              <w:rPr>
                <w:rFonts w:ascii="Calibri" w:eastAsia="Times New Roman" w:hAnsi="Calibri" w:cs="Calibri"/>
                <w:color w:val="000000"/>
                <w:lang w:val="fr-FR" w:eastAsia="nl-BE"/>
                <w14:ligatures w14:val="none"/>
              </w:rPr>
              <w:t xml:space="preserve"> T. et al.</w:t>
            </w:r>
            <w:r w:rsidRPr="00D95C9E">
              <w:rPr>
                <w:rFonts w:ascii="Calibri" w:eastAsia="Times New Roman" w:hAnsi="Calibri" w:cs="Calibri"/>
                <w:color w:val="000000"/>
                <w:vertAlign w:val="superscript"/>
                <w:lang w:val="fr-FR" w:eastAsia="nl-BE"/>
                <w14:ligatures w14:val="none"/>
              </w:rPr>
              <w:t>1</w:t>
            </w:r>
            <w:r w:rsidR="00C34912">
              <w:rPr>
                <w:rFonts w:ascii="Calibri" w:eastAsia="Times New Roman" w:hAnsi="Calibri" w:cs="Calibri"/>
                <w:color w:val="000000"/>
                <w:vertAlign w:val="superscript"/>
                <w:lang w:val="fr-FR" w:eastAsia="nl-BE"/>
                <w14:ligatures w14:val="none"/>
              </w:rPr>
              <w:t>5</w:t>
            </w:r>
          </w:p>
          <w:p w14:paraId="0BA6258D" w14:textId="1BA0508B" w:rsidR="00B02A55" w:rsidRPr="00D95C9E" w:rsidRDefault="00B02A55" w:rsidP="00B02A55">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8</w:t>
            </w:r>
          </w:p>
        </w:tc>
        <w:tc>
          <w:tcPr>
            <w:tcW w:w="2316" w:type="dxa"/>
            <w:noWrap/>
          </w:tcPr>
          <w:p w14:paraId="7FFB38A8" w14:textId="3625FDEA"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HP (n = 61);</w:t>
            </w:r>
            <w:r w:rsidR="00C02BF4" w:rsidRPr="00D95C9E">
              <w:rPr>
                <w:rFonts w:ascii="Calibri" w:eastAsia="Times New Roman" w:hAnsi="Calibri" w:cs="Calibri"/>
                <w:color w:val="000000"/>
                <w:lang w:val="en-GB" w:eastAsia="nl-BE"/>
                <w14:ligatures w14:val="none"/>
              </w:rPr>
              <w:t xml:space="preserve"> </w:t>
            </w:r>
            <w:r w:rsidRPr="00D95C9E">
              <w:rPr>
                <w:rFonts w:ascii="Calibri" w:eastAsia="Times New Roman" w:hAnsi="Calibri" w:cs="Calibri"/>
                <w:color w:val="000000"/>
                <w:lang w:val="en-GB" w:eastAsia="nl-BE"/>
                <w14:ligatures w14:val="none"/>
              </w:rPr>
              <w:t>SSA</w:t>
            </w:r>
            <w:r w:rsidR="00C02BF4" w:rsidRPr="00D95C9E">
              <w:rPr>
                <w:rFonts w:ascii="Calibri" w:eastAsia="Times New Roman" w:hAnsi="Calibri" w:cs="Calibri"/>
                <w:color w:val="000000"/>
                <w:lang w:val="en-GB" w:eastAsia="nl-BE"/>
                <w14:ligatures w14:val="none"/>
              </w:rPr>
              <w:t xml:space="preserve"> </w:t>
            </w:r>
            <w:r w:rsidRPr="00D95C9E">
              <w:rPr>
                <w:rFonts w:ascii="Calibri" w:eastAsia="Times New Roman" w:hAnsi="Calibri" w:cs="Calibri"/>
                <w:color w:val="000000"/>
                <w:lang w:val="en-GB" w:eastAsia="nl-BE"/>
                <w14:ligatures w14:val="none"/>
              </w:rPr>
              <w:t>(n = 24);</w:t>
            </w:r>
            <w:r w:rsidR="00C02BF4" w:rsidRPr="00D95C9E">
              <w:rPr>
                <w:rFonts w:ascii="Calibri" w:eastAsia="Times New Roman" w:hAnsi="Calibri" w:cs="Calibri"/>
                <w:color w:val="000000"/>
                <w:lang w:val="en-GB" w:eastAsia="nl-BE"/>
                <w14:ligatures w14:val="none"/>
              </w:rPr>
              <w:t xml:space="preserve"> M</w:t>
            </w:r>
            <w:r w:rsidRPr="00D95C9E">
              <w:rPr>
                <w:rFonts w:ascii="Calibri" w:eastAsia="Times New Roman" w:hAnsi="Calibri" w:cs="Calibri"/>
                <w:color w:val="000000"/>
                <w:lang w:val="en-GB" w:eastAsia="nl-BE"/>
                <w14:ligatures w14:val="none"/>
              </w:rPr>
              <w:t>P (n = 9);</w:t>
            </w:r>
            <w:r w:rsidR="00C02BF4" w:rsidRPr="00D95C9E">
              <w:rPr>
                <w:rFonts w:ascii="Calibri" w:eastAsia="Times New Roman" w:hAnsi="Calibri" w:cs="Calibri"/>
                <w:color w:val="000000"/>
                <w:lang w:val="en-GB" w:eastAsia="nl-BE"/>
                <w14:ligatures w14:val="none"/>
              </w:rPr>
              <w:t xml:space="preserve"> </w:t>
            </w:r>
            <w:r w:rsidRPr="00D95C9E">
              <w:rPr>
                <w:rFonts w:ascii="Calibri" w:eastAsia="Times New Roman" w:hAnsi="Calibri" w:cs="Calibri"/>
                <w:color w:val="000000"/>
                <w:lang w:val="en-GB" w:eastAsia="nl-BE"/>
                <w14:ligatures w14:val="none"/>
              </w:rPr>
              <w:t>TA (n = 57); TVA (n = 29); no normal colonic mucosae</w:t>
            </w:r>
          </w:p>
        </w:tc>
        <w:tc>
          <w:tcPr>
            <w:tcW w:w="1209" w:type="dxa"/>
            <w:noWrap/>
          </w:tcPr>
          <w:p w14:paraId="63B98C33" w14:textId="2DA66E21"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w:t>
            </w:r>
          </w:p>
        </w:tc>
        <w:tc>
          <w:tcPr>
            <w:tcW w:w="2069" w:type="dxa"/>
            <w:noWrap/>
          </w:tcPr>
          <w:p w14:paraId="60447471" w14:textId="64DBAFD8"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IHC </w:t>
            </w:r>
          </w:p>
        </w:tc>
        <w:tc>
          <w:tcPr>
            <w:tcW w:w="3364" w:type="dxa"/>
            <w:noWrap/>
          </w:tcPr>
          <w:p w14:paraId="3D33ECD1" w14:textId="5AF5D2B9"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staining was increased in the serrated polyps. MUC5AC staining was similar to that of MUC2, but with additional staining of goblet cell thecae. AD showed less MUC2 expression than either HP or ASP. HP, SSA and MP showed more expression of MUC5AC than that observed in AD. Additionally, SSA had more expression of MUC5AC than either HP or SA, but not MP.</w:t>
            </w:r>
          </w:p>
        </w:tc>
        <w:tc>
          <w:tcPr>
            <w:tcW w:w="1308" w:type="dxa"/>
            <w:noWrap/>
          </w:tcPr>
          <w:p w14:paraId="0C10D8A2" w14:textId="23A1FA92"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7D5375FF" w14:textId="18167414" w:rsidR="00B02A55" w:rsidRPr="00D95C9E" w:rsidRDefault="00B02A55" w:rsidP="00B02A5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Canada</w:t>
            </w:r>
          </w:p>
        </w:tc>
      </w:tr>
      <w:tr w:rsidR="00B02A55" w:rsidRPr="00D95C9E" w14:paraId="4A340D54" w14:textId="77777777" w:rsidTr="0061547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159FEBD5" w14:textId="73F904A9" w:rsidR="00B02A55" w:rsidRPr="00D95C9E" w:rsidRDefault="00B02A55" w:rsidP="00B02A55">
            <w:pPr>
              <w:rPr>
                <w:rFonts w:ascii="Calibri" w:eastAsia="Times New Roman" w:hAnsi="Calibri" w:cs="Calibri"/>
                <w:color w:val="000000"/>
                <w:vertAlign w:val="superscript"/>
                <w:lang w:val="en-GB" w:eastAsia="nl-BE"/>
                <w14:ligatures w14:val="none"/>
              </w:rPr>
            </w:pPr>
            <w:r w:rsidRPr="00D95C9E">
              <w:rPr>
                <w:rFonts w:ascii="Calibri" w:eastAsia="Times New Roman" w:hAnsi="Calibri" w:cs="Calibri"/>
                <w:color w:val="000000"/>
                <w:lang w:val="en-GB" w:eastAsia="nl-BE"/>
                <w14:ligatures w14:val="none"/>
              </w:rPr>
              <w:t>Hiromoto T. et al.</w:t>
            </w:r>
            <w:r w:rsidRPr="00D95C9E">
              <w:rPr>
                <w:rFonts w:ascii="Calibri" w:eastAsia="Times New Roman" w:hAnsi="Calibri" w:cs="Calibri"/>
                <w:color w:val="000000"/>
                <w:vertAlign w:val="superscript"/>
                <w:lang w:val="en-GB" w:eastAsia="nl-BE"/>
                <w14:ligatures w14:val="none"/>
              </w:rPr>
              <w:t>1</w:t>
            </w:r>
            <w:r w:rsidR="00C34912">
              <w:rPr>
                <w:rFonts w:ascii="Calibri" w:eastAsia="Times New Roman" w:hAnsi="Calibri" w:cs="Calibri"/>
                <w:color w:val="000000"/>
                <w:vertAlign w:val="superscript"/>
                <w:lang w:val="en-GB" w:eastAsia="nl-BE"/>
                <w14:ligatures w14:val="none"/>
              </w:rPr>
              <w:t>6</w:t>
            </w:r>
          </w:p>
          <w:p w14:paraId="5F4AB8D9" w14:textId="3327166F" w:rsidR="00B02A55" w:rsidRPr="00D95C9E" w:rsidRDefault="00B02A55" w:rsidP="00B02A55">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8</w:t>
            </w:r>
          </w:p>
        </w:tc>
        <w:tc>
          <w:tcPr>
            <w:tcW w:w="2316" w:type="dxa"/>
            <w:noWrap/>
          </w:tcPr>
          <w:p w14:paraId="50A24821" w14:textId="7BF2457C"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TSA (n = 131); no normal colonic mucosae</w:t>
            </w:r>
          </w:p>
        </w:tc>
        <w:tc>
          <w:tcPr>
            <w:tcW w:w="1209" w:type="dxa"/>
            <w:noWrap/>
          </w:tcPr>
          <w:p w14:paraId="7CB5F805" w14:textId="407938F6"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 MUC6</w:t>
            </w:r>
          </w:p>
        </w:tc>
        <w:tc>
          <w:tcPr>
            <w:tcW w:w="2069" w:type="dxa"/>
            <w:noWrap/>
          </w:tcPr>
          <w:p w14:paraId="6BF8D671" w14:textId="058B0B77"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4447AC5B" w14:textId="42437C64"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All cases were positive for MUC2 but negative for MUC6. MUC5AC positivity was found significantly more frequently in mucin rich TSA (MR-TSAs) (53%) than in conventional TSA (C-TSAs) (26%; P = 0.026).</w:t>
            </w:r>
          </w:p>
        </w:tc>
        <w:tc>
          <w:tcPr>
            <w:tcW w:w="1308" w:type="dxa"/>
            <w:noWrap/>
          </w:tcPr>
          <w:p w14:paraId="0CABE9EA" w14:textId="3207EFF5"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3A397B18" w14:textId="758D457E" w:rsidR="00B02A55" w:rsidRPr="00D95C9E" w:rsidRDefault="00B02A55" w:rsidP="00B02A5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8C2905" w:rsidRPr="00D95C9E" w14:paraId="0337E1F8" w14:textId="77777777" w:rsidTr="00615478">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0CD28599" w14:textId="080E4A9C" w:rsidR="008C2905" w:rsidRPr="00D95C9E" w:rsidRDefault="008C2905" w:rsidP="008C2905">
            <w:pPr>
              <w:rPr>
                <w:rFonts w:ascii="Calibri" w:eastAsia="Times New Roman" w:hAnsi="Calibri" w:cs="Calibri"/>
                <w:color w:val="000000"/>
                <w:vertAlign w:val="superscript"/>
                <w:lang w:val="fr-FR" w:eastAsia="nl-BE"/>
                <w14:ligatures w14:val="none"/>
              </w:rPr>
            </w:pPr>
            <w:r w:rsidRPr="00D95C9E">
              <w:rPr>
                <w:rFonts w:ascii="Calibri" w:eastAsia="Times New Roman" w:hAnsi="Calibri" w:cs="Calibri"/>
                <w:color w:val="000000"/>
                <w:lang w:val="fr-FR" w:eastAsia="nl-BE"/>
                <w14:ligatures w14:val="none"/>
              </w:rPr>
              <w:lastRenderedPageBreak/>
              <w:t>Renaud F. et al. (2016)</w:t>
            </w:r>
            <w:r w:rsidRPr="00D95C9E">
              <w:rPr>
                <w:rFonts w:ascii="Calibri" w:eastAsia="Times New Roman" w:hAnsi="Calibri" w:cs="Calibri"/>
                <w:color w:val="000000"/>
                <w:vertAlign w:val="superscript"/>
                <w:lang w:val="fr-FR" w:eastAsia="nl-BE"/>
                <w14:ligatures w14:val="none"/>
              </w:rPr>
              <w:t>1</w:t>
            </w:r>
            <w:r w:rsidR="00C34912">
              <w:rPr>
                <w:rFonts w:ascii="Calibri" w:eastAsia="Times New Roman" w:hAnsi="Calibri" w:cs="Calibri"/>
                <w:color w:val="000000"/>
                <w:vertAlign w:val="superscript"/>
                <w:lang w:val="fr-FR" w:eastAsia="nl-BE"/>
                <w14:ligatures w14:val="none"/>
              </w:rPr>
              <w:t>7</w:t>
            </w:r>
          </w:p>
          <w:p w14:paraId="20EEC038" w14:textId="035BED44" w:rsidR="008C2905" w:rsidRPr="00D95C9E" w:rsidRDefault="008C2905" w:rsidP="008C2905">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5</w:t>
            </w:r>
          </w:p>
        </w:tc>
        <w:tc>
          <w:tcPr>
            <w:tcW w:w="2316" w:type="dxa"/>
            <w:noWrap/>
          </w:tcPr>
          <w:p w14:paraId="0250F319" w14:textId="29BAC482"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Serrated polyps (n = 218); </w:t>
            </w:r>
            <w:proofErr w:type="spellStart"/>
            <w:r w:rsidRPr="00D95C9E">
              <w:rPr>
                <w:rFonts w:ascii="Calibri" w:eastAsia="Times New Roman" w:hAnsi="Calibri" w:cs="Calibri"/>
                <w:color w:val="000000"/>
                <w:lang w:val="en-GB" w:eastAsia="nl-BE"/>
                <w14:ligatures w14:val="none"/>
              </w:rPr>
              <w:t>microvesicular</w:t>
            </w:r>
            <w:proofErr w:type="spellEnd"/>
            <w:r w:rsidRPr="00D95C9E">
              <w:rPr>
                <w:rFonts w:ascii="Calibri" w:eastAsia="Times New Roman" w:hAnsi="Calibri" w:cs="Calibri"/>
                <w:color w:val="000000"/>
                <w:lang w:val="en-GB" w:eastAsia="nl-BE"/>
                <w14:ligatures w14:val="none"/>
              </w:rPr>
              <w:t xml:space="preserve"> HP (n = 68); SSA (n = 100); TSA (n = 8); </w:t>
            </w:r>
            <w:r w:rsidR="00C02BF4" w:rsidRPr="00D95C9E">
              <w:rPr>
                <w:rFonts w:ascii="Calibri" w:eastAsia="Times New Roman" w:hAnsi="Calibri" w:cs="Calibri"/>
                <w:color w:val="000000"/>
                <w:lang w:val="en-GB" w:eastAsia="nl-BE"/>
                <w14:ligatures w14:val="none"/>
              </w:rPr>
              <w:t>CA</w:t>
            </w:r>
            <w:r w:rsidRPr="00D95C9E">
              <w:rPr>
                <w:rFonts w:ascii="Calibri" w:eastAsia="Times New Roman" w:hAnsi="Calibri" w:cs="Calibri"/>
                <w:color w:val="000000"/>
                <w:lang w:val="en-GB" w:eastAsia="nl-BE"/>
                <w14:ligatures w14:val="none"/>
              </w:rPr>
              <w:t xml:space="preserve"> (n = 112); no normal colonic mucosae</w:t>
            </w:r>
          </w:p>
        </w:tc>
        <w:tc>
          <w:tcPr>
            <w:tcW w:w="1209" w:type="dxa"/>
            <w:noWrap/>
          </w:tcPr>
          <w:p w14:paraId="768AB5E2" w14:textId="2D5134A6"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w:t>
            </w:r>
          </w:p>
        </w:tc>
        <w:tc>
          <w:tcPr>
            <w:tcW w:w="2069" w:type="dxa"/>
            <w:noWrap/>
          </w:tcPr>
          <w:p w14:paraId="42709AF6" w14:textId="1F5DA0FE"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Promotor methylation status, IHC</w:t>
            </w:r>
          </w:p>
        </w:tc>
        <w:tc>
          <w:tcPr>
            <w:tcW w:w="3364" w:type="dxa"/>
            <w:noWrap/>
          </w:tcPr>
          <w:p w14:paraId="65F5FE32" w14:textId="77777777"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MUC2 and MUC5AC expressions were more frequent in SA than in CA (95 vs. 63%, p &lt; 0.0001 and 96 vs. 59%, p &lt; 0.0001, respectively). </w:t>
            </w:r>
          </w:p>
          <w:p w14:paraId="2925C0C6" w14:textId="77777777"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MUC2 hypomethylation was more frequent in serrated polyps than in CA (37 vs. 19%, p &lt; 0.0001). MUC2 hypomethylation was associated with proximal location in both </w:t>
            </w:r>
            <w:proofErr w:type="spellStart"/>
            <w:r w:rsidRPr="00D95C9E">
              <w:rPr>
                <w:rFonts w:ascii="Calibri" w:eastAsia="Times New Roman" w:hAnsi="Calibri" w:cs="Calibri"/>
                <w:color w:val="000000"/>
                <w:lang w:val="en-GB" w:eastAsia="nl-BE"/>
                <w14:ligatures w14:val="none"/>
              </w:rPr>
              <w:t>microvesicular</w:t>
            </w:r>
            <w:proofErr w:type="spellEnd"/>
            <w:r w:rsidRPr="00D95C9E">
              <w:rPr>
                <w:rFonts w:ascii="Calibri" w:eastAsia="Times New Roman" w:hAnsi="Calibri" w:cs="Calibri"/>
                <w:color w:val="000000"/>
                <w:lang w:val="en-GB" w:eastAsia="nl-BE"/>
                <w14:ligatures w14:val="none"/>
              </w:rPr>
              <w:t xml:space="preserve"> HPs (MVHP) and SSA (p &lt; 0.0001 and p &lt; 0.0001, respectively). In MVHP, MUC2 hypomethylation was associated with proximal location (p = 0.001) and CIMP (p = 0.002). In SSA, MUC2 hypomethylation was associated with proximal location (p &lt; 0.0001), BRAF mutation (p &lt; 0.0001), MSI (p &lt; 0.0001) and CIMP (p &lt; 0.0001).</w:t>
            </w:r>
          </w:p>
          <w:p w14:paraId="28612208" w14:textId="77777777"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MUC5AC hypomethylation was detected in 19% of serrated polyps and none of the CA, indicating that MUC5AC hypomethylation is specific for the serrated pathway (p &lt; 0.0001). MUC5AC hypomethylation was associated with proximal location in both MVHP and SSA (p &lt; 0.011 and p &lt; 0.0001, respectively), with a gradual increase of MUC5AC hypomethylation frequency from rectosigmoid </w:t>
            </w:r>
            <w:r w:rsidRPr="00D95C9E">
              <w:rPr>
                <w:rFonts w:ascii="Calibri" w:eastAsia="Times New Roman" w:hAnsi="Calibri" w:cs="Calibri"/>
                <w:color w:val="000000"/>
                <w:lang w:val="en-GB" w:eastAsia="nl-BE"/>
                <w14:ligatures w14:val="none"/>
              </w:rPr>
              <w:lastRenderedPageBreak/>
              <w:t>through</w:t>
            </w:r>
            <w:r w:rsidRPr="00D95C9E">
              <w:rPr>
                <w:rFonts w:ascii="Open Sans" w:eastAsia="Calibri" w:hAnsi="Open Sans" w:cs="Open Sans"/>
                <w:color w:val="000000"/>
                <w:shd w:val="clear" w:color="auto" w:fill="FFFFFF"/>
                <w:lang w:val="en-GB"/>
                <w14:ligatures w14:val="none"/>
              </w:rPr>
              <w:t xml:space="preserve"> </w:t>
            </w:r>
            <w:r w:rsidRPr="00D95C9E">
              <w:rPr>
                <w:rFonts w:ascii="Calibri" w:eastAsia="Times New Roman" w:hAnsi="Calibri" w:cs="Calibri"/>
                <w:color w:val="000000"/>
                <w:lang w:val="en-GB" w:eastAsia="nl-BE"/>
                <w14:ligatures w14:val="none"/>
              </w:rPr>
              <w:t>cecum. In MVHP, MUC5AC hypomethylation was also associated with BRAF mutation (p = 0.017), MSI (p &lt; 0.0001), MLH1 methylation (p &lt; 0.0001) and CIMP-H (p &lt; 0.0001). In SSA (with or without dysplasia), MUC5AC hypomethylation was associated with BRAF mutation (p &lt; 0.0001), MSI (p &lt; 0.0001), MLH1 methylation (p &lt; 0.0001) and CIMP (p &lt; 0.0001).</w:t>
            </w:r>
          </w:p>
          <w:p w14:paraId="316345EE" w14:textId="77777777"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p w14:paraId="74F5A382" w14:textId="4509C156"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MUC5AC hypomethylation was detected in 53% (39/74) of serrated polyps </w:t>
            </w:r>
            <w:r w:rsidR="0012669A" w:rsidRPr="00D95C9E">
              <w:rPr>
                <w:rFonts w:ascii="Calibri" w:eastAsia="Times New Roman" w:hAnsi="Calibri" w:cs="Calibri"/>
                <w:color w:val="000000"/>
                <w:lang w:val="en-GB" w:eastAsia="nl-BE"/>
                <w14:ligatures w14:val="none"/>
              </w:rPr>
              <w:t>harbouring</w:t>
            </w:r>
            <w:r w:rsidRPr="00D95C9E">
              <w:rPr>
                <w:rFonts w:ascii="Calibri" w:eastAsia="Times New Roman" w:hAnsi="Calibri" w:cs="Calibri"/>
                <w:color w:val="000000"/>
                <w:lang w:val="en-GB" w:eastAsia="nl-BE"/>
                <w14:ligatures w14:val="none"/>
              </w:rPr>
              <w:t xml:space="preserve"> BRAF mutation, CIMP-H or MSI and in none (0/144) of the other serrated polyps, which corresponds to a positive predictive value of 100% and a negative predictive value of 81.4% for the identification of serrated lesions with malignant potential. By comparison, MUC2 hypomethylation was detected in 53% (39/74) of serrated polyps </w:t>
            </w:r>
            <w:r w:rsidR="0012669A" w:rsidRPr="00D95C9E">
              <w:rPr>
                <w:rFonts w:ascii="Calibri" w:eastAsia="Times New Roman" w:hAnsi="Calibri" w:cs="Calibri"/>
                <w:color w:val="000000"/>
                <w:lang w:val="en-GB" w:eastAsia="nl-BE"/>
                <w14:ligatures w14:val="none"/>
              </w:rPr>
              <w:t>harbouring</w:t>
            </w:r>
            <w:r w:rsidRPr="00D95C9E">
              <w:rPr>
                <w:rFonts w:ascii="Calibri" w:eastAsia="Times New Roman" w:hAnsi="Calibri" w:cs="Calibri"/>
                <w:color w:val="000000"/>
                <w:lang w:val="en-GB" w:eastAsia="nl-BE"/>
                <w14:ligatures w14:val="none"/>
              </w:rPr>
              <w:t xml:space="preserve"> BRAF mutation, CIMP-H or MSI, but also in 28% (40/144) of the others, which corresponds to a positive predictive value of </w:t>
            </w:r>
            <w:r w:rsidRPr="00D95C9E">
              <w:rPr>
                <w:rFonts w:ascii="Calibri" w:eastAsia="Times New Roman" w:hAnsi="Calibri" w:cs="Calibri"/>
                <w:color w:val="000000"/>
                <w:lang w:val="en-GB" w:eastAsia="nl-BE"/>
                <w14:ligatures w14:val="none"/>
              </w:rPr>
              <w:lastRenderedPageBreak/>
              <w:t>49.4% and a negative predictive value of 76% for the identification of serrated lesions with malignant potential.</w:t>
            </w:r>
          </w:p>
        </w:tc>
        <w:tc>
          <w:tcPr>
            <w:tcW w:w="1308" w:type="dxa"/>
            <w:noWrap/>
          </w:tcPr>
          <w:p w14:paraId="0E8EB1C2" w14:textId="36C30FBB"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48" w:type="dxa"/>
          </w:tcPr>
          <w:p w14:paraId="134618F3" w14:textId="743F3C84"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France</w:t>
            </w:r>
          </w:p>
        </w:tc>
      </w:tr>
      <w:tr w:rsidR="008C2905" w:rsidRPr="00D95C9E" w14:paraId="77171754" w14:textId="77777777" w:rsidTr="0061547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371DF39B" w14:textId="68927AE1" w:rsidR="008C2905" w:rsidRPr="00C34912" w:rsidRDefault="008C2905" w:rsidP="008C2905">
            <w:pPr>
              <w:rPr>
                <w:rFonts w:ascii="Calibri" w:eastAsia="Times New Roman" w:hAnsi="Calibri" w:cs="Calibri"/>
                <w:color w:val="000000"/>
                <w:vertAlign w:val="superscript"/>
                <w:lang w:eastAsia="nl-BE"/>
                <w14:ligatures w14:val="none"/>
              </w:rPr>
            </w:pPr>
            <w:proofErr w:type="spellStart"/>
            <w:r w:rsidRPr="00C34912">
              <w:rPr>
                <w:rFonts w:ascii="Calibri" w:eastAsia="Times New Roman" w:hAnsi="Calibri" w:cs="Calibri"/>
                <w:color w:val="000000"/>
                <w:lang w:eastAsia="nl-BE"/>
                <w14:ligatures w14:val="none"/>
              </w:rPr>
              <w:lastRenderedPageBreak/>
              <w:t>Molaei</w:t>
            </w:r>
            <w:proofErr w:type="spellEnd"/>
            <w:r w:rsidRPr="00C34912">
              <w:rPr>
                <w:rFonts w:ascii="Calibri" w:eastAsia="Times New Roman" w:hAnsi="Calibri" w:cs="Calibri"/>
                <w:color w:val="000000"/>
                <w:lang w:eastAsia="nl-BE"/>
                <w14:ligatures w14:val="none"/>
              </w:rPr>
              <w:t xml:space="preserve"> M. et al.</w:t>
            </w:r>
            <w:r w:rsidRPr="00C34912">
              <w:rPr>
                <w:rFonts w:ascii="Calibri" w:eastAsia="Times New Roman" w:hAnsi="Calibri" w:cs="Calibri"/>
                <w:color w:val="000000"/>
                <w:vertAlign w:val="superscript"/>
                <w:lang w:eastAsia="nl-BE"/>
                <w14:ligatures w14:val="none"/>
              </w:rPr>
              <w:t>1</w:t>
            </w:r>
            <w:r w:rsidR="00C34912">
              <w:rPr>
                <w:rFonts w:ascii="Calibri" w:eastAsia="Times New Roman" w:hAnsi="Calibri" w:cs="Calibri"/>
                <w:color w:val="000000"/>
                <w:vertAlign w:val="superscript"/>
                <w:lang w:eastAsia="nl-BE"/>
                <w14:ligatures w14:val="none"/>
              </w:rPr>
              <w:t>8</w:t>
            </w:r>
          </w:p>
          <w:p w14:paraId="171A28E6" w14:textId="13174EF0" w:rsidR="008C2905" w:rsidRPr="00C34912" w:rsidRDefault="008C2905" w:rsidP="008C2905">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Score: 7</w:t>
            </w:r>
          </w:p>
        </w:tc>
        <w:tc>
          <w:tcPr>
            <w:tcW w:w="2316" w:type="dxa"/>
            <w:noWrap/>
          </w:tcPr>
          <w:p w14:paraId="619FBC52" w14:textId="7D1188FD" w:rsidR="008C2905" w:rsidRPr="00D95C9E" w:rsidRDefault="008C2905" w:rsidP="008C290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HP (n = 36); SA (n = 14), TA (n = 258), TVA (n = 114); VA (n = 31) ; no normal colonic mucosae</w:t>
            </w:r>
          </w:p>
        </w:tc>
        <w:tc>
          <w:tcPr>
            <w:tcW w:w="1209" w:type="dxa"/>
            <w:noWrap/>
          </w:tcPr>
          <w:p w14:paraId="48087B8B" w14:textId="19FABF89" w:rsidR="008C2905" w:rsidRPr="00D95C9E" w:rsidRDefault="008C2905" w:rsidP="008C290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 MUC6</w:t>
            </w:r>
          </w:p>
        </w:tc>
        <w:tc>
          <w:tcPr>
            <w:tcW w:w="2069" w:type="dxa"/>
            <w:noWrap/>
          </w:tcPr>
          <w:p w14:paraId="0878509A" w14:textId="4392A24B" w:rsidR="008C2905" w:rsidRPr="00D95C9E" w:rsidRDefault="008C2905" w:rsidP="008C290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6B68EFF1" w14:textId="77777777" w:rsidR="008C2905" w:rsidRPr="00D95C9E" w:rsidRDefault="008C2905" w:rsidP="008C290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The expression of MUC1 was significantly higher in TA than SSA/HP (23.5% vs. 7.8%, P = 0.005). The main difference between the MUC1 positive and negative polyps was in the level of neoplastic transformation. </w:t>
            </w:r>
          </w:p>
          <w:p w14:paraId="0AB8D3E7" w14:textId="33C9D4A8" w:rsidR="008C2905" w:rsidRPr="00D95C9E" w:rsidRDefault="008C2905" w:rsidP="008C290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The majority of colorectal polyps showed no expression of MUC5AC, with the exception of SSA  (66% were MUC5AC positive). Certain patterns of MUC expression were significantly associated with invasion of polyps into the mucosa or muscularis mucosae, including the upregulation of MUC1, absence of MUC2, and positive MUC6 staining. Regression analysis, with covariates of gender, age, polyp site, and MUC status included, indicated that negative staining for MUC2 and positive staining for MUC6, would increase the risk of mucosal or muscularis mucosae invasion in colorectal polyps significantly.</w:t>
            </w:r>
          </w:p>
        </w:tc>
        <w:tc>
          <w:tcPr>
            <w:tcW w:w="1308" w:type="dxa"/>
            <w:noWrap/>
          </w:tcPr>
          <w:p w14:paraId="6FA601FB" w14:textId="60EFFE48" w:rsidR="008C2905" w:rsidRPr="00D95C9E" w:rsidRDefault="008C2905" w:rsidP="008C290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Colorectum </w:t>
            </w:r>
          </w:p>
        </w:tc>
        <w:tc>
          <w:tcPr>
            <w:tcW w:w="1148" w:type="dxa"/>
          </w:tcPr>
          <w:p w14:paraId="4EA6FBCF" w14:textId="71FAF468" w:rsidR="008C2905" w:rsidRPr="00D95C9E" w:rsidRDefault="008C2905" w:rsidP="008C290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Iran</w:t>
            </w:r>
          </w:p>
        </w:tc>
      </w:tr>
      <w:tr w:rsidR="008C2905" w:rsidRPr="00D95C9E" w14:paraId="6E702DD5" w14:textId="77777777" w:rsidTr="00615478">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25F18C78" w14:textId="2C95B4AF" w:rsidR="008C2905" w:rsidRPr="00C34912" w:rsidRDefault="008C2905" w:rsidP="008C2905">
            <w:pPr>
              <w:rPr>
                <w:rFonts w:ascii="Calibri" w:eastAsia="Times New Roman" w:hAnsi="Calibri" w:cs="Calibri"/>
                <w:color w:val="000000"/>
                <w:vertAlign w:val="superscript"/>
                <w:lang w:eastAsia="nl-BE"/>
                <w14:ligatures w14:val="none"/>
              </w:rPr>
            </w:pPr>
            <w:proofErr w:type="spellStart"/>
            <w:r w:rsidRPr="00C34912">
              <w:rPr>
                <w:rFonts w:ascii="Calibri" w:eastAsia="Times New Roman" w:hAnsi="Calibri" w:cs="Calibri"/>
                <w:color w:val="000000"/>
                <w:lang w:eastAsia="nl-BE"/>
                <w14:ligatures w14:val="none"/>
              </w:rPr>
              <w:t>Bartley</w:t>
            </w:r>
            <w:proofErr w:type="spellEnd"/>
            <w:r w:rsidRPr="00C34912">
              <w:rPr>
                <w:rFonts w:ascii="Calibri" w:eastAsia="Times New Roman" w:hAnsi="Calibri" w:cs="Calibri"/>
                <w:color w:val="000000"/>
                <w:lang w:eastAsia="nl-BE"/>
                <w14:ligatures w14:val="none"/>
              </w:rPr>
              <w:t xml:space="preserve"> A.N. et al.</w:t>
            </w:r>
            <w:r w:rsidRPr="00C34912">
              <w:rPr>
                <w:rFonts w:ascii="Calibri" w:eastAsia="Times New Roman" w:hAnsi="Calibri" w:cs="Calibri"/>
                <w:color w:val="000000"/>
                <w:vertAlign w:val="superscript"/>
                <w:lang w:eastAsia="nl-BE"/>
                <w14:ligatures w14:val="none"/>
              </w:rPr>
              <w:t>1</w:t>
            </w:r>
            <w:r w:rsidR="00C34912">
              <w:rPr>
                <w:rFonts w:ascii="Calibri" w:eastAsia="Times New Roman" w:hAnsi="Calibri" w:cs="Calibri"/>
                <w:color w:val="000000"/>
                <w:vertAlign w:val="superscript"/>
                <w:lang w:eastAsia="nl-BE"/>
                <w14:ligatures w14:val="none"/>
              </w:rPr>
              <w:t>9</w:t>
            </w:r>
          </w:p>
          <w:p w14:paraId="1DC8598F" w14:textId="3EA6A0B9" w:rsidR="008C2905" w:rsidRPr="00D95C9E" w:rsidRDefault="008C2905" w:rsidP="008C2905">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tc>
        <w:tc>
          <w:tcPr>
            <w:tcW w:w="2316" w:type="dxa"/>
            <w:noWrap/>
          </w:tcPr>
          <w:p w14:paraId="2A2078D3" w14:textId="1970BDD7"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Serrated polyps (n = 146); conventional tubular adenomas (n = </w:t>
            </w:r>
            <w:r w:rsidRPr="00D95C9E">
              <w:rPr>
                <w:rFonts w:ascii="Calibri" w:eastAsia="Times New Roman" w:hAnsi="Calibri" w:cs="Calibri"/>
                <w:color w:val="000000"/>
                <w:lang w:val="en-GB" w:eastAsia="nl-BE"/>
                <w14:ligatures w14:val="none"/>
              </w:rPr>
              <w:lastRenderedPageBreak/>
              <w:t>87); no normal colonic mucosae</w:t>
            </w:r>
          </w:p>
        </w:tc>
        <w:tc>
          <w:tcPr>
            <w:tcW w:w="1209" w:type="dxa"/>
            <w:noWrap/>
          </w:tcPr>
          <w:p w14:paraId="3AC80122" w14:textId="152F9269"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MUC6</w:t>
            </w:r>
          </w:p>
        </w:tc>
        <w:tc>
          <w:tcPr>
            <w:tcW w:w="2069" w:type="dxa"/>
            <w:noWrap/>
          </w:tcPr>
          <w:p w14:paraId="25E03DF6" w14:textId="5D108D8D"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IHC </w:t>
            </w:r>
          </w:p>
        </w:tc>
        <w:tc>
          <w:tcPr>
            <w:tcW w:w="3364" w:type="dxa"/>
            <w:noWrap/>
          </w:tcPr>
          <w:p w14:paraId="26B5BA38" w14:textId="5F133808"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SSA (53%), HP (17%) and TSA (18%) expressed MUC6. MUC6 expression was absent in TA</w:t>
            </w:r>
          </w:p>
        </w:tc>
        <w:tc>
          <w:tcPr>
            <w:tcW w:w="1308" w:type="dxa"/>
            <w:noWrap/>
          </w:tcPr>
          <w:p w14:paraId="24B5C47F" w14:textId="7F5974A0"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6C4000EB" w14:textId="25DC29A5" w:rsidR="008C2905" w:rsidRPr="00D95C9E" w:rsidRDefault="008C2905" w:rsidP="008C290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USA</w:t>
            </w:r>
          </w:p>
        </w:tc>
      </w:tr>
      <w:tr w:rsidR="004D4574" w:rsidRPr="00D95C9E" w14:paraId="6DFF6C59" w14:textId="77777777" w:rsidTr="0061547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77CDD37F" w14:textId="3DBBB159" w:rsidR="004D4574" w:rsidRPr="00C34912" w:rsidRDefault="004D4574" w:rsidP="004D4574">
            <w:pPr>
              <w:rPr>
                <w:rFonts w:ascii="Calibri" w:eastAsia="Times New Roman" w:hAnsi="Calibri" w:cs="Calibri"/>
                <w:color w:val="000000"/>
                <w:vertAlign w:val="superscript"/>
                <w:lang w:eastAsia="nl-BE"/>
                <w14:ligatures w14:val="none"/>
              </w:rPr>
            </w:pPr>
            <w:r w:rsidRPr="00C34912">
              <w:rPr>
                <w:rFonts w:ascii="Calibri" w:eastAsia="Times New Roman" w:hAnsi="Calibri" w:cs="Calibri"/>
                <w:color w:val="000000"/>
                <w:lang w:eastAsia="nl-BE"/>
                <w14:ligatures w14:val="none"/>
              </w:rPr>
              <w:t>Owens S.R. et al.</w:t>
            </w:r>
            <w:r w:rsidR="00C34912">
              <w:rPr>
                <w:rFonts w:ascii="Calibri" w:eastAsia="Times New Roman" w:hAnsi="Calibri" w:cs="Calibri"/>
                <w:color w:val="000000"/>
                <w:vertAlign w:val="superscript"/>
                <w:lang w:eastAsia="nl-BE"/>
                <w14:ligatures w14:val="none"/>
              </w:rPr>
              <w:t>20</w:t>
            </w:r>
          </w:p>
          <w:p w14:paraId="0997DFE7" w14:textId="2E3796EA" w:rsidR="004D4574" w:rsidRPr="00D95C9E" w:rsidRDefault="004D4574" w:rsidP="004D4574">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5</w:t>
            </w:r>
          </w:p>
        </w:tc>
        <w:tc>
          <w:tcPr>
            <w:tcW w:w="2316" w:type="dxa"/>
            <w:noWrap/>
          </w:tcPr>
          <w:p w14:paraId="22755F2F" w14:textId="25A55884"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Polyps (n = 94); no normal colonic mucosae</w:t>
            </w:r>
          </w:p>
        </w:tc>
        <w:tc>
          <w:tcPr>
            <w:tcW w:w="1209" w:type="dxa"/>
            <w:noWrap/>
          </w:tcPr>
          <w:p w14:paraId="0BD165BE" w14:textId="53417AB2"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MUC6</w:t>
            </w:r>
          </w:p>
        </w:tc>
        <w:tc>
          <w:tcPr>
            <w:tcW w:w="2069" w:type="dxa"/>
            <w:noWrap/>
          </w:tcPr>
          <w:p w14:paraId="7B38F16D" w14:textId="120CE817"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5292E6C5" w14:textId="143083A3"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MUC6 was found to have 100% specificity in distinguishing SSA (n = 26; positive staining) from HP (n = 48; negative staining). TSA were also negative for MUC6. SSA with cytological dysplasia were found to lose expression of MLH-1 in dysplastic areas, while retaining MUC6 expression.</w:t>
            </w:r>
          </w:p>
        </w:tc>
        <w:tc>
          <w:tcPr>
            <w:tcW w:w="1308" w:type="dxa"/>
            <w:noWrap/>
          </w:tcPr>
          <w:p w14:paraId="68ABFD4A" w14:textId="2436D06B"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Colon</w:t>
            </w:r>
          </w:p>
        </w:tc>
        <w:tc>
          <w:tcPr>
            <w:tcW w:w="1148" w:type="dxa"/>
          </w:tcPr>
          <w:p w14:paraId="2920E50A" w14:textId="65E6684B"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USA</w:t>
            </w:r>
          </w:p>
        </w:tc>
      </w:tr>
      <w:tr w:rsidR="004D4574" w:rsidRPr="00D95C9E" w14:paraId="726F4498" w14:textId="77777777" w:rsidTr="00615478">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379629C9" w14:textId="6EF2DBF7" w:rsidR="004D4574" w:rsidRPr="00C34912" w:rsidRDefault="004D4574" w:rsidP="004D4574">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Walsh M.D. et al.</w:t>
            </w:r>
            <w:r w:rsidRPr="00C34912">
              <w:rPr>
                <w:rFonts w:ascii="Calibri" w:eastAsia="Times New Roman" w:hAnsi="Calibri" w:cs="Calibri"/>
                <w:color w:val="000000"/>
                <w:vertAlign w:val="superscript"/>
                <w:lang w:eastAsia="nl-BE"/>
                <w14:ligatures w14:val="none"/>
              </w:rPr>
              <w:t xml:space="preserve"> 2</w:t>
            </w:r>
            <w:r w:rsidR="00C34912">
              <w:rPr>
                <w:rFonts w:ascii="Calibri" w:eastAsia="Times New Roman" w:hAnsi="Calibri" w:cs="Calibri"/>
                <w:color w:val="000000"/>
                <w:vertAlign w:val="superscript"/>
                <w:lang w:eastAsia="nl-BE"/>
                <w14:ligatures w14:val="none"/>
              </w:rPr>
              <w:t>1</w:t>
            </w:r>
          </w:p>
        </w:tc>
        <w:tc>
          <w:tcPr>
            <w:tcW w:w="2316" w:type="dxa"/>
            <w:noWrap/>
          </w:tcPr>
          <w:p w14:paraId="16CDC79C" w14:textId="2A9200D7" w:rsidR="004D4574" w:rsidRPr="00D95C9E" w:rsidRDefault="003908AA"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HP (n = 2)</w:t>
            </w:r>
            <w:r w:rsidR="009312B9" w:rsidRPr="00D95C9E">
              <w:rPr>
                <w:rFonts w:ascii="Calibri" w:eastAsia="Times New Roman" w:hAnsi="Calibri" w:cs="Calibri"/>
                <w:color w:val="000000"/>
                <w:lang w:val="en-GB" w:eastAsia="nl-BE"/>
                <w14:ligatures w14:val="none"/>
              </w:rPr>
              <w:t>; residual contiguous adenoma (n = 5)</w:t>
            </w:r>
            <w:r w:rsidR="004D4574" w:rsidRPr="00D95C9E">
              <w:rPr>
                <w:rFonts w:ascii="Calibri" w:eastAsia="Times New Roman" w:hAnsi="Calibri" w:cs="Calibri"/>
                <w:color w:val="000000"/>
                <w:lang w:val="en-GB" w:eastAsia="nl-BE"/>
                <w14:ligatures w14:val="none"/>
              </w:rPr>
              <w:t xml:space="preserve">; normal colonic mucosae (n = </w:t>
            </w:r>
            <w:r w:rsidR="009312B9" w:rsidRPr="00D95C9E">
              <w:rPr>
                <w:rFonts w:ascii="Calibri" w:eastAsia="Times New Roman" w:hAnsi="Calibri" w:cs="Calibri"/>
                <w:color w:val="000000"/>
                <w:lang w:val="en-GB" w:eastAsia="nl-BE"/>
                <w14:ligatures w14:val="none"/>
              </w:rPr>
              <w:t>7</w:t>
            </w:r>
            <w:r w:rsidR="00502710" w:rsidRPr="00D95C9E">
              <w:rPr>
                <w:rFonts w:ascii="Calibri" w:eastAsia="Times New Roman" w:hAnsi="Calibri" w:cs="Calibri"/>
                <w:color w:val="000000"/>
                <w:lang w:val="en-GB" w:eastAsia="nl-BE"/>
                <w14:ligatures w14:val="none"/>
              </w:rPr>
              <w:t>; adjacent non-</w:t>
            </w:r>
            <w:r w:rsidR="0012669A" w:rsidRPr="00D95C9E">
              <w:rPr>
                <w:rFonts w:ascii="Calibri" w:eastAsia="Times New Roman" w:hAnsi="Calibri" w:cs="Calibri"/>
                <w:color w:val="000000"/>
                <w:lang w:val="en-GB" w:eastAsia="nl-BE"/>
                <w14:ligatures w14:val="none"/>
              </w:rPr>
              <w:t>tumoral</w:t>
            </w:r>
            <w:r w:rsidR="00502710" w:rsidRPr="00D95C9E">
              <w:rPr>
                <w:rFonts w:ascii="Calibri" w:eastAsia="Times New Roman" w:hAnsi="Calibri" w:cs="Calibri"/>
                <w:color w:val="000000"/>
                <w:lang w:val="en-GB" w:eastAsia="nl-BE"/>
                <w14:ligatures w14:val="none"/>
              </w:rPr>
              <w:t xml:space="preserve"> tissue)</w:t>
            </w:r>
          </w:p>
        </w:tc>
        <w:tc>
          <w:tcPr>
            <w:tcW w:w="1209" w:type="dxa"/>
            <w:noWrap/>
          </w:tcPr>
          <w:p w14:paraId="6F6F5900" w14:textId="3A6EFF13"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MUC13</w:t>
            </w:r>
          </w:p>
        </w:tc>
        <w:tc>
          <w:tcPr>
            <w:tcW w:w="2069" w:type="dxa"/>
            <w:noWrap/>
          </w:tcPr>
          <w:p w14:paraId="1DB65115" w14:textId="4F3C4DF3"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765164AC" w14:textId="701CE9BC" w:rsidR="004D4574" w:rsidRPr="00D95C9E" w:rsidRDefault="009312B9"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In all residual contiguous adenoma, MUC13 staining showed intense apical membrane reactivity with variable cytoplasmic reactivity and staining of some goblet cell thecae. incidental hyperplastic polyps that were close to, but not contiguous with, the carcinoma were noted. Staining in these lesions was apical, cytoplasmic and goblet cell theca with slight intensification of the staining toward the surface epithelium recapitulating the pattern of staining seen in normal epithelium.</w:t>
            </w:r>
          </w:p>
        </w:tc>
        <w:tc>
          <w:tcPr>
            <w:tcW w:w="1308" w:type="dxa"/>
            <w:noWrap/>
          </w:tcPr>
          <w:p w14:paraId="2B9016B8" w14:textId="79A8206C"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51C44A9D" w14:textId="41F0C339"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Australia</w:t>
            </w:r>
          </w:p>
        </w:tc>
      </w:tr>
      <w:tr w:rsidR="004D4574" w:rsidRPr="00D95C9E" w14:paraId="3E545786" w14:textId="775CF6C8" w:rsidTr="0061547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24F6C5BD" w14:textId="34927EF0" w:rsidR="004D4574" w:rsidRPr="00D95C9E" w:rsidRDefault="004D4574" w:rsidP="004D4574">
            <w:pPr>
              <w:rPr>
                <w:rFonts w:ascii="Calibri" w:eastAsia="Times New Roman" w:hAnsi="Calibri" w:cs="Calibri"/>
                <w:color w:val="000000"/>
                <w:vertAlign w:val="superscript"/>
                <w:lang w:val="fr-FR" w:eastAsia="nl-BE"/>
                <w14:ligatures w14:val="none"/>
              </w:rPr>
            </w:pPr>
            <w:proofErr w:type="spellStart"/>
            <w:r w:rsidRPr="00D95C9E">
              <w:rPr>
                <w:rFonts w:ascii="Calibri" w:eastAsia="Times New Roman" w:hAnsi="Calibri" w:cs="Calibri"/>
                <w:color w:val="000000"/>
                <w:lang w:val="fr-FR" w:eastAsia="nl-BE"/>
                <w14:ligatures w14:val="none"/>
              </w:rPr>
              <w:t>Cansiz</w:t>
            </w:r>
            <w:proofErr w:type="spellEnd"/>
            <w:r w:rsidRPr="00D95C9E">
              <w:rPr>
                <w:rFonts w:ascii="Calibri" w:eastAsia="Times New Roman" w:hAnsi="Calibri" w:cs="Calibri"/>
                <w:color w:val="000000"/>
                <w:lang w:val="fr-FR" w:eastAsia="nl-BE"/>
                <w14:ligatures w14:val="none"/>
              </w:rPr>
              <w:t xml:space="preserve"> </w:t>
            </w:r>
            <w:proofErr w:type="spellStart"/>
            <w:r w:rsidRPr="00D95C9E">
              <w:rPr>
                <w:rFonts w:ascii="Calibri" w:eastAsia="Times New Roman" w:hAnsi="Calibri" w:cs="Calibri"/>
                <w:color w:val="000000"/>
                <w:lang w:val="fr-FR" w:eastAsia="nl-BE"/>
                <w14:ligatures w14:val="none"/>
              </w:rPr>
              <w:t>Ersöz</w:t>
            </w:r>
            <w:proofErr w:type="spellEnd"/>
            <w:r w:rsidRPr="00D95C9E">
              <w:rPr>
                <w:rFonts w:ascii="Calibri" w:eastAsia="Times New Roman" w:hAnsi="Calibri" w:cs="Calibri"/>
                <w:color w:val="000000"/>
                <w:lang w:val="fr-FR" w:eastAsia="nl-BE"/>
                <w14:ligatures w14:val="none"/>
              </w:rPr>
              <w:t xml:space="preserve"> C. et al.</w:t>
            </w:r>
            <w:r w:rsidRPr="00D95C9E">
              <w:rPr>
                <w:rFonts w:ascii="Calibri" w:eastAsia="Times New Roman" w:hAnsi="Calibri" w:cs="Calibri"/>
                <w:color w:val="000000"/>
                <w:vertAlign w:val="superscript"/>
                <w:lang w:val="fr-FR" w:eastAsia="nl-BE"/>
                <w14:ligatures w14:val="none"/>
              </w:rPr>
              <w:t>2</w:t>
            </w:r>
            <w:r w:rsidR="00C34912">
              <w:rPr>
                <w:rFonts w:ascii="Calibri" w:eastAsia="Times New Roman" w:hAnsi="Calibri" w:cs="Calibri"/>
                <w:color w:val="000000"/>
                <w:vertAlign w:val="superscript"/>
                <w:lang w:val="fr-FR" w:eastAsia="nl-BE"/>
                <w14:ligatures w14:val="none"/>
              </w:rPr>
              <w:t>2</w:t>
            </w:r>
          </w:p>
          <w:p w14:paraId="1BC36B59" w14:textId="2A0CB0EA" w:rsidR="004D4574" w:rsidRPr="00D95C9E" w:rsidRDefault="004D4574" w:rsidP="004D4574">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7</w:t>
            </w:r>
          </w:p>
        </w:tc>
        <w:tc>
          <w:tcPr>
            <w:tcW w:w="2316" w:type="dxa"/>
            <w:noWrap/>
          </w:tcPr>
          <w:p w14:paraId="32F9F9D1" w14:textId="3C15AE6C"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TSA (n = 25); TVA (n = 25); no normal colonic mucosae</w:t>
            </w:r>
          </w:p>
        </w:tc>
        <w:tc>
          <w:tcPr>
            <w:tcW w:w="1209" w:type="dxa"/>
            <w:noWrap/>
          </w:tcPr>
          <w:p w14:paraId="3AF1A184" w14:textId="460758BE"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 MUC6</w:t>
            </w:r>
          </w:p>
        </w:tc>
        <w:tc>
          <w:tcPr>
            <w:tcW w:w="2069" w:type="dxa"/>
            <w:noWrap/>
          </w:tcPr>
          <w:p w14:paraId="62CE0F94" w14:textId="22E44D0A"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16389DAD" w14:textId="2B6C2E35"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Goblet MUC2 and MUC5AC expression was significantly higher in TSA compared to TVA.</w:t>
            </w:r>
          </w:p>
        </w:tc>
        <w:tc>
          <w:tcPr>
            <w:tcW w:w="1308" w:type="dxa"/>
            <w:noWrap/>
          </w:tcPr>
          <w:p w14:paraId="1505A175" w14:textId="70357C38"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140FD468" w14:textId="4EEB6FCC"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Turkey</w:t>
            </w:r>
          </w:p>
        </w:tc>
      </w:tr>
      <w:tr w:rsidR="004D4574" w:rsidRPr="00D95C9E" w14:paraId="3B8167CF" w14:textId="77777777" w:rsidTr="00615478">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1C22D967" w14:textId="278D9F3D" w:rsidR="004D4574" w:rsidRPr="00D95C9E" w:rsidRDefault="004D4574" w:rsidP="004D4574">
            <w:pPr>
              <w:rPr>
                <w:rFonts w:ascii="Calibri" w:eastAsia="Times New Roman" w:hAnsi="Calibri" w:cs="Calibri"/>
                <w:color w:val="000000"/>
                <w:vertAlign w:val="superscript"/>
                <w:lang w:val="en-GB" w:eastAsia="nl-BE"/>
                <w14:ligatures w14:val="none"/>
              </w:rPr>
            </w:pPr>
            <w:r w:rsidRPr="00D95C9E">
              <w:rPr>
                <w:rFonts w:ascii="Calibri" w:eastAsia="Times New Roman" w:hAnsi="Calibri" w:cs="Calibri"/>
                <w:color w:val="000000"/>
                <w:lang w:val="en-GB" w:eastAsia="nl-BE"/>
                <w14:ligatures w14:val="none"/>
              </w:rPr>
              <w:t>Myerscough N. et al.</w:t>
            </w:r>
            <w:r w:rsidRPr="00D95C9E">
              <w:rPr>
                <w:rFonts w:ascii="Calibri" w:eastAsia="Times New Roman" w:hAnsi="Calibri" w:cs="Calibri"/>
                <w:color w:val="000000"/>
                <w:vertAlign w:val="superscript"/>
                <w:lang w:val="en-GB" w:eastAsia="nl-BE"/>
                <w14:ligatures w14:val="none"/>
              </w:rPr>
              <w:t>2</w:t>
            </w:r>
            <w:r w:rsidR="00C34912">
              <w:rPr>
                <w:rFonts w:ascii="Calibri" w:eastAsia="Times New Roman" w:hAnsi="Calibri" w:cs="Calibri"/>
                <w:color w:val="000000"/>
                <w:vertAlign w:val="superscript"/>
                <w:lang w:val="en-GB" w:eastAsia="nl-BE"/>
                <w14:ligatures w14:val="none"/>
              </w:rPr>
              <w:t>3</w:t>
            </w:r>
          </w:p>
          <w:p w14:paraId="34035869" w14:textId="7FFB120A" w:rsidR="004D4574" w:rsidRPr="00D95C9E" w:rsidRDefault="004D4574" w:rsidP="004D4574">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tc>
        <w:tc>
          <w:tcPr>
            <w:tcW w:w="2316" w:type="dxa"/>
            <w:noWrap/>
          </w:tcPr>
          <w:p w14:paraId="5DF010BA" w14:textId="77777777"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TA (n = 16); </w:t>
            </w:r>
          </w:p>
          <w:p w14:paraId="5DBE9C97" w14:textId="77777777"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TVA (n = 9); </w:t>
            </w:r>
          </w:p>
          <w:p w14:paraId="7F637421" w14:textId="748A31B5"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VA (n = 14); no normal colonic mucosae</w:t>
            </w:r>
          </w:p>
        </w:tc>
        <w:tc>
          <w:tcPr>
            <w:tcW w:w="1209" w:type="dxa"/>
            <w:noWrap/>
          </w:tcPr>
          <w:p w14:paraId="256B1AD7" w14:textId="74A1D952"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 xml:space="preserve">MUC2, MUC5AC, </w:t>
            </w:r>
            <w:r w:rsidRPr="00D95C9E">
              <w:rPr>
                <w:rFonts w:ascii="Calibri" w:eastAsia="Times New Roman" w:hAnsi="Calibri" w:cs="Calibri"/>
                <w:color w:val="000000"/>
                <w:lang w:val="en-GB" w:eastAsia="nl-BE"/>
                <w14:ligatures w14:val="none"/>
              </w:rPr>
              <w:lastRenderedPageBreak/>
              <w:t>MUC5B, MUC6</w:t>
            </w:r>
          </w:p>
        </w:tc>
        <w:tc>
          <w:tcPr>
            <w:tcW w:w="2069" w:type="dxa"/>
            <w:noWrap/>
          </w:tcPr>
          <w:p w14:paraId="18F15F88" w14:textId="001B26A3"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IHC</w:t>
            </w:r>
          </w:p>
        </w:tc>
        <w:tc>
          <w:tcPr>
            <w:tcW w:w="3364" w:type="dxa"/>
            <w:noWrap/>
          </w:tcPr>
          <w:p w14:paraId="7EEAAB6F" w14:textId="2CA5FAD5"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Changes in MUC2 synthesis and the new appearance of MUC5AC are significant events in the </w:t>
            </w:r>
            <w:r w:rsidRPr="00D95C9E">
              <w:rPr>
                <w:rFonts w:ascii="Calibri" w:eastAsia="Times New Roman" w:hAnsi="Calibri" w:cs="Calibri"/>
                <w:color w:val="000000"/>
                <w:lang w:val="en-GB" w:eastAsia="nl-BE"/>
                <w14:ligatures w14:val="none"/>
              </w:rPr>
              <w:lastRenderedPageBreak/>
              <w:t xml:space="preserve">progression from adenoma to carcinoma in colorectal cancer development. </w:t>
            </w:r>
          </w:p>
        </w:tc>
        <w:tc>
          <w:tcPr>
            <w:tcW w:w="1308" w:type="dxa"/>
            <w:noWrap/>
          </w:tcPr>
          <w:p w14:paraId="0BBFC906" w14:textId="76947905"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Rectum</w:t>
            </w:r>
          </w:p>
        </w:tc>
        <w:tc>
          <w:tcPr>
            <w:tcW w:w="1148" w:type="dxa"/>
          </w:tcPr>
          <w:p w14:paraId="578F9CDB" w14:textId="38F3B385"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United Kingdom</w:t>
            </w:r>
          </w:p>
        </w:tc>
      </w:tr>
      <w:tr w:rsidR="004D4574" w:rsidRPr="00D95C9E" w14:paraId="51D5158C" w14:textId="77777777" w:rsidTr="0061547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0E08F5A2" w14:textId="70DA8B1F" w:rsidR="004D4574" w:rsidRPr="00D95C9E" w:rsidRDefault="004D4574" w:rsidP="004D4574">
            <w:pPr>
              <w:rPr>
                <w:rFonts w:ascii="Calibri" w:eastAsia="Times New Roman" w:hAnsi="Calibri" w:cs="Calibri"/>
                <w:color w:val="000000"/>
                <w:vertAlign w:val="superscript"/>
                <w:lang w:val="fr-FR" w:eastAsia="nl-BE"/>
                <w14:ligatures w14:val="none"/>
              </w:rPr>
            </w:pPr>
            <w:r w:rsidRPr="00D95C9E">
              <w:rPr>
                <w:rFonts w:ascii="Calibri" w:eastAsia="Times New Roman" w:hAnsi="Calibri" w:cs="Calibri"/>
                <w:color w:val="000000"/>
                <w:lang w:val="fr-FR" w:eastAsia="nl-BE"/>
                <w14:ligatures w14:val="none"/>
              </w:rPr>
              <w:t>Li A. et al</w:t>
            </w:r>
            <w:r w:rsidRPr="00D95C9E">
              <w:rPr>
                <w:rFonts w:ascii="Calibri" w:eastAsia="Times New Roman" w:hAnsi="Calibri" w:cs="Calibri"/>
                <w:color w:val="000000"/>
                <w:vertAlign w:val="superscript"/>
                <w:lang w:val="fr-FR" w:eastAsia="nl-BE"/>
                <w14:ligatures w14:val="none"/>
              </w:rPr>
              <w:t>2</w:t>
            </w:r>
            <w:r w:rsidR="00C34912">
              <w:rPr>
                <w:rFonts w:ascii="Calibri" w:eastAsia="Times New Roman" w:hAnsi="Calibri" w:cs="Calibri"/>
                <w:color w:val="000000"/>
                <w:vertAlign w:val="superscript"/>
                <w:lang w:val="fr-FR" w:eastAsia="nl-BE"/>
                <w14:ligatures w14:val="none"/>
              </w:rPr>
              <w:t>4</w:t>
            </w:r>
          </w:p>
          <w:p w14:paraId="09A20425" w14:textId="08C40393" w:rsidR="004D4574" w:rsidRPr="00D95C9E" w:rsidRDefault="004D4574" w:rsidP="004D4574">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tc>
        <w:tc>
          <w:tcPr>
            <w:tcW w:w="2316" w:type="dxa"/>
            <w:noWrap/>
          </w:tcPr>
          <w:p w14:paraId="2785A582" w14:textId="62C9C8F6"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Adenomas (n = 200); no normal colonic mucosae</w:t>
            </w:r>
          </w:p>
        </w:tc>
        <w:tc>
          <w:tcPr>
            <w:tcW w:w="1209" w:type="dxa"/>
            <w:noWrap/>
          </w:tcPr>
          <w:p w14:paraId="4D2B2A31" w14:textId="722F65CC"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w:t>
            </w:r>
          </w:p>
        </w:tc>
        <w:tc>
          <w:tcPr>
            <w:tcW w:w="2069" w:type="dxa"/>
            <w:noWrap/>
          </w:tcPr>
          <w:p w14:paraId="0BFE7BF6" w14:textId="1F613A8C"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3CE63DE5" w14:textId="700FD503"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MUC1 was expressed in adenomas with severe dysplasia (4%), but not in adenomas with mild or moderate dysplasia. MUC2 was expressed in a significantly greater number of adenomas with mild dysplasia (72%) than in adenomas with moderate dysplasia (45%) or severe dysplasia (47%, P &lt; 0.0001). </w:t>
            </w:r>
          </w:p>
        </w:tc>
        <w:tc>
          <w:tcPr>
            <w:tcW w:w="1308" w:type="dxa"/>
            <w:noWrap/>
          </w:tcPr>
          <w:p w14:paraId="67E15680" w14:textId="2A6BD139"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4AC0644F" w14:textId="05463860"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4D4574" w:rsidRPr="00D95C9E" w14:paraId="11B77F68" w14:textId="3DB68D5C" w:rsidTr="00EB0857">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74B27D7F" w14:textId="31B17E2C" w:rsidR="004D4574" w:rsidRPr="00D95C9E" w:rsidRDefault="004D4574" w:rsidP="004D4574">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eastAsia="nl-BE"/>
                <w14:ligatures w14:val="none"/>
              </w:rPr>
              <w:t xml:space="preserve">Baldus S.E. et al. </w:t>
            </w:r>
            <w:r w:rsidRPr="00D95C9E">
              <w:rPr>
                <w:rFonts w:ascii="Calibri" w:eastAsia="Times New Roman" w:hAnsi="Calibri" w:cs="Calibri"/>
                <w:color w:val="000000"/>
                <w:lang w:val="en-GB" w:eastAsia="nl-BE"/>
                <w14:ligatures w14:val="none"/>
              </w:rPr>
              <w:t>(2002)</w:t>
            </w:r>
            <w:r w:rsidRPr="00D95C9E">
              <w:rPr>
                <w:rFonts w:ascii="Calibri" w:eastAsia="Times New Roman" w:hAnsi="Calibri" w:cs="Calibri"/>
                <w:color w:val="000000"/>
                <w:vertAlign w:val="superscript"/>
                <w:lang w:val="en-GB" w:eastAsia="nl-BE"/>
                <w14:ligatures w14:val="none"/>
              </w:rPr>
              <w:t>2</w:t>
            </w:r>
            <w:r w:rsidR="00C34912">
              <w:rPr>
                <w:rFonts w:ascii="Calibri" w:eastAsia="Times New Roman" w:hAnsi="Calibri" w:cs="Calibri"/>
                <w:color w:val="000000"/>
                <w:vertAlign w:val="superscript"/>
                <w:lang w:val="en-GB" w:eastAsia="nl-BE"/>
                <w14:ligatures w14:val="none"/>
              </w:rPr>
              <w:t>5</w:t>
            </w:r>
          </w:p>
          <w:p w14:paraId="7E857A41" w14:textId="77777777" w:rsidR="004D4574" w:rsidRPr="00D95C9E" w:rsidRDefault="004D4574" w:rsidP="004D4574">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7</w:t>
            </w:r>
          </w:p>
          <w:p w14:paraId="74FB9AB6" w14:textId="2793468F" w:rsidR="004D4574" w:rsidRPr="00D95C9E" w:rsidRDefault="004D4574" w:rsidP="004D4574">
            <w:pPr>
              <w:rPr>
                <w:rFonts w:ascii="Calibri" w:eastAsia="Times New Roman" w:hAnsi="Calibri" w:cs="Calibri"/>
                <w:color w:val="000000"/>
                <w:lang w:val="en-GB" w:eastAsia="nl-BE"/>
                <w14:ligatures w14:val="none"/>
              </w:rPr>
            </w:pPr>
          </w:p>
        </w:tc>
        <w:tc>
          <w:tcPr>
            <w:tcW w:w="2316" w:type="dxa"/>
            <w:noWrap/>
          </w:tcPr>
          <w:p w14:paraId="736B39AA" w14:textId="61AFF909"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Adenomas (n = 42); no normal colonic mucosae</w:t>
            </w:r>
          </w:p>
        </w:tc>
        <w:tc>
          <w:tcPr>
            <w:tcW w:w="1209" w:type="dxa"/>
            <w:noWrap/>
          </w:tcPr>
          <w:p w14:paraId="73903135" w14:textId="36F1BDFD"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w:t>
            </w:r>
          </w:p>
        </w:tc>
        <w:tc>
          <w:tcPr>
            <w:tcW w:w="2069" w:type="dxa"/>
            <w:noWrap/>
          </w:tcPr>
          <w:p w14:paraId="7DBCA13B" w14:textId="73126614"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IHC </w:t>
            </w:r>
          </w:p>
        </w:tc>
        <w:tc>
          <w:tcPr>
            <w:tcW w:w="3364" w:type="dxa"/>
            <w:noWrap/>
          </w:tcPr>
          <w:p w14:paraId="488252B0" w14:textId="23E2FEEF"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There was a statistically significant positive correlation between the development of high-grade dysplasia in adenomas and the immunoreactivity of MUC1 epitopes, whereas MUC2 exhibited a significant negative correlation. </w:t>
            </w:r>
          </w:p>
        </w:tc>
        <w:tc>
          <w:tcPr>
            <w:tcW w:w="1308" w:type="dxa"/>
            <w:noWrap/>
          </w:tcPr>
          <w:p w14:paraId="4AAB0653" w14:textId="565ADF6E"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1E1E7692" w14:textId="773A592C" w:rsidR="004D4574" w:rsidRPr="00D95C9E" w:rsidRDefault="004D4574" w:rsidP="004D457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Germany</w:t>
            </w:r>
          </w:p>
        </w:tc>
      </w:tr>
      <w:tr w:rsidR="004D4574" w:rsidRPr="00D95C9E" w14:paraId="794F6AC9" w14:textId="54CB6EDD" w:rsidTr="00EB085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37286313" w14:textId="62C0BE34" w:rsidR="004D4574" w:rsidRPr="00D95C9E" w:rsidRDefault="004D4574" w:rsidP="004D4574">
            <w:pPr>
              <w:rPr>
                <w:rFonts w:ascii="Calibri" w:eastAsia="Times New Roman" w:hAnsi="Calibri" w:cs="Calibri"/>
                <w:color w:val="000000"/>
                <w:vertAlign w:val="superscript"/>
                <w:lang w:eastAsia="nl-BE"/>
                <w14:ligatures w14:val="none"/>
              </w:rPr>
            </w:pPr>
            <w:r w:rsidRPr="00D95C9E">
              <w:rPr>
                <w:rFonts w:ascii="Calibri" w:eastAsia="Times New Roman" w:hAnsi="Calibri" w:cs="Calibri"/>
                <w:color w:val="000000"/>
                <w:lang w:eastAsia="nl-BE"/>
                <w14:ligatures w14:val="none"/>
              </w:rPr>
              <w:t>Kim D.H. et al.</w:t>
            </w:r>
            <w:r w:rsidRPr="00D95C9E">
              <w:rPr>
                <w:rFonts w:ascii="Calibri" w:eastAsia="Times New Roman" w:hAnsi="Calibri" w:cs="Calibri"/>
                <w:color w:val="000000"/>
                <w:vertAlign w:val="superscript"/>
                <w:lang w:eastAsia="nl-BE"/>
                <w14:ligatures w14:val="none"/>
              </w:rPr>
              <w:t>2</w:t>
            </w:r>
            <w:r w:rsidR="00C34912">
              <w:rPr>
                <w:rFonts w:ascii="Calibri" w:eastAsia="Times New Roman" w:hAnsi="Calibri" w:cs="Calibri"/>
                <w:color w:val="000000"/>
                <w:vertAlign w:val="superscript"/>
                <w:lang w:eastAsia="nl-BE"/>
                <w14:ligatures w14:val="none"/>
              </w:rPr>
              <w:t>7</w:t>
            </w:r>
          </w:p>
          <w:p w14:paraId="4A340FB5" w14:textId="236DA71F" w:rsidR="004D4574" w:rsidRPr="00D95C9E" w:rsidRDefault="004D4574" w:rsidP="004D4574">
            <w:pPr>
              <w:rPr>
                <w:rFonts w:ascii="Calibri" w:eastAsia="Times New Roman" w:hAnsi="Calibri" w:cs="Calibri"/>
                <w:color w:val="000000"/>
                <w:lang w:eastAsia="nl-BE"/>
                <w14:ligatures w14:val="none"/>
              </w:rPr>
            </w:pPr>
            <w:r w:rsidRPr="00D95C9E">
              <w:rPr>
                <w:rFonts w:ascii="Calibri" w:eastAsia="Times New Roman" w:hAnsi="Calibri" w:cs="Calibri"/>
                <w:color w:val="000000"/>
                <w:lang w:eastAsia="nl-BE"/>
                <w14:ligatures w14:val="none"/>
              </w:rPr>
              <w:t>Score: 4</w:t>
            </w:r>
          </w:p>
        </w:tc>
        <w:tc>
          <w:tcPr>
            <w:tcW w:w="2316" w:type="dxa"/>
            <w:noWrap/>
          </w:tcPr>
          <w:p w14:paraId="4A4B7B0E" w14:textId="0D7DE8DC"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 xml:space="preserve">HP (n = 21); SA (n = 20); TA (n =25); TVA (n = 13); VA (n = 7); normal </w:t>
            </w:r>
            <w:proofErr w:type="spellStart"/>
            <w:r w:rsidRPr="00D95C9E">
              <w:rPr>
                <w:rFonts w:ascii="Calibri" w:eastAsia="Times New Roman" w:hAnsi="Calibri" w:cs="Calibri"/>
                <w:color w:val="000000"/>
                <w:lang w:val="fr-FR" w:eastAsia="nl-BE"/>
                <w14:ligatures w14:val="none"/>
              </w:rPr>
              <w:t>colonic</w:t>
            </w:r>
            <w:proofErr w:type="spellEnd"/>
            <w:r w:rsidRPr="00D95C9E">
              <w:rPr>
                <w:rFonts w:ascii="Calibri" w:eastAsia="Times New Roman" w:hAnsi="Calibri" w:cs="Calibri"/>
                <w:color w:val="000000"/>
                <w:lang w:val="fr-FR" w:eastAsia="nl-BE"/>
                <w14:ligatures w14:val="none"/>
              </w:rPr>
              <w:t xml:space="preserve"> </w:t>
            </w:r>
            <w:proofErr w:type="spellStart"/>
            <w:r w:rsidRPr="00D95C9E">
              <w:rPr>
                <w:rFonts w:ascii="Calibri" w:eastAsia="Times New Roman" w:hAnsi="Calibri" w:cs="Calibri"/>
                <w:color w:val="000000"/>
                <w:lang w:val="fr-FR" w:eastAsia="nl-BE"/>
                <w14:ligatures w14:val="none"/>
              </w:rPr>
              <w:t>mucosae</w:t>
            </w:r>
            <w:proofErr w:type="spellEnd"/>
            <w:r w:rsidRPr="00D95C9E">
              <w:rPr>
                <w:rFonts w:ascii="Calibri" w:eastAsia="Times New Roman" w:hAnsi="Calibri" w:cs="Calibri"/>
                <w:color w:val="000000"/>
                <w:lang w:val="fr-FR" w:eastAsia="nl-BE"/>
                <w14:ligatures w14:val="none"/>
              </w:rPr>
              <w:t xml:space="preserve"> (n =</w:t>
            </w:r>
            <w:r w:rsidR="00CE7F70" w:rsidRPr="00D95C9E">
              <w:rPr>
                <w:rFonts w:ascii="Calibri" w:eastAsia="Times New Roman" w:hAnsi="Calibri" w:cs="Calibri"/>
                <w:color w:val="000000"/>
                <w:lang w:val="fr-FR" w:eastAsia="nl-BE"/>
                <w14:ligatures w14:val="none"/>
              </w:rPr>
              <w:t xml:space="preserve"> 10</w:t>
            </w:r>
            <w:r w:rsidRPr="00D95C9E">
              <w:rPr>
                <w:rFonts w:ascii="Calibri" w:eastAsia="Times New Roman" w:hAnsi="Calibri" w:cs="Calibri"/>
                <w:color w:val="000000"/>
                <w:lang w:val="fr-FR" w:eastAsia="nl-BE"/>
                <w14:ligatures w14:val="none"/>
              </w:rPr>
              <w:t xml:space="preserve">)   </w:t>
            </w:r>
          </w:p>
        </w:tc>
        <w:tc>
          <w:tcPr>
            <w:tcW w:w="1209" w:type="dxa"/>
            <w:noWrap/>
          </w:tcPr>
          <w:p w14:paraId="4CBC9BEE" w14:textId="10190538"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w:t>
            </w:r>
          </w:p>
        </w:tc>
        <w:tc>
          <w:tcPr>
            <w:tcW w:w="2069" w:type="dxa"/>
            <w:noWrap/>
          </w:tcPr>
          <w:p w14:paraId="7AB6DD1D" w14:textId="2AE9E2E7"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544D91B4" w14:textId="69B27C2D"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A higher frequency of MUC5AC and MUC2 expression was observed in HP (100%, 100%), SA (85%, 85%), TVA (85%, 85%), and VA (100%, 100%), compared to TA (32%, p&lt;0.002; 36%, p&lt;0.01). </w:t>
            </w:r>
          </w:p>
        </w:tc>
        <w:tc>
          <w:tcPr>
            <w:tcW w:w="1308" w:type="dxa"/>
            <w:noWrap/>
          </w:tcPr>
          <w:p w14:paraId="3EDB7D15" w14:textId="7F52B664"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055A6E8B" w14:textId="232C17AF" w:rsidR="004D4574" w:rsidRPr="00D95C9E" w:rsidRDefault="004D4574" w:rsidP="004D4574">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USA</w:t>
            </w:r>
          </w:p>
        </w:tc>
      </w:tr>
      <w:tr w:rsidR="00726923" w:rsidRPr="00D95C9E" w14:paraId="0C8067C8" w14:textId="77777777" w:rsidTr="00EB0857">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6A795B3F" w14:textId="1D787895" w:rsidR="00726923" w:rsidRPr="00D95C9E" w:rsidRDefault="00726923" w:rsidP="00726923">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Renaud F. et al. (2015)</w:t>
            </w:r>
            <w:r w:rsidRPr="00D95C9E">
              <w:rPr>
                <w:rFonts w:ascii="Calibri" w:eastAsia="Times New Roman" w:hAnsi="Calibri" w:cs="Calibri"/>
                <w:color w:val="000000"/>
                <w:vertAlign w:val="superscript"/>
                <w:lang w:val="fr-FR" w:eastAsia="nl-BE"/>
                <w14:ligatures w14:val="none"/>
              </w:rPr>
              <w:t xml:space="preserve"> 2</w:t>
            </w:r>
            <w:r w:rsidR="00C34912">
              <w:rPr>
                <w:rFonts w:ascii="Calibri" w:eastAsia="Times New Roman" w:hAnsi="Calibri" w:cs="Calibri"/>
                <w:color w:val="000000"/>
                <w:vertAlign w:val="superscript"/>
                <w:lang w:val="fr-FR" w:eastAsia="nl-BE"/>
                <w14:ligatures w14:val="none"/>
              </w:rPr>
              <w:t>8</w:t>
            </w:r>
          </w:p>
          <w:p w14:paraId="4B66C324" w14:textId="4CAE7DC4" w:rsidR="00726923" w:rsidRPr="00D95C9E" w:rsidRDefault="00726923" w:rsidP="00726923">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tc>
        <w:tc>
          <w:tcPr>
            <w:tcW w:w="2316" w:type="dxa"/>
            <w:noWrap/>
          </w:tcPr>
          <w:p w14:paraId="40591B89" w14:textId="5D1BA809" w:rsidR="00726923" w:rsidRPr="00D95C9E" w:rsidRDefault="00726923" w:rsidP="0072692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First cohort CRC (n = 36), second cohort CRC (n = 34); no normal colonic mucosae</w:t>
            </w:r>
          </w:p>
        </w:tc>
        <w:tc>
          <w:tcPr>
            <w:tcW w:w="1209" w:type="dxa"/>
            <w:noWrap/>
          </w:tcPr>
          <w:p w14:paraId="35824058" w14:textId="090A4753" w:rsidR="00726923" w:rsidRPr="00D95C9E" w:rsidRDefault="00726923" w:rsidP="0072692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MUC4, MUC5AC</w:t>
            </w:r>
          </w:p>
        </w:tc>
        <w:tc>
          <w:tcPr>
            <w:tcW w:w="2069" w:type="dxa"/>
            <w:noWrap/>
          </w:tcPr>
          <w:p w14:paraId="60EB472F" w14:textId="6A5EFDC3" w:rsidR="00726923" w:rsidRPr="00D95C9E" w:rsidRDefault="00726923" w:rsidP="0072692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Pyrosequencing to determine promotor methylation status; IHC </w:t>
            </w:r>
          </w:p>
        </w:tc>
        <w:tc>
          <w:tcPr>
            <w:tcW w:w="3364" w:type="dxa"/>
            <w:noWrap/>
          </w:tcPr>
          <w:p w14:paraId="3D16C066" w14:textId="593A0E09" w:rsidR="00726923" w:rsidRPr="00D95C9E" w:rsidRDefault="00726923" w:rsidP="0072692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MUC2 and MUC5AC hypomethylation was associated with MUC2 and MUC5AC protein expression (p = 0.004 and p &lt; 0.001, respectively), poor differentiation (p = 0.001 and p = 0.007, respectively) and MSI status (p &lt; 0.01 and p &lt; 0.001, </w:t>
            </w:r>
            <w:r w:rsidRPr="00D95C9E">
              <w:rPr>
                <w:rFonts w:ascii="Calibri" w:eastAsia="Times New Roman" w:hAnsi="Calibri" w:cs="Calibri"/>
                <w:color w:val="000000"/>
                <w:lang w:val="en-GB" w:eastAsia="nl-BE"/>
                <w14:ligatures w14:val="none"/>
              </w:rPr>
              <w:lastRenderedPageBreak/>
              <w:t>respectively). Interestingly, MUC5AC hypomethylation was specific to MSI cancers. Moreover, it was significantly associated with BRAF mutation and CpG island methylator phenotype (p &lt; 0.001 and p &lt; 0.001, respectively).</w:t>
            </w:r>
          </w:p>
        </w:tc>
        <w:tc>
          <w:tcPr>
            <w:tcW w:w="1308" w:type="dxa"/>
            <w:noWrap/>
          </w:tcPr>
          <w:p w14:paraId="2CDFD93B" w14:textId="23395433" w:rsidR="00726923" w:rsidRPr="00D95C9E" w:rsidRDefault="00726923" w:rsidP="0072692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48" w:type="dxa"/>
          </w:tcPr>
          <w:p w14:paraId="229D6D8C" w14:textId="695FF5B4" w:rsidR="00726923" w:rsidRPr="00D95C9E" w:rsidRDefault="00726923" w:rsidP="0072692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France</w:t>
            </w:r>
          </w:p>
        </w:tc>
      </w:tr>
      <w:tr w:rsidR="00726923" w:rsidRPr="00D95C9E" w14:paraId="0A8EC84A" w14:textId="276F462A" w:rsidTr="00615478">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hideMark/>
          </w:tcPr>
          <w:p w14:paraId="76C0AC3C" w14:textId="4AD5B846" w:rsidR="00726923" w:rsidRPr="00D95C9E" w:rsidRDefault="00726923" w:rsidP="00726923">
            <w:pPr>
              <w:rPr>
                <w:rFonts w:ascii="Calibri" w:eastAsia="Times New Roman" w:hAnsi="Calibri" w:cs="Calibri"/>
                <w:color w:val="000000"/>
                <w:vertAlign w:val="superscript"/>
                <w:lang w:val="en-GB" w:eastAsia="nl-BE"/>
                <w14:ligatures w14:val="none"/>
              </w:rPr>
            </w:pPr>
            <w:r w:rsidRPr="00D95C9E">
              <w:rPr>
                <w:rFonts w:ascii="Calibri" w:eastAsia="Times New Roman" w:hAnsi="Calibri" w:cs="Calibri"/>
                <w:color w:val="000000"/>
                <w:lang w:val="en-GB" w:eastAsia="nl-BE"/>
                <w14:ligatures w14:val="none"/>
              </w:rPr>
              <w:t>El-Sayed I.H. et al.</w:t>
            </w:r>
            <w:r w:rsidRPr="00D95C9E">
              <w:rPr>
                <w:rFonts w:ascii="Calibri" w:eastAsia="Times New Roman" w:hAnsi="Calibri" w:cs="Calibri"/>
                <w:color w:val="000000"/>
                <w:vertAlign w:val="superscript"/>
                <w:lang w:val="en-GB" w:eastAsia="nl-BE"/>
                <w14:ligatures w14:val="none"/>
              </w:rPr>
              <w:t>3</w:t>
            </w:r>
            <w:r w:rsidR="00C34912">
              <w:rPr>
                <w:rFonts w:ascii="Calibri" w:eastAsia="Times New Roman" w:hAnsi="Calibri" w:cs="Calibri"/>
                <w:color w:val="000000"/>
                <w:vertAlign w:val="superscript"/>
                <w:lang w:val="en-GB" w:eastAsia="nl-BE"/>
                <w14:ligatures w14:val="none"/>
              </w:rPr>
              <w:t>7</w:t>
            </w:r>
          </w:p>
          <w:p w14:paraId="589C6684" w14:textId="77777777" w:rsidR="00726923" w:rsidRPr="00D95C9E" w:rsidRDefault="00726923" w:rsidP="00726923">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7</w:t>
            </w:r>
          </w:p>
          <w:p w14:paraId="0315C560" w14:textId="77777777" w:rsidR="00726923" w:rsidRPr="00D95C9E" w:rsidRDefault="00726923" w:rsidP="00726923">
            <w:pPr>
              <w:rPr>
                <w:rFonts w:ascii="Calibri" w:eastAsia="Times New Roman" w:hAnsi="Calibri" w:cs="Calibri"/>
                <w:color w:val="000000"/>
                <w:lang w:val="en-GB" w:eastAsia="nl-BE"/>
                <w14:ligatures w14:val="none"/>
              </w:rPr>
            </w:pPr>
          </w:p>
        </w:tc>
        <w:tc>
          <w:tcPr>
            <w:tcW w:w="2316" w:type="dxa"/>
            <w:noWrap/>
            <w:hideMark/>
          </w:tcPr>
          <w:p w14:paraId="7541AB2B" w14:textId="649F4ACC" w:rsidR="00726923" w:rsidRPr="00D95C9E" w:rsidRDefault="00726923" w:rsidP="0072692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Adenoma (n = 25); normal colonic mucosae (n = </w:t>
            </w:r>
            <w:r w:rsidR="00DE6FB5" w:rsidRPr="00D95C9E">
              <w:rPr>
                <w:rFonts w:ascii="Calibri" w:eastAsia="Times New Roman" w:hAnsi="Calibri" w:cs="Calibri"/>
                <w:color w:val="000000"/>
                <w:lang w:val="en-GB" w:eastAsia="nl-BE"/>
                <w14:ligatures w14:val="none"/>
              </w:rPr>
              <w:t>10</w:t>
            </w:r>
            <w:r w:rsidRPr="00D95C9E">
              <w:rPr>
                <w:rFonts w:ascii="Calibri" w:eastAsia="Times New Roman" w:hAnsi="Calibri" w:cs="Calibri"/>
                <w:color w:val="000000"/>
                <w:lang w:val="en-GB" w:eastAsia="nl-BE"/>
                <w14:ligatures w14:val="none"/>
              </w:rPr>
              <w:t xml:space="preserve">)    </w:t>
            </w:r>
          </w:p>
        </w:tc>
        <w:tc>
          <w:tcPr>
            <w:tcW w:w="1209" w:type="dxa"/>
            <w:noWrap/>
            <w:hideMark/>
          </w:tcPr>
          <w:p w14:paraId="735092C5" w14:textId="77777777" w:rsidR="00726923" w:rsidRPr="00D95C9E" w:rsidRDefault="00726923" w:rsidP="0072692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w:t>
            </w:r>
          </w:p>
        </w:tc>
        <w:tc>
          <w:tcPr>
            <w:tcW w:w="2069" w:type="dxa"/>
            <w:noWrap/>
            <w:hideMark/>
          </w:tcPr>
          <w:p w14:paraId="751B93F6" w14:textId="06224636" w:rsidR="00726923" w:rsidRPr="00D95C9E" w:rsidRDefault="00726923" w:rsidP="0072692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IHC </w:t>
            </w:r>
          </w:p>
        </w:tc>
        <w:tc>
          <w:tcPr>
            <w:tcW w:w="3364" w:type="dxa"/>
            <w:noWrap/>
            <w:hideMark/>
          </w:tcPr>
          <w:p w14:paraId="3E084312" w14:textId="24535C32" w:rsidR="00726923" w:rsidRPr="00D95C9E" w:rsidRDefault="00726923" w:rsidP="0072692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The results showed that in normal colonic specimens, MUC2 expression was detected in 20%. MUC2 positivity ranged from 60-96% was altered in 60-96% in the investigated adenoma cases. </w:t>
            </w:r>
          </w:p>
        </w:tc>
        <w:tc>
          <w:tcPr>
            <w:tcW w:w="1308" w:type="dxa"/>
            <w:noWrap/>
            <w:hideMark/>
          </w:tcPr>
          <w:p w14:paraId="5E01E95F" w14:textId="77777777" w:rsidR="00726923" w:rsidRPr="00D95C9E" w:rsidRDefault="00726923" w:rsidP="0072692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48" w:type="dxa"/>
          </w:tcPr>
          <w:p w14:paraId="0A62C791" w14:textId="77777777" w:rsidR="00726923" w:rsidRPr="00D95C9E" w:rsidRDefault="00726923" w:rsidP="0072692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Egypt</w:t>
            </w:r>
          </w:p>
        </w:tc>
      </w:tr>
    </w:tbl>
    <w:p w14:paraId="2118AF59" w14:textId="09A99E82" w:rsidR="00AB74B5" w:rsidRPr="00C34912" w:rsidRDefault="002E7A84" w:rsidP="00AB74B5">
      <w:pPr>
        <w:spacing w:before="0" w:after="160" w:line="259" w:lineRule="auto"/>
        <w:rPr>
          <w:rFonts w:ascii="Calibri" w:eastAsia="Times New Roman" w:hAnsi="Calibri" w:cs="Calibri"/>
          <w:color w:val="000000"/>
          <w:lang w:val="en-GB" w:eastAsia="nl-BE"/>
          <w14:ligatures w14:val="none"/>
        </w:rPr>
      </w:pPr>
      <w:r w:rsidRPr="00C34912">
        <w:rPr>
          <w:rFonts w:ascii="Calibri" w:eastAsia="Times New Roman" w:hAnsi="Calibri" w:cs="Calibri"/>
          <w:color w:val="000000"/>
          <w:lang w:val="en-GB" w:eastAsia="nl-BE"/>
          <w14:ligatures w14:val="none"/>
        </w:rPr>
        <w:t>IHC</w:t>
      </w:r>
      <w:r w:rsidR="00AC053E" w:rsidRPr="00C34912">
        <w:rPr>
          <w:rFonts w:ascii="Calibri" w:eastAsia="Times New Roman" w:hAnsi="Calibri" w:cs="Calibri"/>
          <w:color w:val="000000"/>
          <w:lang w:val="en-GB" w:eastAsia="nl-BE"/>
          <w14:ligatures w14:val="none"/>
        </w:rPr>
        <w:t xml:space="preserve"> </w:t>
      </w:r>
      <w:r w:rsidRPr="00C34912">
        <w:rPr>
          <w:rFonts w:ascii="Calibri" w:eastAsia="Times New Roman" w:hAnsi="Calibri" w:cs="Calibri"/>
          <w:color w:val="000000"/>
          <w:lang w:val="en-GB" w:eastAsia="nl-BE"/>
          <w14:ligatures w14:val="none"/>
        </w:rPr>
        <w:t xml:space="preserve">= immunohistochemistry; SSA = sessile serrated adenoma; </w:t>
      </w:r>
      <w:r w:rsidR="00BA336C" w:rsidRPr="00C34912">
        <w:rPr>
          <w:rFonts w:ascii="Calibri" w:eastAsia="Times New Roman" w:hAnsi="Calibri" w:cs="Calibri"/>
          <w:color w:val="000000"/>
          <w:lang w:val="en-GB" w:eastAsia="nl-BE"/>
          <w14:ligatures w14:val="none"/>
        </w:rPr>
        <w:t>HP = hyperplastic polyp; TSA = traditional serrated adenoma</w:t>
      </w:r>
      <w:r w:rsidR="00987B4B" w:rsidRPr="00C34912">
        <w:rPr>
          <w:rFonts w:ascii="Calibri" w:eastAsia="Times New Roman" w:hAnsi="Calibri" w:cs="Calibri"/>
          <w:color w:val="000000"/>
          <w:lang w:val="en-GB" w:eastAsia="nl-BE"/>
          <w14:ligatures w14:val="none"/>
        </w:rPr>
        <w:t xml:space="preserve">; TA = </w:t>
      </w:r>
      <w:r w:rsidR="001753A2" w:rsidRPr="00C34912">
        <w:rPr>
          <w:rFonts w:ascii="Calibri" w:eastAsia="Times New Roman" w:hAnsi="Calibri" w:cs="Calibri"/>
          <w:color w:val="000000"/>
          <w:lang w:val="en-GB" w:eastAsia="nl-BE"/>
          <w14:ligatures w14:val="none"/>
        </w:rPr>
        <w:t>tubular</w:t>
      </w:r>
      <w:r w:rsidR="00987B4B" w:rsidRPr="00C34912">
        <w:rPr>
          <w:rFonts w:ascii="Calibri" w:eastAsia="Times New Roman" w:hAnsi="Calibri" w:cs="Calibri"/>
          <w:color w:val="000000"/>
          <w:lang w:val="en-GB" w:eastAsia="nl-BE"/>
          <w14:ligatures w14:val="none"/>
        </w:rPr>
        <w:t xml:space="preserve"> adenoma</w:t>
      </w:r>
      <w:r w:rsidR="001753A2" w:rsidRPr="00C34912">
        <w:rPr>
          <w:rFonts w:ascii="Calibri" w:eastAsia="Times New Roman" w:hAnsi="Calibri" w:cs="Calibri"/>
          <w:color w:val="000000"/>
          <w:lang w:val="en-GB" w:eastAsia="nl-BE"/>
          <w14:ligatures w14:val="none"/>
        </w:rPr>
        <w:t xml:space="preserve">; TVA = </w:t>
      </w:r>
      <w:proofErr w:type="spellStart"/>
      <w:r w:rsidR="001753A2" w:rsidRPr="00C34912">
        <w:rPr>
          <w:rFonts w:ascii="Calibri" w:eastAsia="Times New Roman" w:hAnsi="Calibri" w:cs="Calibri"/>
          <w:color w:val="000000"/>
          <w:lang w:val="en-GB" w:eastAsia="nl-BE"/>
          <w14:ligatures w14:val="none"/>
        </w:rPr>
        <w:t>tubulovillous</w:t>
      </w:r>
      <w:proofErr w:type="spellEnd"/>
      <w:r w:rsidR="00DD07D9" w:rsidRPr="00C34912">
        <w:rPr>
          <w:rFonts w:ascii="Calibri" w:eastAsia="Times New Roman" w:hAnsi="Calibri" w:cs="Calibri"/>
          <w:color w:val="000000"/>
          <w:lang w:val="en-GB" w:eastAsia="nl-BE"/>
          <w14:ligatures w14:val="none"/>
        </w:rPr>
        <w:t xml:space="preserve">; </w:t>
      </w:r>
      <w:r w:rsidR="001753A2" w:rsidRPr="00C34912">
        <w:rPr>
          <w:rFonts w:ascii="Calibri" w:eastAsia="Times New Roman" w:hAnsi="Calibri" w:cs="Calibri"/>
          <w:color w:val="000000"/>
          <w:lang w:val="en-GB" w:eastAsia="nl-BE"/>
          <w14:ligatures w14:val="none"/>
        </w:rPr>
        <w:t>adenoma</w:t>
      </w:r>
      <w:r w:rsidR="00DB2F9F" w:rsidRPr="00C34912">
        <w:rPr>
          <w:rFonts w:ascii="Calibri" w:eastAsia="Times New Roman" w:hAnsi="Calibri" w:cs="Calibri"/>
          <w:color w:val="000000"/>
          <w:lang w:val="en-GB" w:eastAsia="nl-BE"/>
          <w14:ligatures w14:val="none"/>
        </w:rPr>
        <w:t>;</w:t>
      </w:r>
      <w:r w:rsidR="00DD07D9" w:rsidRPr="00C34912">
        <w:rPr>
          <w:rFonts w:ascii="Calibri" w:eastAsia="Times New Roman" w:hAnsi="Calibri" w:cs="Calibri"/>
          <w:color w:val="000000"/>
          <w:lang w:val="en-GB" w:eastAsia="nl-BE"/>
          <w14:ligatures w14:val="none"/>
        </w:rPr>
        <w:t xml:space="preserve"> VA = villous adenoma;</w:t>
      </w:r>
      <w:r w:rsidR="00DB2F9F" w:rsidRPr="00C34912">
        <w:rPr>
          <w:rFonts w:ascii="Calibri" w:eastAsia="Times New Roman" w:hAnsi="Calibri" w:cs="Calibri"/>
          <w:color w:val="000000"/>
          <w:lang w:val="en-GB" w:eastAsia="nl-BE"/>
          <w14:ligatures w14:val="none"/>
        </w:rPr>
        <w:t xml:space="preserve"> MP = mixed polyps</w:t>
      </w:r>
      <w:r w:rsidR="0036141C" w:rsidRPr="00C34912">
        <w:rPr>
          <w:rFonts w:ascii="Calibri" w:eastAsia="Times New Roman" w:hAnsi="Calibri" w:cs="Calibri"/>
          <w:color w:val="000000"/>
          <w:lang w:val="en-GB" w:eastAsia="nl-BE"/>
          <w14:ligatures w14:val="none"/>
        </w:rPr>
        <w:t>; CA = conventional adenoma; SA = serrated adenoma</w:t>
      </w:r>
      <w:r w:rsidR="00AB74B5" w:rsidRPr="00C34912">
        <w:rPr>
          <w:rFonts w:ascii="Calibri" w:eastAsia="Calibri" w:hAnsi="Calibri" w:cs="Times New Roman"/>
          <w:color w:val="323232"/>
          <w:kern w:val="0"/>
          <w:sz w:val="22"/>
          <w:szCs w:val="22"/>
          <w:lang w:val="en-GB"/>
          <w14:ligatures w14:val="none"/>
        </w:rPr>
        <w:br w:type="page"/>
      </w:r>
    </w:p>
    <w:p w14:paraId="4B0BB05D" w14:textId="1B9CC3E6" w:rsidR="00AB74B5" w:rsidRPr="00D95C9E" w:rsidRDefault="00A14AB3" w:rsidP="0070334C">
      <w:pPr>
        <w:keepNext/>
        <w:keepLines/>
        <w:spacing w:before="0" w:after="0" w:line="360" w:lineRule="auto"/>
        <w:jc w:val="both"/>
        <w:outlineLvl w:val="0"/>
        <w:rPr>
          <w:rFonts w:ascii="Calibri" w:eastAsia="MS Gothic" w:hAnsi="Calibri" w:cs="Times New Roman"/>
          <w:b/>
          <w:bCs/>
          <w:kern w:val="0"/>
          <w:sz w:val="28"/>
          <w:szCs w:val="32"/>
          <w:lang w:val="en-GB"/>
          <w14:ligatures w14:val="none"/>
        </w:rPr>
      </w:pPr>
      <w:r w:rsidRPr="00D95C9E">
        <w:rPr>
          <w:rFonts w:ascii="Calibri" w:eastAsia="MS Gothic" w:hAnsi="Calibri" w:cs="Times New Roman"/>
          <w:b/>
          <w:bCs/>
          <w:kern w:val="0"/>
          <w:sz w:val="22"/>
          <w:szCs w:val="24"/>
          <w:lang w:val="en-GB"/>
          <w14:ligatures w14:val="none"/>
        </w:rPr>
        <w:lastRenderedPageBreak/>
        <w:t xml:space="preserve">Supplementary </w:t>
      </w:r>
      <w:r w:rsidR="00521933" w:rsidRPr="00D95C9E">
        <w:rPr>
          <w:rFonts w:ascii="Calibri" w:eastAsia="MS Gothic" w:hAnsi="Calibri" w:cs="Times New Roman"/>
          <w:b/>
          <w:bCs/>
          <w:kern w:val="0"/>
          <w:sz w:val="22"/>
          <w:szCs w:val="24"/>
          <w:lang w:val="en-GB"/>
          <w14:ligatures w14:val="none"/>
        </w:rPr>
        <w:t>T</w:t>
      </w:r>
      <w:r w:rsidRPr="00D95C9E">
        <w:rPr>
          <w:rFonts w:ascii="Calibri" w:eastAsia="MS Gothic" w:hAnsi="Calibri" w:cs="Times New Roman"/>
          <w:b/>
          <w:bCs/>
          <w:kern w:val="0"/>
          <w:sz w:val="22"/>
          <w:szCs w:val="24"/>
          <w:lang w:val="en-GB"/>
          <w14:ligatures w14:val="none"/>
        </w:rPr>
        <w:t xml:space="preserve">able S2: Detailed summary of the included studies </w:t>
      </w:r>
      <w:r w:rsidR="00521933" w:rsidRPr="00D95C9E">
        <w:rPr>
          <w:rFonts w:ascii="Calibri" w:eastAsia="MS Gothic" w:hAnsi="Calibri" w:cs="Times New Roman"/>
          <w:b/>
          <w:bCs/>
          <w:kern w:val="0"/>
          <w:sz w:val="22"/>
          <w:szCs w:val="24"/>
          <w:lang w:val="en-GB"/>
          <w14:ligatures w14:val="none"/>
        </w:rPr>
        <w:t xml:space="preserve">assessing mucin expression </w:t>
      </w:r>
      <w:r w:rsidRPr="00D95C9E">
        <w:rPr>
          <w:rFonts w:ascii="Calibri" w:eastAsia="MS Gothic" w:hAnsi="Calibri" w:cs="Times New Roman"/>
          <w:b/>
          <w:bCs/>
          <w:kern w:val="0"/>
          <w:sz w:val="22"/>
          <w:szCs w:val="24"/>
          <w:lang w:val="en-GB"/>
          <w14:ligatures w14:val="none"/>
        </w:rPr>
        <w:t>small intestinal and colorectal adenocarcinomas</w:t>
      </w:r>
    </w:p>
    <w:tbl>
      <w:tblPr>
        <w:tblStyle w:val="Lijsttabel4-Accent11"/>
        <w:tblW w:w="13887" w:type="dxa"/>
        <w:tblLayout w:type="fixed"/>
        <w:tblLook w:val="04A0" w:firstRow="1" w:lastRow="0" w:firstColumn="1" w:lastColumn="0" w:noHBand="0" w:noVBand="1"/>
      </w:tblPr>
      <w:tblGrid>
        <w:gridCol w:w="1555"/>
        <w:gridCol w:w="2529"/>
        <w:gridCol w:w="1156"/>
        <w:gridCol w:w="2410"/>
        <w:gridCol w:w="3685"/>
        <w:gridCol w:w="1418"/>
        <w:gridCol w:w="1134"/>
      </w:tblGrid>
      <w:tr w:rsidR="00F95E45" w:rsidRPr="00D95C9E" w14:paraId="3580D758" w14:textId="7FAC03BC" w:rsidTr="00F95E45">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hideMark/>
          </w:tcPr>
          <w:p w14:paraId="1A79C11F" w14:textId="383AD1D3" w:rsidR="00F95E45" w:rsidRPr="00D95C9E" w:rsidRDefault="00F95E45" w:rsidP="00C878CA">
            <w:pPr>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 xml:space="preserve">Reference + </w:t>
            </w:r>
          </w:p>
          <w:p w14:paraId="4BF273DD" w14:textId="77777777" w:rsidR="00F95E45" w:rsidRPr="00D95C9E" w:rsidRDefault="00F95E45" w:rsidP="00C878CA">
            <w:pPr>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Newcastle-Ottawa score</w:t>
            </w:r>
          </w:p>
        </w:tc>
        <w:tc>
          <w:tcPr>
            <w:tcW w:w="2529" w:type="dxa"/>
            <w:noWrap/>
            <w:hideMark/>
          </w:tcPr>
          <w:p w14:paraId="2F53C891" w14:textId="77777777" w:rsidR="00F95E45" w:rsidRPr="00D95C9E" w:rsidRDefault="00F95E45" w:rsidP="00C878C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Sample</w:t>
            </w:r>
          </w:p>
          <w:p w14:paraId="3C423001" w14:textId="77777777" w:rsidR="00F95E45" w:rsidRPr="00D95C9E" w:rsidRDefault="00F95E45" w:rsidP="00C878C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(number and type)</w:t>
            </w:r>
          </w:p>
        </w:tc>
        <w:tc>
          <w:tcPr>
            <w:tcW w:w="1156" w:type="dxa"/>
            <w:noWrap/>
            <w:hideMark/>
          </w:tcPr>
          <w:p w14:paraId="52385B39" w14:textId="77777777" w:rsidR="00F95E45" w:rsidRPr="00D95C9E" w:rsidRDefault="00F95E45" w:rsidP="00C878C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Mucin</w:t>
            </w:r>
          </w:p>
        </w:tc>
        <w:tc>
          <w:tcPr>
            <w:tcW w:w="2410" w:type="dxa"/>
            <w:noWrap/>
            <w:hideMark/>
          </w:tcPr>
          <w:p w14:paraId="571070C6" w14:textId="77777777" w:rsidR="00F95E45" w:rsidRPr="00D95C9E" w:rsidRDefault="00F95E45" w:rsidP="00C878C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Detection method</w:t>
            </w:r>
          </w:p>
        </w:tc>
        <w:tc>
          <w:tcPr>
            <w:tcW w:w="3685" w:type="dxa"/>
            <w:noWrap/>
            <w:hideMark/>
          </w:tcPr>
          <w:p w14:paraId="2CC33851" w14:textId="77777777" w:rsidR="00F95E45" w:rsidRPr="00D95C9E" w:rsidRDefault="00F95E45" w:rsidP="00C878C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Relevant findings</w:t>
            </w:r>
          </w:p>
        </w:tc>
        <w:tc>
          <w:tcPr>
            <w:tcW w:w="1418" w:type="dxa"/>
            <w:noWrap/>
            <w:hideMark/>
          </w:tcPr>
          <w:p w14:paraId="585453D7" w14:textId="77777777" w:rsidR="00F95E45" w:rsidRPr="00D95C9E" w:rsidRDefault="00F95E45" w:rsidP="00C878C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Location</w:t>
            </w:r>
          </w:p>
        </w:tc>
        <w:tc>
          <w:tcPr>
            <w:tcW w:w="1134" w:type="dxa"/>
          </w:tcPr>
          <w:p w14:paraId="362145D5" w14:textId="77777777" w:rsidR="00F95E45" w:rsidRPr="00D95C9E" w:rsidRDefault="00F95E45" w:rsidP="00C878CA">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 xml:space="preserve">Country </w:t>
            </w:r>
          </w:p>
        </w:tc>
      </w:tr>
      <w:tr w:rsidR="00F95E45" w:rsidRPr="00D95C9E" w14:paraId="4E17A8DB" w14:textId="0B8C9DBC"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68D436ED" w14:textId="3F48F766" w:rsidR="00F95E45" w:rsidRPr="00D95C9E" w:rsidRDefault="00F95E45" w:rsidP="00756662">
            <w:pPr>
              <w:rPr>
                <w:rFonts w:ascii="Calibri" w:eastAsia="Times New Roman" w:hAnsi="Calibri" w:cs="Calibri"/>
                <w:color w:val="000000"/>
                <w:lang w:eastAsia="nl-BE"/>
                <w14:ligatures w14:val="none"/>
              </w:rPr>
            </w:pPr>
            <w:proofErr w:type="spellStart"/>
            <w:r w:rsidRPr="00D95C9E">
              <w:rPr>
                <w:rFonts w:ascii="Calibri" w:eastAsia="Times New Roman" w:hAnsi="Calibri" w:cs="Calibri"/>
                <w:color w:val="000000"/>
                <w:lang w:eastAsia="nl-BE"/>
                <w14:ligatures w14:val="none"/>
              </w:rPr>
              <w:t>Krishn</w:t>
            </w:r>
            <w:proofErr w:type="spellEnd"/>
            <w:r w:rsidRPr="00D95C9E">
              <w:rPr>
                <w:rFonts w:ascii="Calibri" w:eastAsia="Times New Roman" w:hAnsi="Calibri" w:cs="Calibri"/>
                <w:color w:val="000000"/>
                <w:lang w:eastAsia="nl-BE"/>
                <w14:ligatures w14:val="none"/>
              </w:rPr>
              <w:t xml:space="preserve"> S.R. et al.</w:t>
            </w:r>
            <w:r w:rsidRPr="00D95C9E">
              <w:rPr>
                <w:rFonts w:ascii="Calibri" w:eastAsia="Times New Roman" w:hAnsi="Calibri" w:cs="Calibri"/>
                <w:color w:val="000000"/>
                <w:vertAlign w:val="superscript"/>
                <w:lang w:eastAsia="nl-BE"/>
                <w14:ligatures w14:val="none"/>
              </w:rPr>
              <w:t xml:space="preserve"> 1</w:t>
            </w:r>
            <w:r w:rsidR="00C34912">
              <w:rPr>
                <w:rFonts w:ascii="Calibri" w:eastAsia="Times New Roman" w:hAnsi="Calibri" w:cs="Calibri"/>
                <w:color w:val="000000"/>
                <w:vertAlign w:val="superscript"/>
                <w:lang w:eastAsia="nl-BE"/>
                <w14:ligatures w14:val="none"/>
              </w:rPr>
              <w:t>2</w:t>
            </w:r>
          </w:p>
          <w:p w14:paraId="6AADDDBC" w14:textId="304C00F5" w:rsidR="00F95E45" w:rsidRPr="00D95C9E" w:rsidRDefault="00F95E45" w:rsidP="00756662">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tc>
        <w:tc>
          <w:tcPr>
            <w:tcW w:w="2529" w:type="dxa"/>
            <w:noWrap/>
          </w:tcPr>
          <w:p w14:paraId="2B2058F4" w14:textId="6ECD8F31" w:rsidR="00F95E45" w:rsidRPr="00D95C9E" w:rsidRDefault="00F95E45" w:rsidP="0075666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16); no normal colonic mucosae</w:t>
            </w:r>
          </w:p>
        </w:tc>
        <w:tc>
          <w:tcPr>
            <w:tcW w:w="1156" w:type="dxa"/>
            <w:noWrap/>
          </w:tcPr>
          <w:p w14:paraId="13015273" w14:textId="5EFB42FC" w:rsidR="00F95E45" w:rsidRPr="00D95C9E" w:rsidRDefault="00F95E45" w:rsidP="0075666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MUC4, MUC5AC, MUC5B, MUC6, MUC17</w:t>
            </w:r>
          </w:p>
        </w:tc>
        <w:tc>
          <w:tcPr>
            <w:tcW w:w="2410" w:type="dxa"/>
            <w:noWrap/>
          </w:tcPr>
          <w:p w14:paraId="34C4B608" w14:textId="6845A4DF" w:rsidR="00F95E45" w:rsidRPr="00D95C9E" w:rsidRDefault="00F95E45" w:rsidP="0075666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798829D8" w14:textId="52D2EB5B" w:rsidR="00F95E45" w:rsidRPr="00D95C9E" w:rsidRDefault="00F95E45" w:rsidP="0075666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There was a downregulation of MUC2 and MUC4 expression (p &lt; 0.0001) while MUC1 and MUC5AC expressions were upregulated (p = 0.01) during adenoma-adenocarcinoma progression. Expression of MUC17 was downregulated in inflamed tissues compared to normal tissues, but its increased expression differentiated adenocarcinomas (p = 0.025) from inflammation. Glycan epitope-Tn/</w:t>
            </w:r>
            <w:proofErr w:type="spellStart"/>
            <w:r w:rsidRPr="00D95C9E">
              <w:rPr>
                <w:rFonts w:ascii="Calibri" w:eastAsia="Times New Roman" w:hAnsi="Calibri" w:cs="Calibri"/>
                <w:color w:val="000000"/>
                <w:lang w:val="en-GB" w:eastAsia="nl-BE"/>
                <w14:ligatures w14:val="none"/>
              </w:rPr>
              <w:t>STn</w:t>
            </w:r>
            <w:proofErr w:type="spellEnd"/>
            <w:r w:rsidRPr="00D95C9E">
              <w:rPr>
                <w:rFonts w:ascii="Calibri" w:eastAsia="Times New Roman" w:hAnsi="Calibri" w:cs="Calibri"/>
                <w:color w:val="000000"/>
                <w:lang w:val="en-GB" w:eastAsia="nl-BE"/>
                <w14:ligatures w14:val="none"/>
              </w:rPr>
              <w:t xml:space="preserve"> on MUC1 showed higher expression in adenocarcinomas (p = 0.0096) compared to normal tissues. Multivariate regression analyses indicated that a combination of MUC2, MUC5AC, and MUC17 could effectively discriminate adenoma-adenocarcinoma from hyperplastic polyps.</w:t>
            </w:r>
          </w:p>
        </w:tc>
        <w:tc>
          <w:tcPr>
            <w:tcW w:w="1418" w:type="dxa"/>
            <w:noWrap/>
          </w:tcPr>
          <w:p w14:paraId="77BA349B" w14:textId="009BF4EE" w:rsidR="00F95E45" w:rsidRPr="00D95C9E" w:rsidRDefault="00F95E45" w:rsidP="0075666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1F1A46B7" w14:textId="7A0FED07" w:rsidR="00F95E45" w:rsidRPr="00D95C9E" w:rsidRDefault="00F95E45" w:rsidP="0075666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USA</w:t>
            </w:r>
          </w:p>
        </w:tc>
      </w:tr>
      <w:tr w:rsidR="00F95E45" w:rsidRPr="00D95C9E" w14:paraId="2945C117"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72F73B63" w14:textId="77F618EC" w:rsidR="00F95E45" w:rsidRPr="00C34912" w:rsidRDefault="00F95E45" w:rsidP="008C4A50">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Walsh M.D. et al.</w:t>
            </w:r>
            <w:r w:rsidRPr="00C34912">
              <w:rPr>
                <w:rFonts w:ascii="Calibri" w:eastAsia="Times New Roman" w:hAnsi="Calibri" w:cs="Calibri"/>
                <w:color w:val="000000"/>
                <w:vertAlign w:val="superscript"/>
                <w:lang w:eastAsia="nl-BE"/>
                <w14:ligatures w14:val="none"/>
              </w:rPr>
              <w:t xml:space="preserve"> 2</w:t>
            </w:r>
            <w:r w:rsidR="00C34912">
              <w:rPr>
                <w:rFonts w:ascii="Calibri" w:eastAsia="Times New Roman" w:hAnsi="Calibri" w:cs="Calibri"/>
                <w:color w:val="000000"/>
                <w:vertAlign w:val="superscript"/>
                <w:lang w:eastAsia="nl-BE"/>
                <w14:ligatures w14:val="none"/>
              </w:rPr>
              <w:t>1</w:t>
            </w:r>
          </w:p>
          <w:p w14:paraId="00492F26" w14:textId="11AE4BB0" w:rsidR="00F95E45" w:rsidRPr="00D95C9E" w:rsidRDefault="00F95E45" w:rsidP="008C4A50">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8</w:t>
            </w:r>
          </w:p>
        </w:tc>
        <w:tc>
          <w:tcPr>
            <w:tcW w:w="2529" w:type="dxa"/>
            <w:noWrap/>
          </w:tcPr>
          <w:p w14:paraId="12A27A75" w14:textId="5F11E11B"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99); normal colonic mucosae (n = 65; adjacent non-</w:t>
            </w:r>
            <w:r w:rsidR="0012669A" w:rsidRPr="00D95C9E">
              <w:rPr>
                <w:rFonts w:ascii="Calibri" w:eastAsia="Times New Roman" w:hAnsi="Calibri" w:cs="Calibri"/>
                <w:color w:val="000000"/>
                <w:lang w:val="en-GB" w:eastAsia="nl-BE"/>
                <w14:ligatures w14:val="none"/>
              </w:rPr>
              <w:t>tumoral</w:t>
            </w:r>
            <w:r w:rsidRPr="00D95C9E">
              <w:rPr>
                <w:rFonts w:ascii="Calibri" w:eastAsia="Times New Roman" w:hAnsi="Calibri" w:cs="Calibri"/>
                <w:color w:val="000000"/>
                <w:lang w:val="en-GB" w:eastAsia="nl-BE"/>
                <w14:ligatures w14:val="none"/>
              </w:rPr>
              <w:t xml:space="preserve"> tissue)</w:t>
            </w:r>
          </w:p>
        </w:tc>
        <w:tc>
          <w:tcPr>
            <w:tcW w:w="1156" w:type="dxa"/>
            <w:noWrap/>
          </w:tcPr>
          <w:p w14:paraId="7E409013" w14:textId="4CC256DD"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MUC13</w:t>
            </w:r>
          </w:p>
        </w:tc>
        <w:tc>
          <w:tcPr>
            <w:tcW w:w="2410" w:type="dxa"/>
            <w:noWrap/>
          </w:tcPr>
          <w:p w14:paraId="0DE4329B" w14:textId="568B42DC"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06761A30" w14:textId="57048E1F"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In normal colon, intense apical membrane and variable cytoplasmic MUC13 staining was present in both goblet and columnar cells, with strongest reactivity in the upper crypts and surface epithelium. All cancers showed staining of most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cells, being most conspicuous in the apical membranes of gland spaces. Left-</w:t>
            </w:r>
            <w:r w:rsidRPr="00D95C9E">
              <w:rPr>
                <w:rFonts w:ascii="Calibri" w:eastAsia="Times New Roman" w:hAnsi="Calibri" w:cs="Calibri"/>
                <w:color w:val="000000"/>
                <w:lang w:val="en-GB" w:eastAsia="nl-BE"/>
                <w14:ligatures w14:val="none"/>
              </w:rPr>
              <w:lastRenderedPageBreak/>
              <w:t xml:space="preserve">sided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had a higher overall proportion of MUC13-positive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cells than right-sided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(P &lt; .05), and high staining intensity was more frequent in adenocarcinomas (81%) than mucinous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(50%) (P &lt; .05). Poorly differentiated and late-stage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were more likely to have high-intensity cytoplasmic staining (P &lt; or = .025). Basolateral cell membranes were stained in 24% of cases, being more common in poorly differentiated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(55%) than well or moderately differentiated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(16%) (P &lt; or = .001). Partial or full circumferential MUC13 staining was frequently observed in areas of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budding. Although MUC13 immunoreactivity was not predictive of patient outcome, there was a trend toward poorer outcome in patients with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showing basolateral MUC13.</w:t>
            </w:r>
          </w:p>
        </w:tc>
        <w:tc>
          <w:tcPr>
            <w:tcW w:w="1418" w:type="dxa"/>
            <w:noWrap/>
          </w:tcPr>
          <w:p w14:paraId="7BD7478D" w14:textId="163B8CB3"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0CE0DB32" w14:textId="0591638E"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Australia</w:t>
            </w:r>
          </w:p>
        </w:tc>
      </w:tr>
      <w:tr w:rsidR="00F95E45" w:rsidRPr="00D95C9E" w14:paraId="2FC1BF42"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508D5531" w14:textId="7095B489" w:rsidR="00F95E45" w:rsidRPr="00D95C9E" w:rsidRDefault="00F95E45" w:rsidP="008C4A50">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 xml:space="preserve">Li A. et al. </w:t>
            </w:r>
            <w:r w:rsidRPr="00D95C9E">
              <w:rPr>
                <w:rFonts w:ascii="Calibri" w:eastAsia="Times New Roman" w:hAnsi="Calibri" w:cs="Calibri"/>
                <w:color w:val="000000"/>
                <w:vertAlign w:val="superscript"/>
                <w:lang w:val="fr-FR" w:eastAsia="nl-BE"/>
                <w14:ligatures w14:val="none"/>
              </w:rPr>
              <w:t>2</w:t>
            </w:r>
            <w:r w:rsidR="00C34912">
              <w:rPr>
                <w:rFonts w:ascii="Calibri" w:eastAsia="Times New Roman" w:hAnsi="Calibri" w:cs="Calibri"/>
                <w:color w:val="000000"/>
                <w:vertAlign w:val="superscript"/>
                <w:lang w:val="fr-FR" w:eastAsia="nl-BE"/>
                <w14:ligatures w14:val="none"/>
              </w:rPr>
              <w:t>4</w:t>
            </w:r>
          </w:p>
          <w:p w14:paraId="5C1FD019" w14:textId="590A224C" w:rsidR="00F95E45" w:rsidRPr="00D95C9E" w:rsidRDefault="00F95E45" w:rsidP="008C4A50">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tc>
        <w:tc>
          <w:tcPr>
            <w:tcW w:w="2529" w:type="dxa"/>
            <w:noWrap/>
          </w:tcPr>
          <w:p w14:paraId="4B7F349C" w14:textId="74D2B438"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58); no normal colonic mucosae</w:t>
            </w:r>
          </w:p>
        </w:tc>
        <w:tc>
          <w:tcPr>
            <w:tcW w:w="1156" w:type="dxa"/>
            <w:noWrap/>
          </w:tcPr>
          <w:p w14:paraId="6A12233B" w14:textId="5258B6CA"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w:t>
            </w:r>
          </w:p>
        </w:tc>
        <w:tc>
          <w:tcPr>
            <w:tcW w:w="2410" w:type="dxa"/>
            <w:noWrap/>
          </w:tcPr>
          <w:p w14:paraId="54DE711D" w14:textId="30693355"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74A647D7" w14:textId="4EE31673"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MUC1 was expressed in carcinomas (24%). MUC2 was also expressed in the carcinomas (38%). </w:t>
            </w:r>
          </w:p>
        </w:tc>
        <w:tc>
          <w:tcPr>
            <w:tcW w:w="1418" w:type="dxa"/>
            <w:noWrap/>
          </w:tcPr>
          <w:p w14:paraId="2A1EE8EF" w14:textId="78E11A0F"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7EDAECF7" w14:textId="6EB19AF2"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5E45" w:rsidRPr="00D95C9E" w14:paraId="1F1DE082"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3F1680FC" w14:textId="27B8E28E" w:rsidR="00F95E45" w:rsidRPr="00D95C9E" w:rsidRDefault="00F95E45" w:rsidP="008C4A50">
            <w:pPr>
              <w:rPr>
                <w:rFonts w:ascii="Calibri" w:eastAsia="Times New Roman" w:hAnsi="Calibri" w:cs="Calibri"/>
                <w:b w:val="0"/>
                <w:bCs w:val="0"/>
                <w:color w:val="000000"/>
                <w:vertAlign w:val="superscript"/>
                <w:lang w:val="en-GB" w:eastAsia="nl-BE"/>
                <w14:ligatures w14:val="none"/>
              </w:rPr>
            </w:pPr>
            <w:r w:rsidRPr="00D95C9E">
              <w:rPr>
                <w:rFonts w:ascii="Calibri" w:eastAsia="Times New Roman" w:hAnsi="Calibri" w:cs="Calibri"/>
                <w:color w:val="000000"/>
                <w:lang w:eastAsia="nl-BE"/>
                <w14:ligatures w14:val="none"/>
              </w:rPr>
              <w:t xml:space="preserve">Baldus S.E. et al. </w:t>
            </w:r>
            <w:r w:rsidRPr="00D95C9E">
              <w:rPr>
                <w:rFonts w:ascii="Calibri" w:eastAsia="Times New Roman" w:hAnsi="Calibri" w:cs="Calibri"/>
                <w:color w:val="000000"/>
                <w:lang w:val="en-GB" w:eastAsia="nl-BE"/>
                <w14:ligatures w14:val="none"/>
              </w:rPr>
              <w:t>(2002)</w:t>
            </w:r>
            <w:r w:rsidRPr="00D95C9E">
              <w:rPr>
                <w:rFonts w:ascii="Calibri" w:eastAsia="Times New Roman" w:hAnsi="Calibri" w:cs="Calibri"/>
                <w:color w:val="000000"/>
                <w:vertAlign w:val="superscript"/>
                <w:lang w:val="en-GB" w:eastAsia="nl-BE"/>
                <w14:ligatures w14:val="none"/>
              </w:rPr>
              <w:t xml:space="preserve"> 2</w:t>
            </w:r>
            <w:r w:rsidR="00C34912">
              <w:rPr>
                <w:rFonts w:ascii="Calibri" w:eastAsia="Times New Roman" w:hAnsi="Calibri" w:cs="Calibri"/>
                <w:color w:val="000000"/>
                <w:vertAlign w:val="superscript"/>
                <w:lang w:val="en-GB" w:eastAsia="nl-BE"/>
                <w14:ligatures w14:val="none"/>
              </w:rPr>
              <w:t>5</w:t>
            </w:r>
          </w:p>
          <w:p w14:paraId="5D5F1E22" w14:textId="77777777" w:rsidR="00F95E45" w:rsidRPr="00D95C9E" w:rsidRDefault="00F95E45" w:rsidP="008C4A50">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7</w:t>
            </w:r>
          </w:p>
          <w:p w14:paraId="464CBD8B" w14:textId="77777777" w:rsidR="00F95E45" w:rsidRPr="00D95C9E" w:rsidRDefault="00F95E45" w:rsidP="008C4A50">
            <w:pPr>
              <w:rPr>
                <w:rFonts w:ascii="Calibri" w:eastAsia="Times New Roman" w:hAnsi="Calibri" w:cs="Calibri"/>
                <w:color w:val="000000"/>
                <w:lang w:val="en-GB" w:eastAsia="nl-BE"/>
                <w14:ligatures w14:val="none"/>
              </w:rPr>
            </w:pPr>
          </w:p>
        </w:tc>
        <w:tc>
          <w:tcPr>
            <w:tcW w:w="2529" w:type="dxa"/>
            <w:noWrap/>
          </w:tcPr>
          <w:p w14:paraId="09104FFF" w14:textId="2513EF58"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44); no normal colonic mucosae</w:t>
            </w:r>
          </w:p>
        </w:tc>
        <w:tc>
          <w:tcPr>
            <w:tcW w:w="1156" w:type="dxa"/>
            <w:noWrap/>
          </w:tcPr>
          <w:p w14:paraId="51D99C96" w14:textId="08D1D984"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w:t>
            </w:r>
          </w:p>
        </w:tc>
        <w:tc>
          <w:tcPr>
            <w:tcW w:w="2410" w:type="dxa"/>
            <w:noWrap/>
          </w:tcPr>
          <w:p w14:paraId="2459141D" w14:textId="7592488F"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08656C6A" w14:textId="07F68B37"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A significantly stronger MUC2 reactivity of mucinous vs. tubular adenocarcinomas was shown. </w:t>
            </w:r>
          </w:p>
        </w:tc>
        <w:tc>
          <w:tcPr>
            <w:tcW w:w="1418" w:type="dxa"/>
            <w:noWrap/>
          </w:tcPr>
          <w:p w14:paraId="35FCC3C0" w14:textId="18477ACD"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093EB855" w14:textId="77777777"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Germany</w:t>
            </w:r>
          </w:p>
          <w:p w14:paraId="3CEE5ACB" w14:textId="77777777"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693722B9"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28C15A52" w14:textId="4FA6ED3B" w:rsidR="00F95E45" w:rsidRPr="00C34912" w:rsidRDefault="00F95E45" w:rsidP="008C4A50">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Park S.Y. et al.</w:t>
            </w:r>
            <w:r w:rsidRPr="00C34912">
              <w:rPr>
                <w:rFonts w:ascii="Calibri" w:eastAsia="Times New Roman" w:hAnsi="Calibri" w:cs="Calibri"/>
                <w:color w:val="000000"/>
                <w:vertAlign w:val="superscript"/>
                <w:lang w:eastAsia="nl-BE"/>
                <w14:ligatures w14:val="none"/>
              </w:rPr>
              <w:t xml:space="preserve"> 2</w:t>
            </w:r>
            <w:r w:rsidR="00C34912">
              <w:rPr>
                <w:rFonts w:ascii="Calibri" w:eastAsia="Times New Roman" w:hAnsi="Calibri" w:cs="Calibri"/>
                <w:color w:val="000000"/>
                <w:vertAlign w:val="superscript"/>
                <w:lang w:eastAsia="nl-BE"/>
                <w14:ligatures w14:val="none"/>
              </w:rPr>
              <w:t>6</w:t>
            </w:r>
          </w:p>
          <w:p w14:paraId="6C4A8232" w14:textId="1CB2D328" w:rsidR="00F95E45" w:rsidRPr="00D95C9E" w:rsidRDefault="00F95E45" w:rsidP="008C4A50">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5</w:t>
            </w:r>
          </w:p>
        </w:tc>
        <w:tc>
          <w:tcPr>
            <w:tcW w:w="2529" w:type="dxa"/>
            <w:noWrap/>
          </w:tcPr>
          <w:p w14:paraId="0171ADE1" w14:textId="135B776E"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Mucinous CRC (n = 69); no normal colonic mucosae</w:t>
            </w:r>
          </w:p>
        </w:tc>
        <w:tc>
          <w:tcPr>
            <w:tcW w:w="1156" w:type="dxa"/>
            <w:noWrap/>
          </w:tcPr>
          <w:p w14:paraId="01285201" w14:textId="37017EE5"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w:t>
            </w:r>
          </w:p>
        </w:tc>
        <w:tc>
          <w:tcPr>
            <w:tcW w:w="2410" w:type="dxa"/>
            <w:noWrap/>
          </w:tcPr>
          <w:p w14:paraId="02DEABDD" w14:textId="4F6DD90E"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3373DE71" w14:textId="4CDD0B97"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Right-sided mucinous and non-mucinous colorectal adenocarcinomas, by comparison with </w:t>
            </w:r>
            <w:r w:rsidRPr="00D95C9E">
              <w:rPr>
                <w:rFonts w:ascii="Calibri" w:eastAsia="Times New Roman" w:hAnsi="Calibri" w:cs="Calibri"/>
                <w:color w:val="000000"/>
                <w:lang w:val="en-GB" w:eastAsia="nl-BE"/>
                <w14:ligatures w14:val="none"/>
              </w:rPr>
              <w:lastRenderedPageBreak/>
              <w:t xml:space="preserve">those on the left side, were characterized by higher MUC2 and MUC5AC expression. The results indicate that MA is a distinctive form of colorectal cancer and has different phenotypes depending on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location.</w:t>
            </w:r>
          </w:p>
        </w:tc>
        <w:tc>
          <w:tcPr>
            <w:tcW w:w="1418" w:type="dxa"/>
            <w:noWrap/>
          </w:tcPr>
          <w:p w14:paraId="7F295322" w14:textId="030D5726"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6F674E63" w14:textId="31D4EFDF"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South Korea</w:t>
            </w:r>
          </w:p>
        </w:tc>
      </w:tr>
      <w:tr w:rsidR="00F95E45" w:rsidRPr="00D95C9E" w14:paraId="00F1CDD5"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690D3C4" w14:textId="47FC466D" w:rsidR="00F95E45" w:rsidRPr="00D95C9E" w:rsidRDefault="00F95E45" w:rsidP="008C4A50">
            <w:pPr>
              <w:rPr>
                <w:rFonts w:ascii="Calibri" w:eastAsia="Times New Roman" w:hAnsi="Calibri" w:cs="Calibri"/>
                <w:color w:val="000000"/>
                <w:lang w:eastAsia="nl-BE"/>
                <w14:ligatures w14:val="none"/>
              </w:rPr>
            </w:pPr>
            <w:r w:rsidRPr="00D95C9E">
              <w:rPr>
                <w:rFonts w:ascii="Calibri" w:eastAsia="Times New Roman" w:hAnsi="Calibri" w:cs="Calibri"/>
                <w:color w:val="000000"/>
                <w:lang w:eastAsia="nl-BE"/>
                <w14:ligatures w14:val="none"/>
              </w:rPr>
              <w:t>Kim D.H. et al.</w:t>
            </w:r>
            <w:r w:rsidRPr="00D95C9E">
              <w:rPr>
                <w:rFonts w:ascii="Calibri" w:eastAsia="Times New Roman" w:hAnsi="Calibri" w:cs="Calibri"/>
                <w:color w:val="000000"/>
                <w:vertAlign w:val="superscript"/>
                <w:lang w:eastAsia="nl-BE"/>
                <w14:ligatures w14:val="none"/>
              </w:rPr>
              <w:t xml:space="preserve"> 2</w:t>
            </w:r>
            <w:r w:rsidR="00C34912">
              <w:rPr>
                <w:rFonts w:ascii="Calibri" w:eastAsia="Times New Roman" w:hAnsi="Calibri" w:cs="Calibri"/>
                <w:color w:val="000000"/>
                <w:vertAlign w:val="superscript"/>
                <w:lang w:eastAsia="nl-BE"/>
                <w14:ligatures w14:val="none"/>
              </w:rPr>
              <w:t>7</w:t>
            </w:r>
          </w:p>
          <w:p w14:paraId="397D9FF9" w14:textId="7D18C870" w:rsidR="00F95E45" w:rsidRPr="00D95C9E" w:rsidRDefault="00F95E45" w:rsidP="008C4A50">
            <w:pPr>
              <w:rPr>
                <w:rFonts w:ascii="Calibri" w:eastAsia="Times New Roman" w:hAnsi="Calibri" w:cs="Calibri"/>
                <w:color w:val="000000"/>
                <w:lang w:eastAsia="nl-BE"/>
                <w14:ligatures w14:val="none"/>
              </w:rPr>
            </w:pPr>
            <w:r w:rsidRPr="00D95C9E">
              <w:rPr>
                <w:rFonts w:ascii="Calibri" w:eastAsia="Times New Roman" w:hAnsi="Calibri" w:cs="Calibri"/>
                <w:color w:val="000000"/>
                <w:lang w:eastAsia="nl-BE"/>
                <w14:ligatures w14:val="none"/>
              </w:rPr>
              <w:t>Score: 4</w:t>
            </w:r>
          </w:p>
        </w:tc>
        <w:tc>
          <w:tcPr>
            <w:tcW w:w="2529" w:type="dxa"/>
            <w:noWrap/>
          </w:tcPr>
          <w:p w14:paraId="236EF1A5" w14:textId="3ACE6068"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non-mucinous CRC (n = 42); mucinous CRC cancers (n = 19); no normal colonic mucosae</w:t>
            </w:r>
          </w:p>
        </w:tc>
        <w:tc>
          <w:tcPr>
            <w:tcW w:w="1156" w:type="dxa"/>
            <w:noWrap/>
          </w:tcPr>
          <w:p w14:paraId="723906C7" w14:textId="1A554907"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w:t>
            </w:r>
          </w:p>
        </w:tc>
        <w:tc>
          <w:tcPr>
            <w:tcW w:w="2410" w:type="dxa"/>
            <w:noWrap/>
          </w:tcPr>
          <w:p w14:paraId="10C5F735" w14:textId="54DF63D0"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15A969EC" w14:textId="19050D57"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MC (68%, 100%) showed a higher frequency of MUC5AC and MUC2 expression compared to NMC (31%, p=0.001; 38%, p&lt;0.001). </w:t>
            </w:r>
          </w:p>
        </w:tc>
        <w:tc>
          <w:tcPr>
            <w:tcW w:w="1418" w:type="dxa"/>
            <w:noWrap/>
          </w:tcPr>
          <w:p w14:paraId="1F514905" w14:textId="71DD6FDC"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0C6B06D5" w14:textId="57194009"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USA</w:t>
            </w:r>
          </w:p>
        </w:tc>
      </w:tr>
      <w:tr w:rsidR="00F95E45" w:rsidRPr="00D95C9E" w14:paraId="14548D1F"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5EFF1423" w14:textId="45CC41E1" w:rsidR="00F95E45" w:rsidRPr="00D95C9E" w:rsidRDefault="00F95E45" w:rsidP="008C4A50">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Renaud F. et al.</w:t>
            </w:r>
            <w:r w:rsidRPr="00D95C9E">
              <w:rPr>
                <w:rFonts w:ascii="Calibri" w:eastAsia="Times New Roman" w:hAnsi="Calibri" w:cs="Calibri"/>
                <w:color w:val="000000"/>
                <w:vertAlign w:val="superscript"/>
                <w:lang w:val="en-GB" w:eastAsia="nl-BE"/>
                <w14:ligatures w14:val="none"/>
              </w:rPr>
              <w:t xml:space="preserve"> 2</w:t>
            </w:r>
            <w:r w:rsidR="00C34912">
              <w:rPr>
                <w:rFonts w:ascii="Calibri" w:eastAsia="Times New Roman" w:hAnsi="Calibri" w:cs="Calibri"/>
                <w:color w:val="000000"/>
                <w:vertAlign w:val="superscript"/>
                <w:lang w:val="en-GB" w:eastAsia="nl-BE"/>
                <w14:ligatures w14:val="none"/>
              </w:rPr>
              <w:t>8</w:t>
            </w:r>
          </w:p>
        </w:tc>
        <w:tc>
          <w:tcPr>
            <w:tcW w:w="2529" w:type="dxa"/>
            <w:noWrap/>
          </w:tcPr>
          <w:p w14:paraId="7AB47580" w14:textId="28065D1A"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36); no normal colonic tissue</w:t>
            </w:r>
          </w:p>
        </w:tc>
        <w:tc>
          <w:tcPr>
            <w:tcW w:w="1156" w:type="dxa"/>
            <w:noWrap/>
          </w:tcPr>
          <w:p w14:paraId="780CBA30" w14:textId="55ED41FF"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MUC4, MUC5AC</w:t>
            </w:r>
          </w:p>
        </w:tc>
        <w:tc>
          <w:tcPr>
            <w:tcW w:w="2410" w:type="dxa"/>
            <w:noWrap/>
          </w:tcPr>
          <w:p w14:paraId="1B4FCC09" w14:textId="5C142F80"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 and qPCR</w:t>
            </w:r>
          </w:p>
        </w:tc>
        <w:tc>
          <w:tcPr>
            <w:tcW w:w="3685" w:type="dxa"/>
            <w:noWrap/>
          </w:tcPr>
          <w:p w14:paraId="5F532DD7" w14:textId="0678E8B5"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and MUC5AC hypomethylation was associated with MUC2 and MUC5AC protein expression (p = 0.004 and p &lt; 0.001, respectively), poor differentiation (p = 0.001 and p = 0.007, respectively) and MSI status (p &lt; 0.01 and p &lt; 0.001, respectively). Interestingly, MUC5AC hypomethylation was specific to MSI cancers. Moreover, it was significantly associated with BRAF mutation and CpG island methylator phenotype (p &lt; 0.001 and p &lt; 0.001, respectively). All these results were confirmed in the control cohort. In the multivariate analysis, MUC5AC hypomethylation was a highly predictive biomarker for MSI cancers.</w:t>
            </w:r>
          </w:p>
        </w:tc>
        <w:tc>
          <w:tcPr>
            <w:tcW w:w="1418" w:type="dxa"/>
            <w:noWrap/>
          </w:tcPr>
          <w:p w14:paraId="15127044" w14:textId="7F34752D"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7F69AE66" w14:textId="76A874A6" w:rsidR="00F95E45" w:rsidRPr="00D95C9E" w:rsidRDefault="00F95E45" w:rsidP="008C4A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France</w:t>
            </w:r>
          </w:p>
        </w:tc>
      </w:tr>
      <w:tr w:rsidR="00F95E45" w:rsidRPr="00D95C9E" w14:paraId="2AFD9947"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E4330A6" w14:textId="7EE3DEEE" w:rsidR="00F95E45" w:rsidRPr="00D95C9E" w:rsidRDefault="00F95E45" w:rsidP="008C4A50">
            <w:pPr>
              <w:rPr>
                <w:rFonts w:ascii="Calibri" w:eastAsia="Times New Roman" w:hAnsi="Calibri" w:cs="Calibri"/>
                <w:color w:val="000000"/>
                <w:lang w:val="fr-FR" w:eastAsia="nl-BE"/>
                <w14:ligatures w14:val="none"/>
              </w:rPr>
            </w:pPr>
            <w:proofErr w:type="spellStart"/>
            <w:r w:rsidRPr="00D95C9E">
              <w:rPr>
                <w:rFonts w:ascii="Calibri" w:eastAsia="Times New Roman" w:hAnsi="Calibri" w:cs="Calibri"/>
                <w:color w:val="000000"/>
                <w:lang w:val="fr-FR" w:eastAsia="nl-BE"/>
                <w14:ligatures w14:val="none"/>
              </w:rPr>
              <w:t>Losi</w:t>
            </w:r>
            <w:proofErr w:type="spellEnd"/>
            <w:r w:rsidRPr="00D95C9E">
              <w:rPr>
                <w:rFonts w:ascii="Calibri" w:eastAsia="Times New Roman" w:hAnsi="Calibri" w:cs="Calibri"/>
                <w:color w:val="000000"/>
                <w:lang w:val="fr-FR" w:eastAsia="nl-BE"/>
                <w14:ligatures w14:val="none"/>
              </w:rPr>
              <w:t xml:space="preserve"> L. et al.</w:t>
            </w:r>
            <w:r w:rsidRPr="00D95C9E">
              <w:rPr>
                <w:rFonts w:ascii="Calibri" w:eastAsia="Times New Roman" w:hAnsi="Calibri" w:cs="Calibri"/>
                <w:color w:val="000000"/>
                <w:vertAlign w:val="superscript"/>
                <w:lang w:val="fr-FR" w:eastAsia="nl-BE"/>
                <w14:ligatures w14:val="none"/>
              </w:rPr>
              <w:t xml:space="preserve"> 2</w:t>
            </w:r>
            <w:r w:rsidR="00C34912">
              <w:rPr>
                <w:rFonts w:ascii="Calibri" w:eastAsia="Times New Roman" w:hAnsi="Calibri" w:cs="Calibri"/>
                <w:color w:val="000000"/>
                <w:vertAlign w:val="superscript"/>
                <w:lang w:val="fr-FR" w:eastAsia="nl-BE"/>
                <w14:ligatures w14:val="none"/>
              </w:rPr>
              <w:t>9</w:t>
            </w:r>
          </w:p>
          <w:p w14:paraId="5683734F" w14:textId="42AE1384" w:rsidR="00F95E45" w:rsidRPr="00D95C9E" w:rsidRDefault="00F95E45" w:rsidP="008C4A50">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6</w:t>
            </w:r>
          </w:p>
        </w:tc>
        <w:tc>
          <w:tcPr>
            <w:tcW w:w="2529" w:type="dxa"/>
            <w:noWrap/>
          </w:tcPr>
          <w:p w14:paraId="0BEB79B7" w14:textId="2B2F862C"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Mucinous CRC (n = 76); non-mucinous CRC (n = 60); no normal colonic mucosae</w:t>
            </w:r>
          </w:p>
        </w:tc>
        <w:tc>
          <w:tcPr>
            <w:tcW w:w="1156" w:type="dxa"/>
            <w:noWrap/>
          </w:tcPr>
          <w:p w14:paraId="63A9170D" w14:textId="593B09F1"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w:t>
            </w:r>
          </w:p>
        </w:tc>
        <w:tc>
          <w:tcPr>
            <w:tcW w:w="2410" w:type="dxa"/>
            <w:noWrap/>
          </w:tcPr>
          <w:p w14:paraId="68E6490D" w14:textId="48F95916"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658D772C" w14:textId="18B24714"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MUC2 was noted in all mucinous carcinomas, whereas MUC5AC was present in 41 cases only (54%). In non-mucinous carcinomas, MUC2 was </w:t>
            </w:r>
            <w:r w:rsidRPr="00D95C9E">
              <w:rPr>
                <w:rFonts w:ascii="Calibri" w:eastAsia="Times New Roman" w:hAnsi="Calibri" w:cs="Calibri"/>
                <w:color w:val="000000"/>
                <w:lang w:val="en-GB" w:eastAsia="nl-BE"/>
                <w14:ligatures w14:val="none"/>
              </w:rPr>
              <w:lastRenderedPageBreak/>
              <w:t xml:space="preserve">expressed in 61.7% of the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by contrast, MUC5AC was present in 20% of the cases. The expression level of </w:t>
            </w:r>
            <w:proofErr w:type="spellStart"/>
            <w:r w:rsidRPr="00D95C9E">
              <w:rPr>
                <w:rFonts w:ascii="Calibri" w:eastAsia="Times New Roman" w:hAnsi="Calibri" w:cs="Calibri"/>
                <w:color w:val="000000"/>
                <w:lang w:val="en-GB" w:eastAsia="nl-BE"/>
                <w14:ligatures w14:val="none"/>
              </w:rPr>
              <w:t>apomucins</w:t>
            </w:r>
            <w:proofErr w:type="spellEnd"/>
            <w:r w:rsidRPr="00D95C9E">
              <w:rPr>
                <w:rFonts w:ascii="Calibri" w:eastAsia="Times New Roman" w:hAnsi="Calibri" w:cs="Calibri"/>
                <w:color w:val="000000"/>
                <w:lang w:val="en-GB" w:eastAsia="nl-BE"/>
                <w14:ligatures w14:val="none"/>
              </w:rPr>
              <w:t xml:space="preserve"> was significantly different in mucinous and non-mucinous lesions (p&lt;0.001). The lack of MLH1 expression was considerably more frequent in carcinomas with secretion of MUC5AC (p&lt;0.005).</w:t>
            </w:r>
          </w:p>
        </w:tc>
        <w:tc>
          <w:tcPr>
            <w:tcW w:w="1418" w:type="dxa"/>
            <w:noWrap/>
          </w:tcPr>
          <w:p w14:paraId="7F21D20F" w14:textId="210F3784"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4F848C0C" w14:textId="5FD18736" w:rsidR="00F95E45" w:rsidRPr="00D95C9E" w:rsidRDefault="00F95E45" w:rsidP="008C4A5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Italy</w:t>
            </w:r>
          </w:p>
        </w:tc>
      </w:tr>
      <w:tr w:rsidR="00F95E45" w:rsidRPr="00D95C9E" w14:paraId="4F7DCAF4"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551E21D2" w14:textId="6F83A7A1" w:rsidR="00F95E45" w:rsidRPr="00D95C9E" w:rsidRDefault="00F95E45" w:rsidP="0057796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You J.F. et al.</w:t>
            </w:r>
            <w:r w:rsidRPr="00D95C9E">
              <w:rPr>
                <w:rFonts w:ascii="Calibri" w:eastAsia="Times New Roman" w:hAnsi="Calibri" w:cs="Calibri"/>
                <w:color w:val="000000"/>
                <w:vertAlign w:val="superscript"/>
                <w:lang w:val="en-GB" w:eastAsia="nl-BE"/>
                <w14:ligatures w14:val="none"/>
              </w:rPr>
              <w:t xml:space="preserve"> </w:t>
            </w:r>
            <w:r w:rsidR="00C34912">
              <w:rPr>
                <w:rFonts w:ascii="Calibri" w:eastAsia="Times New Roman" w:hAnsi="Calibri" w:cs="Calibri"/>
                <w:color w:val="000000"/>
                <w:vertAlign w:val="superscript"/>
                <w:lang w:val="en-GB" w:eastAsia="nl-BE"/>
                <w14:ligatures w14:val="none"/>
              </w:rPr>
              <w:t>30</w:t>
            </w:r>
          </w:p>
          <w:p w14:paraId="000466D0" w14:textId="77777777" w:rsidR="00F95E45" w:rsidRPr="00D95C9E" w:rsidRDefault="00F95E45" w:rsidP="0057796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p w14:paraId="4235D6E5" w14:textId="77777777" w:rsidR="00F95E45" w:rsidRPr="00D95C9E" w:rsidRDefault="00F95E45" w:rsidP="0057796A">
            <w:pPr>
              <w:rPr>
                <w:rFonts w:ascii="Calibri" w:eastAsia="Times New Roman" w:hAnsi="Calibri" w:cs="Calibri"/>
                <w:color w:val="000000"/>
                <w:lang w:val="en-GB" w:eastAsia="nl-BE"/>
                <w14:ligatures w14:val="none"/>
              </w:rPr>
            </w:pPr>
          </w:p>
        </w:tc>
        <w:tc>
          <w:tcPr>
            <w:tcW w:w="2529" w:type="dxa"/>
            <w:noWrap/>
          </w:tcPr>
          <w:p w14:paraId="2681E97B" w14:textId="43E8E4CC"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147), HNPCC (n = 56); no normal colonic mucosae</w:t>
            </w:r>
          </w:p>
        </w:tc>
        <w:tc>
          <w:tcPr>
            <w:tcW w:w="1156" w:type="dxa"/>
            <w:noWrap/>
          </w:tcPr>
          <w:p w14:paraId="60E6E8CD" w14:textId="589E3888"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MUC4, MUC5AC</w:t>
            </w:r>
          </w:p>
        </w:tc>
        <w:tc>
          <w:tcPr>
            <w:tcW w:w="2410" w:type="dxa"/>
            <w:noWrap/>
          </w:tcPr>
          <w:p w14:paraId="157DE781" w14:textId="48EB999D"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1A26E9FA" w14:textId="4B1C7B73"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 higher expression score of MUC1 in CRC was associated with a poorer survival (</w:t>
            </w:r>
            <w:proofErr w:type="spellStart"/>
            <w:r w:rsidRPr="00D95C9E">
              <w:rPr>
                <w:rFonts w:ascii="Calibri" w:eastAsia="Times New Roman" w:hAnsi="Calibri" w:cs="Calibri"/>
                <w:color w:val="000000"/>
                <w:lang w:val="en-GB" w:eastAsia="nl-BE"/>
                <w14:ligatures w14:val="none"/>
              </w:rPr>
              <w:t>Ptrend</w:t>
            </w:r>
            <w:proofErr w:type="spellEnd"/>
            <w:r w:rsidRPr="00D95C9E">
              <w:rPr>
                <w:rFonts w:ascii="Calibri" w:eastAsia="Times New Roman" w:hAnsi="Calibri" w:cs="Calibri"/>
                <w:color w:val="000000"/>
                <w:lang w:val="en-GB" w:eastAsia="nl-BE"/>
                <w14:ligatures w14:val="none"/>
              </w:rPr>
              <w:t xml:space="preserve"> = 0.043). If further stratified by mucin production, high MUC1 expression seemed to be a marker of worse long-term survival in mucinous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though not in </w:t>
            </w:r>
            <w:r w:rsidR="0012669A" w:rsidRPr="00D95C9E">
              <w:rPr>
                <w:rFonts w:ascii="Calibri" w:eastAsia="Times New Roman" w:hAnsi="Calibri" w:cs="Calibri"/>
                <w:color w:val="000000"/>
                <w:lang w:val="en-GB" w:eastAsia="nl-BE"/>
                <w14:ligatures w14:val="none"/>
              </w:rPr>
              <w:t>non-mucinous</w:t>
            </w:r>
            <w:r w:rsidRPr="00D95C9E">
              <w:rPr>
                <w:rFonts w:ascii="Calibri" w:eastAsia="Times New Roman" w:hAnsi="Calibri" w:cs="Calibri"/>
                <w:color w:val="000000"/>
                <w:lang w:val="en-GB" w:eastAsia="nl-BE"/>
                <w14:ligatures w14:val="none"/>
              </w:rPr>
              <w:t xml:space="preserve">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(P = 0.004). The detrimental effect of dual expression of mucin and MUC1 on the long-term outcome remained significant after stratification by TNM stages in Cox regression model (P = 0.039).</w:t>
            </w:r>
          </w:p>
        </w:tc>
        <w:tc>
          <w:tcPr>
            <w:tcW w:w="1418" w:type="dxa"/>
            <w:noWrap/>
          </w:tcPr>
          <w:p w14:paraId="61EAD271" w14:textId="36E2D50C"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089822DA" w14:textId="3713F511"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Taiwan</w:t>
            </w:r>
          </w:p>
        </w:tc>
      </w:tr>
      <w:tr w:rsidR="00F95E45" w:rsidRPr="00D95C9E" w14:paraId="35D51DD6"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67613976" w14:textId="52440B89" w:rsidR="00F95E45" w:rsidRPr="00D95C9E" w:rsidRDefault="00F95E45" w:rsidP="0057796A">
            <w:pPr>
              <w:rPr>
                <w:rFonts w:ascii="Calibri" w:eastAsia="Times New Roman" w:hAnsi="Calibri" w:cs="Calibri"/>
                <w:color w:val="000000"/>
                <w:lang w:eastAsia="nl-BE"/>
                <w14:ligatures w14:val="none"/>
              </w:rPr>
            </w:pPr>
            <w:r w:rsidRPr="00D95C9E">
              <w:rPr>
                <w:rFonts w:ascii="Calibri" w:eastAsia="Times New Roman" w:hAnsi="Calibri" w:cs="Calibri"/>
                <w:color w:val="000000"/>
                <w:lang w:eastAsia="nl-BE"/>
                <w14:ligatures w14:val="none"/>
              </w:rPr>
              <w:t>Al-</w:t>
            </w:r>
            <w:proofErr w:type="spellStart"/>
            <w:r w:rsidRPr="00D95C9E">
              <w:rPr>
                <w:rFonts w:ascii="Calibri" w:eastAsia="Times New Roman" w:hAnsi="Calibri" w:cs="Calibri"/>
                <w:color w:val="000000"/>
                <w:lang w:eastAsia="nl-BE"/>
                <w14:ligatures w14:val="none"/>
              </w:rPr>
              <w:t>Maghrabi</w:t>
            </w:r>
            <w:proofErr w:type="spellEnd"/>
            <w:r w:rsidRPr="00D95C9E">
              <w:rPr>
                <w:rFonts w:ascii="Calibri" w:eastAsia="Times New Roman" w:hAnsi="Calibri" w:cs="Calibri"/>
                <w:color w:val="000000"/>
                <w:lang w:eastAsia="nl-BE"/>
                <w14:ligatures w14:val="none"/>
              </w:rPr>
              <w:t xml:space="preserve"> J. et al.</w:t>
            </w:r>
            <w:r w:rsidRPr="00D95C9E">
              <w:rPr>
                <w:rFonts w:ascii="Calibri" w:eastAsia="Times New Roman" w:hAnsi="Calibri" w:cs="Calibri"/>
                <w:color w:val="000000"/>
                <w:vertAlign w:val="superscript"/>
                <w:lang w:eastAsia="nl-BE"/>
                <w14:ligatures w14:val="none"/>
              </w:rPr>
              <w:t xml:space="preserve"> 3</w:t>
            </w:r>
            <w:r w:rsidR="00C34912">
              <w:rPr>
                <w:rFonts w:ascii="Calibri" w:eastAsia="Times New Roman" w:hAnsi="Calibri" w:cs="Calibri"/>
                <w:color w:val="000000"/>
                <w:vertAlign w:val="superscript"/>
                <w:lang w:eastAsia="nl-BE"/>
                <w14:ligatures w14:val="none"/>
              </w:rPr>
              <w:t>1</w:t>
            </w:r>
          </w:p>
          <w:p w14:paraId="17E649D9" w14:textId="77777777" w:rsidR="00F95E45" w:rsidRPr="00D95C9E" w:rsidRDefault="00F95E45" w:rsidP="0057796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p w14:paraId="139FD958" w14:textId="77777777" w:rsidR="00F95E45" w:rsidRPr="00D95C9E" w:rsidRDefault="00F95E45" w:rsidP="0057796A">
            <w:pPr>
              <w:rPr>
                <w:rFonts w:ascii="Calibri" w:eastAsia="Times New Roman" w:hAnsi="Calibri" w:cs="Calibri"/>
                <w:color w:val="000000"/>
                <w:lang w:val="en-GB" w:eastAsia="nl-BE"/>
                <w14:ligatures w14:val="none"/>
              </w:rPr>
            </w:pPr>
          </w:p>
        </w:tc>
        <w:tc>
          <w:tcPr>
            <w:tcW w:w="2529" w:type="dxa"/>
            <w:noWrap/>
          </w:tcPr>
          <w:p w14:paraId="7661B0A6" w14:textId="78ABC579"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128); local nodal metastases (n = 50); normal colonic mucosae (n = 42)</w:t>
            </w:r>
          </w:p>
        </w:tc>
        <w:tc>
          <w:tcPr>
            <w:tcW w:w="1156" w:type="dxa"/>
            <w:noWrap/>
          </w:tcPr>
          <w:p w14:paraId="1CC2CC8A" w14:textId="70C3A346"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w:t>
            </w:r>
          </w:p>
        </w:tc>
        <w:tc>
          <w:tcPr>
            <w:tcW w:w="2410" w:type="dxa"/>
            <w:noWrap/>
          </w:tcPr>
          <w:p w14:paraId="782D83E6" w14:textId="1C5B9910"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052A107C" w14:textId="010BAC32"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Low MUC2 immunostaining was higher in primary CRC (P = 0.003) and nodal metastasis (80%) (P &lt; 0.001). There was significant association of low MUC2 immunostaining in CRC with age group below 60 years (P = 0.05) and occurrence of </w:t>
            </w:r>
            <w:proofErr w:type="spellStart"/>
            <w:r w:rsidRPr="00D95C9E">
              <w:rPr>
                <w:rFonts w:ascii="Calibri" w:eastAsia="Times New Roman" w:hAnsi="Calibri" w:cs="Calibri"/>
                <w:color w:val="000000"/>
                <w:lang w:val="en-GB" w:eastAsia="nl-BE"/>
                <w14:ligatures w14:val="none"/>
              </w:rPr>
              <w:t>lymphovascular</w:t>
            </w:r>
            <w:proofErr w:type="spellEnd"/>
            <w:r w:rsidRPr="00D95C9E">
              <w:rPr>
                <w:rFonts w:ascii="Calibri" w:eastAsia="Times New Roman" w:hAnsi="Calibri" w:cs="Calibri"/>
                <w:color w:val="000000"/>
                <w:lang w:val="en-GB" w:eastAsia="nl-BE"/>
                <w14:ligatures w14:val="none"/>
              </w:rPr>
              <w:t xml:space="preserve"> invasion (P = 0.034). Regression analysis revealed that low MUC2 immunostaining was an independent predictor of </w:t>
            </w:r>
            <w:proofErr w:type="spellStart"/>
            <w:r w:rsidRPr="00D95C9E">
              <w:rPr>
                <w:rFonts w:ascii="Calibri" w:eastAsia="Times New Roman" w:hAnsi="Calibri" w:cs="Calibri"/>
                <w:color w:val="000000"/>
                <w:lang w:val="en-GB" w:eastAsia="nl-BE"/>
                <w14:ligatures w14:val="none"/>
              </w:rPr>
              <w:lastRenderedPageBreak/>
              <w:t>lymphovascular</w:t>
            </w:r>
            <w:proofErr w:type="spellEnd"/>
            <w:r w:rsidRPr="00D95C9E">
              <w:rPr>
                <w:rFonts w:ascii="Calibri" w:eastAsia="Times New Roman" w:hAnsi="Calibri" w:cs="Calibri"/>
                <w:color w:val="000000"/>
                <w:lang w:val="en-GB" w:eastAsia="nl-BE"/>
                <w14:ligatures w14:val="none"/>
              </w:rPr>
              <w:t xml:space="preserve"> invasion (P = 0.041). In the Kaplan-Meier survival analysis, there was a significant longer disease-free survival in patients with low MUC2 immunostaining (P = 0.045).</w:t>
            </w:r>
          </w:p>
        </w:tc>
        <w:tc>
          <w:tcPr>
            <w:tcW w:w="1418" w:type="dxa"/>
            <w:noWrap/>
          </w:tcPr>
          <w:p w14:paraId="39C71753" w14:textId="37D9A22D"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332F720A" w14:textId="7777777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Saudi Arabia</w:t>
            </w:r>
          </w:p>
          <w:p w14:paraId="25D6A06C" w14:textId="7777777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4715C3BB"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2F95F610" w14:textId="739AADD1" w:rsidR="00F95E45" w:rsidRPr="00D95C9E" w:rsidRDefault="00F95E45" w:rsidP="0057796A">
            <w:pPr>
              <w:rPr>
                <w:rFonts w:ascii="Calibri" w:eastAsia="Times New Roman" w:hAnsi="Calibri" w:cs="Calibri"/>
                <w:color w:val="000000"/>
                <w:lang w:val="fr-FR" w:eastAsia="nl-BE"/>
                <w14:ligatures w14:val="none"/>
              </w:rPr>
            </w:pPr>
            <w:proofErr w:type="spellStart"/>
            <w:r w:rsidRPr="00D95C9E">
              <w:rPr>
                <w:rFonts w:ascii="Calibri" w:eastAsia="Times New Roman" w:hAnsi="Calibri" w:cs="Calibri"/>
                <w:color w:val="000000"/>
                <w:lang w:val="fr-FR" w:eastAsia="nl-BE"/>
                <w14:ligatures w14:val="none"/>
              </w:rPr>
              <w:t>Lugli</w:t>
            </w:r>
            <w:proofErr w:type="spellEnd"/>
            <w:r w:rsidRPr="00D95C9E">
              <w:rPr>
                <w:rFonts w:ascii="Calibri" w:eastAsia="Times New Roman" w:hAnsi="Calibri" w:cs="Calibri"/>
                <w:color w:val="000000"/>
                <w:lang w:val="fr-FR" w:eastAsia="nl-BE"/>
                <w14:ligatures w14:val="none"/>
              </w:rPr>
              <w:t xml:space="preserve"> A. et al.</w:t>
            </w:r>
            <w:r w:rsidRPr="00D95C9E">
              <w:rPr>
                <w:rFonts w:ascii="Calibri" w:eastAsia="Times New Roman" w:hAnsi="Calibri" w:cs="Calibri"/>
                <w:color w:val="000000"/>
                <w:vertAlign w:val="superscript"/>
                <w:lang w:val="fr-FR" w:eastAsia="nl-BE"/>
                <w14:ligatures w14:val="none"/>
              </w:rPr>
              <w:t xml:space="preserve"> 3</w:t>
            </w:r>
            <w:r w:rsidR="00C34912">
              <w:rPr>
                <w:rFonts w:ascii="Calibri" w:eastAsia="Times New Roman" w:hAnsi="Calibri" w:cs="Calibri"/>
                <w:color w:val="000000"/>
                <w:vertAlign w:val="superscript"/>
                <w:lang w:val="fr-FR" w:eastAsia="nl-BE"/>
                <w14:ligatures w14:val="none"/>
              </w:rPr>
              <w:t>2</w:t>
            </w:r>
          </w:p>
          <w:p w14:paraId="22324590" w14:textId="270D896C"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6</w:t>
            </w:r>
          </w:p>
        </w:tc>
        <w:tc>
          <w:tcPr>
            <w:tcW w:w="2529" w:type="dxa"/>
            <w:noWrap/>
          </w:tcPr>
          <w:p w14:paraId="7DA35CC2" w14:textId="4D5DC442"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1420); no normal colonic mucosae</w:t>
            </w:r>
          </w:p>
        </w:tc>
        <w:tc>
          <w:tcPr>
            <w:tcW w:w="1156" w:type="dxa"/>
            <w:noWrap/>
          </w:tcPr>
          <w:p w14:paraId="7F2A6832" w14:textId="213EF185"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w:t>
            </w:r>
          </w:p>
        </w:tc>
        <w:tc>
          <w:tcPr>
            <w:tcW w:w="2410" w:type="dxa"/>
            <w:noWrap/>
          </w:tcPr>
          <w:p w14:paraId="18EC51C2" w14:textId="06C4311E"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3D09423D" w14:textId="2F9D0F69"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In MMR-proficient CRC, MUC1 expression was more frequently found in tumours with higher tumour stage (p=0.004) and higher tumour grade (p=0.041) and loss of MUC2 was associated with higher tumour stage (p=0.028), node stage (p=0.001), presence of vascular invasion (p=0.028) and worse survival (p=0.034). In MLH1-negative CRC, MUC2 loss was associated with the presence of lymph node metastasis (p=0.028) and worse survival (p=0.015), but there was no association between MUC1 expression and clinicopathological features</w:t>
            </w:r>
          </w:p>
        </w:tc>
        <w:tc>
          <w:tcPr>
            <w:tcW w:w="1418" w:type="dxa"/>
            <w:noWrap/>
          </w:tcPr>
          <w:p w14:paraId="273EF1EF" w14:textId="381F73DA"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34D41426" w14:textId="29AC43DE"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Canada</w:t>
            </w:r>
          </w:p>
        </w:tc>
      </w:tr>
      <w:tr w:rsidR="00F95E45" w:rsidRPr="00D95C9E" w14:paraId="07280FB9"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4D6A7AB9" w14:textId="1312F5BF" w:rsidR="00F95E45" w:rsidRPr="00D95C9E" w:rsidRDefault="00F95E45" w:rsidP="0057796A">
            <w:pPr>
              <w:rPr>
                <w:rFonts w:ascii="Calibri" w:eastAsia="Times New Roman" w:hAnsi="Calibri" w:cs="Calibri"/>
                <w:color w:val="000000"/>
                <w:lang w:val="fr-FR" w:eastAsia="nl-BE"/>
                <w14:ligatures w14:val="none"/>
              </w:rPr>
            </w:pPr>
            <w:proofErr w:type="spellStart"/>
            <w:r w:rsidRPr="00D95C9E">
              <w:rPr>
                <w:rFonts w:ascii="Calibri" w:eastAsia="Times New Roman" w:hAnsi="Calibri" w:cs="Calibri"/>
                <w:color w:val="000000"/>
                <w:lang w:val="fr-FR" w:eastAsia="nl-BE"/>
                <w14:ligatures w14:val="none"/>
              </w:rPr>
              <w:t>Nishida</w:t>
            </w:r>
            <w:proofErr w:type="spellEnd"/>
            <w:r w:rsidRPr="00D95C9E">
              <w:rPr>
                <w:rFonts w:ascii="Calibri" w:eastAsia="Times New Roman" w:hAnsi="Calibri" w:cs="Calibri"/>
                <w:color w:val="000000"/>
                <w:lang w:val="fr-FR" w:eastAsia="nl-BE"/>
                <w14:ligatures w14:val="none"/>
              </w:rPr>
              <w:t xml:space="preserve"> T. et al.</w:t>
            </w:r>
            <w:r w:rsidRPr="00D95C9E">
              <w:rPr>
                <w:rFonts w:ascii="Calibri" w:eastAsia="Times New Roman" w:hAnsi="Calibri" w:cs="Calibri"/>
                <w:color w:val="000000"/>
                <w:vertAlign w:val="superscript"/>
                <w:lang w:val="fr-FR" w:eastAsia="nl-BE"/>
                <w14:ligatures w14:val="none"/>
              </w:rPr>
              <w:t xml:space="preserve"> 3</w:t>
            </w:r>
            <w:r w:rsidR="00C34912">
              <w:rPr>
                <w:rFonts w:ascii="Calibri" w:eastAsia="Times New Roman" w:hAnsi="Calibri" w:cs="Calibri"/>
                <w:color w:val="000000"/>
                <w:vertAlign w:val="superscript"/>
                <w:lang w:val="fr-FR" w:eastAsia="nl-BE"/>
                <w14:ligatures w14:val="none"/>
              </w:rPr>
              <w:t>3</w:t>
            </w:r>
          </w:p>
          <w:p w14:paraId="522CFDD7" w14:textId="08F2FB01"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tc>
        <w:tc>
          <w:tcPr>
            <w:tcW w:w="2529" w:type="dxa"/>
            <w:noWrap/>
          </w:tcPr>
          <w:p w14:paraId="23130D4E" w14:textId="74489492"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T1 CRC (n = 265); normal colonic mucosae (n = 265; adjacent non-tumoral tissues)</w:t>
            </w:r>
          </w:p>
        </w:tc>
        <w:tc>
          <w:tcPr>
            <w:tcW w:w="1156" w:type="dxa"/>
            <w:noWrap/>
          </w:tcPr>
          <w:p w14:paraId="2CF227E7" w14:textId="062F7144"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w:t>
            </w:r>
          </w:p>
        </w:tc>
        <w:tc>
          <w:tcPr>
            <w:tcW w:w="2410" w:type="dxa"/>
            <w:noWrap/>
          </w:tcPr>
          <w:p w14:paraId="60F19618" w14:textId="6518E065"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2F17F401" w14:textId="61113BA9"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MUC2 and MUC5AC expression was significantly associated with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location, growth pattern, histologic type, invasive potential, and metastatic potential. The incidence of lymph node metastasis was significantly associated with MUC2 expression (p = 0.006).</w:t>
            </w:r>
          </w:p>
        </w:tc>
        <w:tc>
          <w:tcPr>
            <w:tcW w:w="1418" w:type="dxa"/>
            <w:noWrap/>
          </w:tcPr>
          <w:p w14:paraId="44F8A9AC" w14:textId="7A2E387B"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12920720" w14:textId="5A39B414"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5E45" w:rsidRPr="00D95C9E" w14:paraId="56D1162C"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4CF4C01" w14:textId="618A1B26" w:rsidR="00F95E45" w:rsidRPr="00C34912" w:rsidRDefault="00F95E45" w:rsidP="0057796A">
            <w:pPr>
              <w:rPr>
                <w:rFonts w:ascii="Calibri" w:eastAsia="Times New Roman" w:hAnsi="Calibri" w:cs="Calibri"/>
                <w:color w:val="000000"/>
                <w:lang w:eastAsia="nl-BE"/>
                <w14:ligatures w14:val="none"/>
              </w:rPr>
            </w:pPr>
            <w:proofErr w:type="spellStart"/>
            <w:r w:rsidRPr="00C34912">
              <w:rPr>
                <w:rFonts w:ascii="Calibri" w:eastAsia="Times New Roman" w:hAnsi="Calibri" w:cs="Calibri"/>
                <w:color w:val="000000"/>
                <w:lang w:eastAsia="nl-BE"/>
                <w14:ligatures w14:val="none"/>
              </w:rPr>
              <w:t>Betge</w:t>
            </w:r>
            <w:proofErr w:type="spellEnd"/>
            <w:r w:rsidRPr="00C34912">
              <w:rPr>
                <w:rFonts w:ascii="Calibri" w:eastAsia="Times New Roman" w:hAnsi="Calibri" w:cs="Calibri"/>
                <w:color w:val="000000"/>
                <w:lang w:eastAsia="nl-BE"/>
                <w14:ligatures w14:val="none"/>
              </w:rPr>
              <w:t xml:space="preserve"> J. et al.</w:t>
            </w:r>
            <w:r w:rsidRPr="00C34912">
              <w:rPr>
                <w:rFonts w:ascii="Calibri" w:eastAsia="Times New Roman" w:hAnsi="Calibri" w:cs="Calibri"/>
                <w:color w:val="000000"/>
                <w:vertAlign w:val="superscript"/>
                <w:lang w:eastAsia="nl-BE"/>
                <w14:ligatures w14:val="none"/>
              </w:rPr>
              <w:t xml:space="preserve"> 3</w:t>
            </w:r>
            <w:r w:rsidR="00C34912">
              <w:rPr>
                <w:rFonts w:ascii="Calibri" w:eastAsia="Times New Roman" w:hAnsi="Calibri" w:cs="Calibri"/>
                <w:color w:val="000000"/>
                <w:vertAlign w:val="superscript"/>
                <w:lang w:eastAsia="nl-BE"/>
                <w14:ligatures w14:val="none"/>
              </w:rPr>
              <w:t>4</w:t>
            </w:r>
          </w:p>
          <w:p w14:paraId="031A4D13" w14:textId="1FA36342" w:rsidR="00F95E45" w:rsidRPr="00C34912" w:rsidRDefault="00F95E45" w:rsidP="0057796A">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Score: 7</w:t>
            </w:r>
          </w:p>
        </w:tc>
        <w:tc>
          <w:tcPr>
            <w:tcW w:w="2529" w:type="dxa"/>
            <w:noWrap/>
          </w:tcPr>
          <w:p w14:paraId="230B7E30" w14:textId="5A23AAD9"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381); no normal colonic mucosae</w:t>
            </w:r>
          </w:p>
        </w:tc>
        <w:tc>
          <w:tcPr>
            <w:tcW w:w="1156" w:type="dxa"/>
            <w:noWrap/>
          </w:tcPr>
          <w:p w14:paraId="0AF4B855" w14:textId="255E38CD"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 MUC6</w:t>
            </w:r>
          </w:p>
        </w:tc>
        <w:tc>
          <w:tcPr>
            <w:tcW w:w="2410" w:type="dxa"/>
            <w:noWrap/>
          </w:tcPr>
          <w:p w14:paraId="69504488" w14:textId="2AB5CE84"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47620353" w14:textId="28DF6791"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Expression of MUC2 was lost in 85 (23 %) CRCs, and patients with MUC6-negative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showed shorter progression-free survival (PFS, p = </w:t>
            </w:r>
            <w:r w:rsidRPr="00D95C9E">
              <w:rPr>
                <w:rFonts w:ascii="Calibri" w:eastAsia="Times New Roman" w:hAnsi="Calibri" w:cs="Calibri"/>
                <w:color w:val="000000"/>
                <w:lang w:val="en-GB" w:eastAsia="nl-BE"/>
                <w14:ligatures w14:val="none"/>
              </w:rPr>
              <w:lastRenderedPageBreak/>
              <w:t xml:space="preserve">0.043). Gastric mucins MUC5AC and MUC6 showed high (&gt;50 %) aberrant expression in 28 (8 %) and 9 (2 %) cases, respectively. High expression of MUC5AC was associated with longer PFS (p = 0.055). High expression of MUC6 was associated with 100 % PFS (p = 0.024) and longer cancer-specific survival (CSS, p = 0.043). MUC1 was expressed in 238 (64 %)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When analysis was restricted to stages II and III, loss of MUC2 was associated with adverse outcome. Overexpression of both MUC5AC and MUC6 significantly predicted </w:t>
            </w:r>
            <w:r w:rsidR="0012669A" w:rsidRPr="00D95C9E">
              <w:rPr>
                <w:rFonts w:ascii="Calibri" w:eastAsia="Times New Roman" w:hAnsi="Calibri" w:cs="Calibri"/>
                <w:color w:val="000000"/>
                <w:lang w:val="en-GB" w:eastAsia="nl-BE"/>
                <w14:ligatures w14:val="none"/>
              </w:rPr>
              <w:t>favourable</w:t>
            </w:r>
            <w:r w:rsidRPr="00D95C9E">
              <w:rPr>
                <w:rFonts w:ascii="Calibri" w:eastAsia="Times New Roman" w:hAnsi="Calibri" w:cs="Calibri"/>
                <w:color w:val="000000"/>
                <w:lang w:val="en-GB" w:eastAsia="nl-BE"/>
                <w14:ligatures w14:val="none"/>
              </w:rPr>
              <w:t xml:space="preserve"> PFS and CSS.</w:t>
            </w:r>
          </w:p>
        </w:tc>
        <w:tc>
          <w:tcPr>
            <w:tcW w:w="1418" w:type="dxa"/>
            <w:noWrap/>
          </w:tcPr>
          <w:p w14:paraId="162672E7" w14:textId="0706AC1E"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2605AAC8" w14:textId="77777777"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Germany</w:t>
            </w:r>
          </w:p>
          <w:p w14:paraId="5C12C309" w14:textId="77777777"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1B656FA5"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1D02315A" w14:textId="6703E282" w:rsidR="00F95E45" w:rsidRPr="00C34912" w:rsidRDefault="00F95E45" w:rsidP="0057796A">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Walsh M.D. et al.</w:t>
            </w:r>
            <w:r w:rsidRPr="00C34912">
              <w:rPr>
                <w:rFonts w:ascii="Calibri" w:eastAsia="Times New Roman" w:hAnsi="Calibri" w:cs="Calibri"/>
                <w:color w:val="000000"/>
                <w:vertAlign w:val="superscript"/>
                <w:lang w:eastAsia="nl-BE"/>
                <w14:ligatures w14:val="none"/>
              </w:rPr>
              <w:t xml:space="preserve"> 3</w:t>
            </w:r>
            <w:r w:rsidR="00C34912">
              <w:rPr>
                <w:rFonts w:ascii="Calibri" w:eastAsia="Times New Roman" w:hAnsi="Calibri" w:cs="Calibri"/>
                <w:color w:val="000000"/>
                <w:vertAlign w:val="superscript"/>
                <w:lang w:eastAsia="nl-BE"/>
                <w14:ligatures w14:val="none"/>
              </w:rPr>
              <w:t>5</w:t>
            </w:r>
          </w:p>
          <w:p w14:paraId="656F2D71" w14:textId="782C06FC" w:rsidR="00F95E45" w:rsidRPr="00D95C9E" w:rsidRDefault="00F95E45" w:rsidP="0057796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7</w:t>
            </w:r>
          </w:p>
        </w:tc>
        <w:tc>
          <w:tcPr>
            <w:tcW w:w="2529" w:type="dxa"/>
            <w:noWrap/>
          </w:tcPr>
          <w:p w14:paraId="752F35F8" w14:textId="4C14E1B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976); no normal colonic mucosae</w:t>
            </w:r>
          </w:p>
        </w:tc>
        <w:tc>
          <w:tcPr>
            <w:tcW w:w="1156" w:type="dxa"/>
            <w:noWrap/>
          </w:tcPr>
          <w:p w14:paraId="2F3656D8" w14:textId="1CDBAFBA"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 MUC5B, MUC6</w:t>
            </w:r>
          </w:p>
        </w:tc>
        <w:tc>
          <w:tcPr>
            <w:tcW w:w="2410" w:type="dxa"/>
            <w:noWrap/>
          </w:tcPr>
          <w:p w14:paraId="52AE57BC" w14:textId="782777E4"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0568BB24" w14:textId="1D2F52DA"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MUC2 overexpression was observed in 33% colorectal cancers, MUC5B expression in 53%, and de novo MUC5AC and MUC6 expression in 50%and 39%, respectively. Co-expression of two or more of the mucins was commonly observed. Expression of MUC2, MUC5AC and MUC6 was strongly associated with features associated with tumorigenesis via the serrated neoplasia pathway, including methylator positivity, somatic BRAF p.V600E mutation, and mismatch repair deficiency, as well as proximal location, poor differentiation, </w:t>
            </w:r>
            <w:r w:rsidRPr="00D95C9E">
              <w:rPr>
                <w:rFonts w:ascii="Calibri" w:eastAsia="Times New Roman" w:hAnsi="Calibri" w:cs="Calibri"/>
                <w:color w:val="000000"/>
                <w:lang w:val="en-GB" w:eastAsia="nl-BE"/>
                <w14:ligatures w14:val="none"/>
              </w:rPr>
              <w:lastRenderedPageBreak/>
              <w:t>lymphocytic response, and increased T stage (all Po0.001).</w:t>
            </w:r>
          </w:p>
        </w:tc>
        <w:tc>
          <w:tcPr>
            <w:tcW w:w="1418" w:type="dxa"/>
            <w:noWrap/>
          </w:tcPr>
          <w:p w14:paraId="1DE00083" w14:textId="3B8A33C3"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3580706A" w14:textId="3FF08D04"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Australia</w:t>
            </w:r>
          </w:p>
        </w:tc>
      </w:tr>
      <w:tr w:rsidR="00F95E45" w:rsidRPr="00D95C9E" w14:paraId="52589675"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A0806B3" w14:textId="257A157D"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Yao T. et al. (2001)</w:t>
            </w:r>
            <w:r w:rsidRPr="00D95C9E">
              <w:rPr>
                <w:rFonts w:ascii="Calibri" w:eastAsia="Times New Roman" w:hAnsi="Calibri" w:cs="Calibri"/>
                <w:color w:val="000000"/>
                <w:vertAlign w:val="superscript"/>
                <w:lang w:val="fr-FR" w:eastAsia="nl-BE"/>
                <w14:ligatures w14:val="none"/>
              </w:rPr>
              <w:t xml:space="preserve"> 3</w:t>
            </w:r>
            <w:r w:rsidR="00C34912">
              <w:rPr>
                <w:rFonts w:ascii="Calibri" w:eastAsia="Times New Roman" w:hAnsi="Calibri" w:cs="Calibri"/>
                <w:color w:val="000000"/>
                <w:vertAlign w:val="superscript"/>
                <w:lang w:val="fr-FR" w:eastAsia="nl-BE"/>
                <w14:ligatures w14:val="none"/>
              </w:rPr>
              <w:t>6</w:t>
            </w:r>
          </w:p>
          <w:p w14:paraId="5463E8E4" w14:textId="70F5B9E5"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4</w:t>
            </w:r>
          </w:p>
        </w:tc>
        <w:tc>
          <w:tcPr>
            <w:tcW w:w="2529" w:type="dxa"/>
            <w:noWrap/>
          </w:tcPr>
          <w:p w14:paraId="17EA5CDB" w14:textId="1DE9813A"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83); no normal colonic mucosae</w:t>
            </w:r>
          </w:p>
        </w:tc>
        <w:tc>
          <w:tcPr>
            <w:tcW w:w="1156" w:type="dxa"/>
            <w:noWrap/>
          </w:tcPr>
          <w:p w14:paraId="14F8F1DD" w14:textId="220F4B70"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w:t>
            </w:r>
          </w:p>
        </w:tc>
        <w:tc>
          <w:tcPr>
            <w:tcW w:w="2410" w:type="dxa"/>
            <w:noWrap/>
          </w:tcPr>
          <w:p w14:paraId="2D635685" w14:textId="3FCDD876"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56FAFEBD" w14:textId="40B36694"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The small-intestinal type (CD10– and HGM-)showed a relatively lower incidence of lymphatic permeation and higher venous invasion. The large-intestinal type (CD10-, HGM- and MUC2+) showed a low incidence of venous invasion and lymph node metastasis. The mixed type (CD10+, GHM+, MUC2+) revealed female and right-side-dominant distribution, large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size, high incidence of mucinous carcinoma, and low incidence of venous invasion. Gastric type (CD10-, HGM+, MUC2-) was seen in only two cases (2%), which exhibited high histologic grade, lymphatic permeation and lymph node metastasis with no venous invasion.</w:t>
            </w:r>
          </w:p>
        </w:tc>
        <w:tc>
          <w:tcPr>
            <w:tcW w:w="1418" w:type="dxa"/>
            <w:noWrap/>
          </w:tcPr>
          <w:p w14:paraId="760B6B01" w14:textId="149732B5"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 and small intestine</w:t>
            </w:r>
          </w:p>
        </w:tc>
        <w:tc>
          <w:tcPr>
            <w:tcW w:w="1134" w:type="dxa"/>
          </w:tcPr>
          <w:p w14:paraId="2F14F71B" w14:textId="0780F345"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5E45" w:rsidRPr="00D95C9E" w14:paraId="6881BD1A"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273FD6FF" w14:textId="5D347C00" w:rsidR="00F95E45" w:rsidRPr="00D95C9E" w:rsidRDefault="00F95E45" w:rsidP="0057796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El-Sayed I.H. et al.</w:t>
            </w:r>
            <w:r w:rsidRPr="00D95C9E">
              <w:rPr>
                <w:rFonts w:ascii="Calibri" w:eastAsia="Times New Roman" w:hAnsi="Calibri" w:cs="Calibri"/>
                <w:color w:val="000000"/>
                <w:vertAlign w:val="superscript"/>
                <w:lang w:val="en-GB" w:eastAsia="nl-BE"/>
                <w14:ligatures w14:val="none"/>
              </w:rPr>
              <w:t xml:space="preserve"> 3</w:t>
            </w:r>
            <w:r w:rsidR="00C34912">
              <w:rPr>
                <w:rFonts w:ascii="Calibri" w:eastAsia="Times New Roman" w:hAnsi="Calibri" w:cs="Calibri"/>
                <w:color w:val="000000"/>
                <w:vertAlign w:val="superscript"/>
                <w:lang w:val="en-GB" w:eastAsia="nl-BE"/>
                <w14:ligatures w14:val="none"/>
              </w:rPr>
              <w:t>7</w:t>
            </w:r>
          </w:p>
          <w:p w14:paraId="5727CA5B" w14:textId="77777777" w:rsidR="00F95E45" w:rsidRPr="00D95C9E" w:rsidRDefault="00F95E45" w:rsidP="0057796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7</w:t>
            </w:r>
          </w:p>
          <w:p w14:paraId="49EE0A36" w14:textId="77777777" w:rsidR="00F95E45" w:rsidRPr="00D95C9E" w:rsidRDefault="00F95E45" w:rsidP="0057796A">
            <w:pPr>
              <w:rPr>
                <w:rFonts w:ascii="Calibri" w:eastAsia="Times New Roman" w:hAnsi="Calibri" w:cs="Calibri"/>
                <w:color w:val="000000"/>
                <w:lang w:val="en-GB" w:eastAsia="nl-BE"/>
                <w14:ligatures w14:val="none"/>
              </w:rPr>
            </w:pPr>
          </w:p>
        </w:tc>
        <w:tc>
          <w:tcPr>
            <w:tcW w:w="2529" w:type="dxa"/>
            <w:noWrap/>
          </w:tcPr>
          <w:p w14:paraId="4C0A9D6C" w14:textId="3598BEF9"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25); normal colonic mucosae (n = 10)</w:t>
            </w:r>
          </w:p>
        </w:tc>
        <w:tc>
          <w:tcPr>
            <w:tcW w:w="1156" w:type="dxa"/>
            <w:noWrap/>
          </w:tcPr>
          <w:p w14:paraId="4E460FFA" w14:textId="656AFCAD"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w:t>
            </w:r>
          </w:p>
        </w:tc>
        <w:tc>
          <w:tcPr>
            <w:tcW w:w="2410" w:type="dxa"/>
            <w:noWrap/>
          </w:tcPr>
          <w:p w14:paraId="70DFB831" w14:textId="546C58D4"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IHC </w:t>
            </w:r>
          </w:p>
        </w:tc>
        <w:tc>
          <w:tcPr>
            <w:tcW w:w="3685" w:type="dxa"/>
            <w:noWrap/>
          </w:tcPr>
          <w:p w14:paraId="51AA2FDA" w14:textId="5B98B101"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The results showed that in normal colonic specimens, MUC2 expression was detected in 20%. Expression of MUC2, as detected by GOS and was positive in 92% of adenocarcinoma.</w:t>
            </w:r>
          </w:p>
        </w:tc>
        <w:tc>
          <w:tcPr>
            <w:tcW w:w="1418" w:type="dxa"/>
            <w:noWrap/>
          </w:tcPr>
          <w:p w14:paraId="08FAA85F" w14:textId="0BCB5419"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126609AB" w14:textId="7777777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Egypt</w:t>
            </w:r>
          </w:p>
          <w:p w14:paraId="131A06C0" w14:textId="7777777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7E34C335"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6308F59A" w14:textId="4BAC39CC"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Yao T. et al. (2002)</w:t>
            </w:r>
            <w:r w:rsidRPr="00D95C9E">
              <w:rPr>
                <w:rFonts w:ascii="Calibri" w:eastAsia="Times New Roman" w:hAnsi="Calibri" w:cs="Calibri"/>
                <w:color w:val="000000"/>
                <w:vertAlign w:val="superscript"/>
                <w:lang w:val="fr-FR" w:eastAsia="nl-BE"/>
                <w14:ligatures w14:val="none"/>
              </w:rPr>
              <w:t xml:space="preserve"> 3</w:t>
            </w:r>
            <w:r w:rsidR="00C34912">
              <w:rPr>
                <w:rFonts w:ascii="Calibri" w:eastAsia="Times New Roman" w:hAnsi="Calibri" w:cs="Calibri"/>
                <w:color w:val="000000"/>
                <w:vertAlign w:val="superscript"/>
                <w:lang w:val="fr-FR" w:eastAsia="nl-BE"/>
                <w14:ligatures w14:val="none"/>
              </w:rPr>
              <w:t>8</w:t>
            </w:r>
          </w:p>
          <w:p w14:paraId="5A94383E" w14:textId="69C2F42D"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8</w:t>
            </w:r>
          </w:p>
        </w:tc>
        <w:tc>
          <w:tcPr>
            <w:tcW w:w="2529" w:type="dxa"/>
            <w:noWrap/>
          </w:tcPr>
          <w:p w14:paraId="033E87D5" w14:textId="771E5D60"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Advanced CRC with liver metastases (n = 31), CRC without liver metastases (n = ???); no normal colonic mucosae</w:t>
            </w:r>
          </w:p>
        </w:tc>
        <w:tc>
          <w:tcPr>
            <w:tcW w:w="1156" w:type="dxa"/>
            <w:noWrap/>
          </w:tcPr>
          <w:p w14:paraId="10ED99AC" w14:textId="62F135D1"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w:t>
            </w:r>
          </w:p>
        </w:tc>
        <w:tc>
          <w:tcPr>
            <w:tcW w:w="2410" w:type="dxa"/>
            <w:noWrap/>
          </w:tcPr>
          <w:p w14:paraId="062D242C" w14:textId="5AAA7C33"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0CD15772" w14:textId="596B923C"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The incidence of MUC2 (45.2%) and HGM (16.1%) expression in CRCs with liver metastasis did not differ from non-metastatic CRCs. In contrast, the incidence of CD10 expression was significantly higher in CRCs with liver </w:t>
            </w:r>
            <w:r w:rsidRPr="00D95C9E">
              <w:rPr>
                <w:rFonts w:ascii="Calibri" w:eastAsia="Times New Roman" w:hAnsi="Calibri" w:cs="Calibri"/>
                <w:color w:val="000000"/>
                <w:lang w:val="en-GB" w:eastAsia="nl-BE"/>
                <w14:ligatures w14:val="none"/>
              </w:rPr>
              <w:lastRenderedPageBreak/>
              <w:t>metastasis (58.1%) than in control CRCs (21.7%).</w:t>
            </w:r>
          </w:p>
        </w:tc>
        <w:tc>
          <w:tcPr>
            <w:tcW w:w="1418" w:type="dxa"/>
            <w:noWrap/>
          </w:tcPr>
          <w:p w14:paraId="56147160" w14:textId="3D6F0533"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694E5C38" w14:textId="672744B9"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5E45" w:rsidRPr="00D95C9E" w14:paraId="75AD1964"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71A06AB" w14:textId="06939482" w:rsidR="00F95E45" w:rsidRPr="00D95C9E" w:rsidRDefault="00F95E45" w:rsidP="0057796A">
            <w:pPr>
              <w:rPr>
                <w:rFonts w:ascii="Calibri" w:eastAsia="Times New Roman" w:hAnsi="Calibri" w:cs="Calibri"/>
                <w:color w:val="000000"/>
                <w:lang w:eastAsia="nl-BE"/>
                <w14:ligatures w14:val="none"/>
              </w:rPr>
            </w:pPr>
            <w:proofErr w:type="spellStart"/>
            <w:r w:rsidRPr="00D95C9E">
              <w:rPr>
                <w:rFonts w:ascii="Calibri" w:eastAsia="Times New Roman" w:hAnsi="Calibri" w:cs="Calibri"/>
                <w:color w:val="000000"/>
                <w:lang w:eastAsia="nl-BE"/>
                <w14:ligatures w14:val="none"/>
              </w:rPr>
              <w:t>Elzagheid</w:t>
            </w:r>
            <w:proofErr w:type="spellEnd"/>
            <w:r w:rsidRPr="00D95C9E">
              <w:rPr>
                <w:rFonts w:ascii="Calibri" w:eastAsia="Times New Roman" w:hAnsi="Calibri" w:cs="Calibri"/>
                <w:color w:val="000000"/>
                <w:lang w:eastAsia="nl-BE"/>
                <w14:ligatures w14:val="none"/>
              </w:rPr>
              <w:t xml:space="preserve"> A. et al.</w:t>
            </w:r>
            <w:r w:rsidRPr="00D95C9E">
              <w:rPr>
                <w:rFonts w:ascii="Calibri" w:eastAsia="Times New Roman" w:hAnsi="Calibri" w:cs="Calibri"/>
                <w:color w:val="000000"/>
                <w:vertAlign w:val="superscript"/>
                <w:lang w:eastAsia="nl-BE"/>
                <w14:ligatures w14:val="none"/>
              </w:rPr>
              <w:t xml:space="preserve"> 3</w:t>
            </w:r>
            <w:r w:rsidR="00C34912">
              <w:rPr>
                <w:rFonts w:ascii="Calibri" w:eastAsia="Times New Roman" w:hAnsi="Calibri" w:cs="Calibri"/>
                <w:color w:val="000000"/>
                <w:vertAlign w:val="superscript"/>
                <w:lang w:eastAsia="nl-BE"/>
                <w14:ligatures w14:val="none"/>
              </w:rPr>
              <w:t>9</w:t>
            </w:r>
          </w:p>
          <w:p w14:paraId="0C7E6FD8" w14:textId="77777777" w:rsidR="00F95E45" w:rsidRPr="00D95C9E" w:rsidRDefault="00F95E45" w:rsidP="0057796A">
            <w:pPr>
              <w:rPr>
                <w:rFonts w:ascii="Calibri" w:eastAsia="Times New Roman" w:hAnsi="Calibri" w:cs="Calibri"/>
                <w:color w:val="000000"/>
                <w:lang w:eastAsia="nl-BE"/>
                <w14:ligatures w14:val="none"/>
              </w:rPr>
            </w:pPr>
            <w:r w:rsidRPr="00D95C9E">
              <w:rPr>
                <w:rFonts w:ascii="Calibri" w:eastAsia="Times New Roman" w:hAnsi="Calibri" w:cs="Calibri"/>
                <w:color w:val="000000"/>
                <w:lang w:eastAsia="nl-BE"/>
                <w14:ligatures w14:val="none"/>
              </w:rPr>
              <w:t>Score: 6</w:t>
            </w:r>
          </w:p>
          <w:p w14:paraId="3B0FCEE9" w14:textId="77777777" w:rsidR="00F95E45" w:rsidRPr="00D95C9E" w:rsidRDefault="00F95E45" w:rsidP="0057796A">
            <w:pPr>
              <w:rPr>
                <w:rFonts w:ascii="Calibri" w:eastAsia="Times New Roman" w:hAnsi="Calibri" w:cs="Calibri"/>
                <w:color w:val="000000"/>
                <w:lang w:eastAsia="nl-BE"/>
                <w14:ligatures w14:val="none"/>
              </w:rPr>
            </w:pPr>
          </w:p>
        </w:tc>
        <w:tc>
          <w:tcPr>
            <w:tcW w:w="2529" w:type="dxa"/>
            <w:noWrap/>
          </w:tcPr>
          <w:p w14:paraId="6881974C" w14:textId="699571E5"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Primary early CRC (n = 141); no normal colonic mucosae</w:t>
            </w:r>
          </w:p>
        </w:tc>
        <w:tc>
          <w:tcPr>
            <w:tcW w:w="1156" w:type="dxa"/>
            <w:noWrap/>
          </w:tcPr>
          <w:p w14:paraId="4E962E41" w14:textId="253F573B"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w:t>
            </w:r>
          </w:p>
        </w:tc>
        <w:tc>
          <w:tcPr>
            <w:tcW w:w="2410" w:type="dxa"/>
            <w:noWrap/>
          </w:tcPr>
          <w:p w14:paraId="72793FD0" w14:textId="0A023ABE"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3092045A" w14:textId="58CBACB4"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Loss of MUC2 expression was significantly associated with disease recurrence (P &lt; 0.031) and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localization (P &lt; 0.048) in CRC. In univariate survival analysis, positive MUC2 significantly predicted longer DFS and DSS as well.</w:t>
            </w:r>
          </w:p>
        </w:tc>
        <w:tc>
          <w:tcPr>
            <w:tcW w:w="1418" w:type="dxa"/>
            <w:noWrap/>
          </w:tcPr>
          <w:p w14:paraId="6CBDB8D9" w14:textId="75C01984"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659FE180" w14:textId="7777777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Libya</w:t>
            </w:r>
          </w:p>
          <w:p w14:paraId="456959F6" w14:textId="7777777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23399C79"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45DA88C9" w14:textId="2AF6A06F"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Hirano K. et al.</w:t>
            </w:r>
            <w:r w:rsidRPr="00D95C9E">
              <w:rPr>
                <w:rFonts w:ascii="Calibri" w:eastAsia="Times New Roman" w:hAnsi="Calibri" w:cs="Calibri"/>
                <w:color w:val="000000"/>
                <w:vertAlign w:val="superscript"/>
                <w:lang w:val="fr-FR" w:eastAsia="nl-BE"/>
                <w14:ligatures w14:val="none"/>
              </w:rPr>
              <w:t xml:space="preserve"> </w:t>
            </w:r>
            <w:r w:rsidR="00C34912">
              <w:rPr>
                <w:rFonts w:ascii="Calibri" w:eastAsia="Times New Roman" w:hAnsi="Calibri" w:cs="Calibri"/>
                <w:color w:val="000000"/>
                <w:vertAlign w:val="superscript"/>
                <w:lang w:val="fr-FR" w:eastAsia="nl-BE"/>
                <w14:ligatures w14:val="none"/>
              </w:rPr>
              <w:t>40</w:t>
            </w:r>
          </w:p>
          <w:p w14:paraId="02B8C955" w14:textId="6BBE6521"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tc>
        <w:tc>
          <w:tcPr>
            <w:tcW w:w="2529" w:type="dxa"/>
            <w:noWrap/>
          </w:tcPr>
          <w:p w14:paraId="06108565" w14:textId="023A823A"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Early CRC (n = 170) (polypoid, 98; non-polypoid, 72); no normal colonic mucosae</w:t>
            </w:r>
          </w:p>
        </w:tc>
        <w:tc>
          <w:tcPr>
            <w:tcW w:w="1156" w:type="dxa"/>
            <w:noWrap/>
          </w:tcPr>
          <w:p w14:paraId="42DA1A0F" w14:textId="572F6F7F"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w:t>
            </w:r>
          </w:p>
        </w:tc>
        <w:tc>
          <w:tcPr>
            <w:tcW w:w="2410" w:type="dxa"/>
            <w:noWrap/>
          </w:tcPr>
          <w:p w14:paraId="44267BEB" w14:textId="0DE5BB55"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136CC60F" w14:textId="41505B3C"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expression was significantly  higher in polypoid carcinomas than in non-polypoid carcinomas. MUC5AC expression was also higher in polypoid carcinomas than in non-polypoid carcinomas. MUC2 expression was higher in carcinomas with low grade atypia than in those with high grade atypia. MUC5AC expression was also higher in carcinomas with low-grade atypia than in those with high-grade atypia.</w:t>
            </w:r>
          </w:p>
        </w:tc>
        <w:tc>
          <w:tcPr>
            <w:tcW w:w="1418" w:type="dxa"/>
            <w:noWrap/>
          </w:tcPr>
          <w:p w14:paraId="4EF6DF33" w14:textId="42C8DED8"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2F19DA57" w14:textId="77777777"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p w14:paraId="6FDD98BE" w14:textId="77777777"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22A5E260"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785CCEC8" w14:textId="0564E3E4" w:rsidR="00F95E45" w:rsidRPr="00C34912" w:rsidRDefault="00F95E45" w:rsidP="0057796A">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Kang H. et al.</w:t>
            </w:r>
            <w:r w:rsidRPr="00C34912">
              <w:rPr>
                <w:rFonts w:ascii="Calibri" w:eastAsia="Times New Roman" w:hAnsi="Calibri" w:cs="Calibri"/>
                <w:color w:val="000000"/>
                <w:vertAlign w:val="superscript"/>
                <w:lang w:eastAsia="nl-BE"/>
                <w14:ligatures w14:val="none"/>
              </w:rPr>
              <w:t xml:space="preserve"> 4</w:t>
            </w:r>
            <w:r w:rsidR="00C34912">
              <w:rPr>
                <w:rFonts w:ascii="Calibri" w:eastAsia="Times New Roman" w:hAnsi="Calibri" w:cs="Calibri"/>
                <w:color w:val="000000"/>
                <w:vertAlign w:val="superscript"/>
                <w:lang w:eastAsia="nl-BE"/>
                <w14:ligatures w14:val="none"/>
              </w:rPr>
              <w:t>1</w:t>
            </w:r>
          </w:p>
          <w:p w14:paraId="306D6390" w14:textId="1B75BC21" w:rsidR="00F95E45" w:rsidRPr="00C34912" w:rsidRDefault="00F95E45" w:rsidP="0057796A">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Score: 7</w:t>
            </w:r>
          </w:p>
        </w:tc>
        <w:tc>
          <w:tcPr>
            <w:tcW w:w="2529" w:type="dxa"/>
            <w:noWrap/>
          </w:tcPr>
          <w:p w14:paraId="6F915A36" w14:textId="0EBF0001"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CRC (n = 301); no normal colonic mucosae </w:t>
            </w:r>
          </w:p>
        </w:tc>
        <w:tc>
          <w:tcPr>
            <w:tcW w:w="1156" w:type="dxa"/>
            <w:noWrap/>
          </w:tcPr>
          <w:p w14:paraId="363EADB9" w14:textId="506FDAD0"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w:t>
            </w:r>
          </w:p>
        </w:tc>
        <w:tc>
          <w:tcPr>
            <w:tcW w:w="2410" w:type="dxa"/>
            <w:noWrap/>
          </w:tcPr>
          <w:p w14:paraId="1D9B5F76" w14:textId="6E2A3D18"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6CA9EFC1" w14:textId="6576B242"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Immunohistochemically, loss of expression of MUC-2 was significantly correlated with poor overall 5-year survival rate in stage II CRC using multivariate regression analysis (p = 0.047).</w:t>
            </w:r>
          </w:p>
        </w:tc>
        <w:tc>
          <w:tcPr>
            <w:tcW w:w="1418" w:type="dxa"/>
            <w:noWrap/>
          </w:tcPr>
          <w:p w14:paraId="4E5FC0AA" w14:textId="15A1879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4A6F15D8" w14:textId="70DB57C3"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Korea</w:t>
            </w:r>
          </w:p>
        </w:tc>
      </w:tr>
      <w:tr w:rsidR="00F95E45" w:rsidRPr="00D95C9E" w14:paraId="66866AFA"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65A42B2" w14:textId="03B85055"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Perez R.O. et al.</w:t>
            </w:r>
            <w:r w:rsidRPr="00D95C9E">
              <w:rPr>
                <w:rFonts w:ascii="Calibri" w:eastAsia="Times New Roman" w:hAnsi="Calibri" w:cs="Calibri"/>
                <w:color w:val="000000"/>
                <w:vertAlign w:val="superscript"/>
                <w:lang w:val="fr-FR" w:eastAsia="nl-BE"/>
                <w14:ligatures w14:val="none"/>
              </w:rPr>
              <w:t xml:space="preserve"> 4</w:t>
            </w:r>
            <w:r w:rsidR="00C34912">
              <w:rPr>
                <w:rFonts w:ascii="Calibri" w:eastAsia="Times New Roman" w:hAnsi="Calibri" w:cs="Calibri"/>
                <w:color w:val="000000"/>
                <w:vertAlign w:val="superscript"/>
                <w:lang w:val="fr-FR" w:eastAsia="nl-BE"/>
                <w14:ligatures w14:val="none"/>
              </w:rPr>
              <w:t>2</w:t>
            </w:r>
          </w:p>
          <w:p w14:paraId="37591E89" w14:textId="4FBD6CF2" w:rsidR="00F95E45" w:rsidRPr="00D95C9E" w:rsidRDefault="00F95E45" w:rsidP="0057796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tc>
        <w:tc>
          <w:tcPr>
            <w:tcW w:w="2529" w:type="dxa"/>
            <w:noWrap/>
          </w:tcPr>
          <w:p w14:paraId="70F54DFA" w14:textId="3109684A"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Mucinous CRC (n = 35); no normal colonic mucosae</w:t>
            </w:r>
          </w:p>
        </w:tc>
        <w:tc>
          <w:tcPr>
            <w:tcW w:w="1156" w:type="dxa"/>
            <w:noWrap/>
          </w:tcPr>
          <w:p w14:paraId="0DBD525B" w14:textId="50F2B9B2"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w:t>
            </w:r>
          </w:p>
        </w:tc>
        <w:tc>
          <w:tcPr>
            <w:tcW w:w="2410" w:type="dxa"/>
            <w:noWrap/>
          </w:tcPr>
          <w:p w14:paraId="330D1B24" w14:textId="0ACAC134"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18D702C1" w14:textId="3C89C730"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MUC1 expression was significantly associated with decreased disease-free survival (p = 0.03). There was a significant association between MUC2+ expression and proximal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location and </w:t>
            </w:r>
            <w:proofErr w:type="spellStart"/>
            <w:r w:rsidRPr="00D95C9E">
              <w:rPr>
                <w:rFonts w:ascii="Calibri" w:eastAsia="Times New Roman" w:hAnsi="Calibri" w:cs="Calibri"/>
                <w:color w:val="000000"/>
                <w:lang w:val="en-GB" w:eastAsia="nl-BE"/>
                <w14:ligatures w14:val="none"/>
              </w:rPr>
              <w:t>serosal</w:t>
            </w:r>
            <w:proofErr w:type="spellEnd"/>
            <w:r w:rsidRPr="00D95C9E">
              <w:rPr>
                <w:rFonts w:ascii="Calibri" w:eastAsia="Times New Roman" w:hAnsi="Calibri" w:cs="Calibri"/>
                <w:color w:val="000000"/>
                <w:lang w:val="en-GB" w:eastAsia="nl-BE"/>
                <w14:ligatures w14:val="none"/>
              </w:rPr>
              <w:t xml:space="preserve"> </w:t>
            </w:r>
            <w:r w:rsidRPr="00D95C9E">
              <w:rPr>
                <w:rFonts w:ascii="Calibri" w:eastAsia="Times New Roman" w:hAnsi="Calibri" w:cs="Calibri"/>
                <w:color w:val="000000"/>
                <w:lang w:val="en-GB" w:eastAsia="nl-BE"/>
                <w14:ligatures w14:val="none"/>
              </w:rPr>
              <w:lastRenderedPageBreak/>
              <w:t xml:space="preserve">involvement (p = 0.04 and 0.02, respectively; overall 3-year cancer-specific survival for patients with MUC2+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was 60% and 100% for MUC2−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(p = 0.04). There was a significant association between MUC5+ expression and proximal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location (p = 0.001), but no significant association with other clinicopathological characteristics. Multiple-type MUC expression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were more frequently of proximal location as opposed to single-type MUC expression (75% versus 31%; p = 0.03).</w:t>
            </w:r>
          </w:p>
        </w:tc>
        <w:tc>
          <w:tcPr>
            <w:tcW w:w="1418" w:type="dxa"/>
            <w:noWrap/>
          </w:tcPr>
          <w:p w14:paraId="0B917551" w14:textId="229671DA"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664E57AD" w14:textId="009A7C89"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Brazil</w:t>
            </w:r>
          </w:p>
        </w:tc>
      </w:tr>
      <w:tr w:rsidR="00F95E45" w:rsidRPr="00D95C9E" w14:paraId="20D60593"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2115CAAC" w14:textId="690C913D" w:rsidR="00F95E45" w:rsidRPr="00D95C9E" w:rsidRDefault="00F95E45" w:rsidP="0057796A">
            <w:pPr>
              <w:rPr>
                <w:rFonts w:ascii="Calibri" w:eastAsia="Times New Roman" w:hAnsi="Calibri" w:cs="Calibri"/>
                <w:color w:val="000000"/>
                <w:lang w:val="fr-FR" w:eastAsia="nl-BE"/>
                <w14:ligatures w14:val="none"/>
              </w:rPr>
            </w:pPr>
            <w:proofErr w:type="spellStart"/>
            <w:r w:rsidRPr="00D95C9E">
              <w:rPr>
                <w:rFonts w:ascii="Calibri" w:eastAsia="Times New Roman" w:hAnsi="Calibri" w:cs="Calibri"/>
                <w:color w:val="000000"/>
                <w:lang w:val="fr-FR" w:eastAsia="nl-BE"/>
                <w14:ligatures w14:val="none"/>
              </w:rPr>
              <w:t>Hazgui</w:t>
            </w:r>
            <w:proofErr w:type="spellEnd"/>
            <w:r w:rsidRPr="00D95C9E">
              <w:rPr>
                <w:rFonts w:ascii="Calibri" w:eastAsia="Times New Roman" w:hAnsi="Calibri" w:cs="Calibri"/>
                <w:color w:val="000000"/>
                <w:lang w:val="fr-FR" w:eastAsia="nl-BE"/>
                <w14:ligatures w14:val="none"/>
              </w:rPr>
              <w:t xml:space="preserve"> M. et al.</w:t>
            </w:r>
            <w:r w:rsidRPr="00D95C9E">
              <w:rPr>
                <w:rFonts w:ascii="Calibri" w:eastAsia="Times New Roman" w:hAnsi="Calibri" w:cs="Calibri"/>
                <w:color w:val="000000"/>
                <w:vertAlign w:val="superscript"/>
                <w:lang w:val="fr-FR" w:eastAsia="nl-BE"/>
                <w14:ligatures w14:val="none"/>
              </w:rPr>
              <w:t xml:space="preserve"> 4</w:t>
            </w:r>
            <w:r w:rsidR="00C34912">
              <w:rPr>
                <w:rFonts w:ascii="Calibri" w:eastAsia="Times New Roman" w:hAnsi="Calibri" w:cs="Calibri"/>
                <w:color w:val="000000"/>
                <w:vertAlign w:val="superscript"/>
                <w:lang w:val="fr-FR" w:eastAsia="nl-BE"/>
                <w14:ligatures w14:val="none"/>
              </w:rPr>
              <w:t>3</w:t>
            </w:r>
          </w:p>
          <w:p w14:paraId="5C0CEEFE" w14:textId="77777777"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p w14:paraId="614F2454" w14:textId="77777777" w:rsidR="00F95E45" w:rsidRPr="00D95C9E" w:rsidRDefault="00F95E45" w:rsidP="0057796A">
            <w:pPr>
              <w:rPr>
                <w:rFonts w:ascii="Calibri" w:eastAsia="Times New Roman" w:hAnsi="Calibri" w:cs="Calibri"/>
                <w:color w:val="000000"/>
                <w:lang w:val="fr-FR" w:eastAsia="nl-BE"/>
                <w14:ligatures w14:val="none"/>
              </w:rPr>
            </w:pPr>
          </w:p>
        </w:tc>
        <w:tc>
          <w:tcPr>
            <w:tcW w:w="2529" w:type="dxa"/>
            <w:noWrap/>
          </w:tcPr>
          <w:p w14:paraId="3431864E" w14:textId="77395D30"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202); no normal colonic mucosae</w:t>
            </w:r>
          </w:p>
        </w:tc>
        <w:tc>
          <w:tcPr>
            <w:tcW w:w="1156" w:type="dxa"/>
            <w:noWrap/>
          </w:tcPr>
          <w:p w14:paraId="6AFA3C5E" w14:textId="6EB8EF40"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MUC5AC</w:t>
            </w:r>
          </w:p>
        </w:tc>
        <w:tc>
          <w:tcPr>
            <w:tcW w:w="2410" w:type="dxa"/>
            <w:noWrap/>
          </w:tcPr>
          <w:p w14:paraId="1CEAE0C8" w14:textId="47BF4AFB"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 + RT-PCR</w:t>
            </w:r>
          </w:p>
        </w:tc>
        <w:tc>
          <w:tcPr>
            <w:tcW w:w="3685" w:type="dxa"/>
            <w:noWrap/>
          </w:tcPr>
          <w:p w14:paraId="79BE0B3B" w14:textId="71B7906C"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The expression of MUC1 and MUC5AC was abnormally high in the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tissues for both mRNA and protein. MUC1 expression was correlated with advanced cancer stages and lymph node metastases for both the mRNA (P &lt; 0.016 and P &lt; 0.002, respectively) and protein level (P &lt; 0.006 and P &lt; 0.001, respectively). However, MUC5AC expression did not pinpoint any significant association between the clinicopathological criteria, but patients who expressed MUC5AC showed an increase in overall survival (P &lt; 0.009).</w:t>
            </w:r>
          </w:p>
        </w:tc>
        <w:tc>
          <w:tcPr>
            <w:tcW w:w="1418" w:type="dxa"/>
            <w:noWrap/>
          </w:tcPr>
          <w:p w14:paraId="0AC1C794" w14:textId="41BFEBBF"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7AC3C497" w14:textId="7777777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Tunisia</w:t>
            </w:r>
          </w:p>
          <w:p w14:paraId="47123708" w14:textId="77777777"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6D76C9D0"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2D1C38BC" w14:textId="272A4ADB"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Sylvester P.A. et al.</w:t>
            </w:r>
            <w:r w:rsidRPr="00D95C9E">
              <w:rPr>
                <w:rFonts w:ascii="Calibri" w:eastAsia="Times New Roman" w:hAnsi="Calibri" w:cs="Calibri"/>
                <w:color w:val="000000"/>
                <w:vertAlign w:val="superscript"/>
                <w:lang w:val="fr-FR" w:eastAsia="nl-BE"/>
                <w14:ligatures w14:val="none"/>
              </w:rPr>
              <w:t xml:space="preserve"> 4</w:t>
            </w:r>
            <w:r w:rsidR="00C34912">
              <w:rPr>
                <w:rFonts w:ascii="Calibri" w:eastAsia="Times New Roman" w:hAnsi="Calibri" w:cs="Calibri"/>
                <w:color w:val="000000"/>
                <w:vertAlign w:val="superscript"/>
                <w:lang w:val="fr-FR" w:eastAsia="nl-BE"/>
                <w14:ligatures w14:val="none"/>
              </w:rPr>
              <w:t>4</w:t>
            </w:r>
          </w:p>
          <w:p w14:paraId="5426ECEF" w14:textId="2EB93DFE" w:rsidR="00F95E45" w:rsidRPr="00D95C9E" w:rsidRDefault="00F95E45" w:rsidP="0057796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5</w:t>
            </w:r>
          </w:p>
        </w:tc>
        <w:tc>
          <w:tcPr>
            <w:tcW w:w="2529" w:type="dxa"/>
            <w:noWrap/>
          </w:tcPr>
          <w:p w14:paraId="745C5D12" w14:textId="40E6D856"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Cancer in left </w:t>
            </w:r>
            <w:proofErr w:type="spellStart"/>
            <w:r w:rsidRPr="00D95C9E">
              <w:rPr>
                <w:rFonts w:ascii="Calibri" w:eastAsia="Times New Roman" w:hAnsi="Calibri" w:cs="Calibri"/>
                <w:color w:val="000000"/>
                <w:lang w:val="en-GB" w:eastAsia="nl-BE"/>
                <w14:ligatures w14:val="none"/>
              </w:rPr>
              <w:t>hemicolon</w:t>
            </w:r>
            <w:proofErr w:type="spellEnd"/>
            <w:r w:rsidRPr="00D95C9E">
              <w:rPr>
                <w:rFonts w:ascii="Calibri" w:eastAsia="Times New Roman" w:hAnsi="Calibri" w:cs="Calibri"/>
                <w:color w:val="000000"/>
                <w:lang w:val="en-GB" w:eastAsia="nl-BE"/>
                <w14:ligatures w14:val="none"/>
              </w:rPr>
              <w:t xml:space="preserve"> or rectum (n = 37); </w:t>
            </w:r>
            <w:r w:rsidRPr="00D95C9E">
              <w:rPr>
                <w:rFonts w:ascii="Calibri" w:eastAsia="Times New Roman" w:hAnsi="Calibri" w:cs="Calibri"/>
                <w:color w:val="000000"/>
                <w:lang w:val="en-GB" w:eastAsia="nl-BE"/>
                <w14:ligatures w14:val="none"/>
              </w:rPr>
              <w:lastRenderedPageBreak/>
              <w:t>normal colonic mucosae (n = 10</w:t>
            </w:r>
          </w:p>
        </w:tc>
        <w:tc>
          <w:tcPr>
            <w:tcW w:w="1156" w:type="dxa"/>
            <w:noWrap/>
          </w:tcPr>
          <w:p w14:paraId="166B69FC" w14:textId="7EFCDA42"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 xml:space="preserve">MUC2, MUC5AC, </w:t>
            </w:r>
            <w:r w:rsidRPr="00D95C9E">
              <w:rPr>
                <w:rFonts w:ascii="Calibri" w:eastAsia="Times New Roman" w:hAnsi="Calibri" w:cs="Calibri"/>
                <w:color w:val="000000"/>
                <w:lang w:val="en-GB" w:eastAsia="nl-BE"/>
                <w14:ligatures w14:val="none"/>
              </w:rPr>
              <w:lastRenderedPageBreak/>
              <w:t>MUC5B, MUC6</w:t>
            </w:r>
          </w:p>
        </w:tc>
        <w:tc>
          <w:tcPr>
            <w:tcW w:w="2410" w:type="dxa"/>
            <w:noWrap/>
          </w:tcPr>
          <w:p w14:paraId="31CDB87F" w14:textId="454E034C"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IHC</w:t>
            </w:r>
          </w:p>
        </w:tc>
        <w:tc>
          <w:tcPr>
            <w:tcW w:w="3685" w:type="dxa"/>
            <w:noWrap/>
          </w:tcPr>
          <w:p w14:paraId="3C2BB2B5" w14:textId="5CE1550C"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Low levels of MUC2mRNA were detected in non-mucinous adenocarcinomas (5/27) while a </w:t>
            </w:r>
            <w:r w:rsidRPr="00D95C9E">
              <w:rPr>
                <w:rFonts w:ascii="Calibri" w:eastAsia="Times New Roman" w:hAnsi="Calibri" w:cs="Calibri"/>
                <w:color w:val="000000"/>
                <w:lang w:val="en-GB" w:eastAsia="nl-BE"/>
                <w14:ligatures w14:val="none"/>
              </w:rPr>
              <w:lastRenderedPageBreak/>
              <w:t>higher proportion of mucinous carcinomas (4/9) was positive. MUC2 protein product was detected immunohistochemically in 34/36 carcinoma  specimens, with no change from normal controls. There was de novo expression of MUC5AC in 23/36 carcinomas. No MUC5B or MUC6 protein was detected. No difference in MUC2 and  MUC5AC protein was found between mucinous and non-mucinous carcinomas. The level of  MUC2 was increased in moderately differentiated cancers compared with normal controls and  decreased in the poorly differentiated group. Decreased MUC2 was found in poorly differentiated compared with moderately differentiated tumours. More MUC5AC protein was detected in well and moderately differentiated tumours than in poorly differentiated tumours and in all tumours relative to controls.</w:t>
            </w:r>
          </w:p>
        </w:tc>
        <w:tc>
          <w:tcPr>
            <w:tcW w:w="1418" w:type="dxa"/>
            <w:noWrap/>
          </w:tcPr>
          <w:p w14:paraId="7373AA09" w14:textId="4B88906A"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 xml:space="preserve">Left </w:t>
            </w:r>
            <w:proofErr w:type="spellStart"/>
            <w:r w:rsidRPr="00D95C9E">
              <w:rPr>
                <w:rFonts w:ascii="Calibri" w:eastAsia="Times New Roman" w:hAnsi="Calibri" w:cs="Calibri"/>
                <w:color w:val="000000"/>
                <w:lang w:val="en-GB" w:eastAsia="nl-BE"/>
                <w14:ligatures w14:val="none"/>
              </w:rPr>
              <w:t>hemicolon</w:t>
            </w:r>
            <w:proofErr w:type="spellEnd"/>
            <w:r w:rsidRPr="00D95C9E">
              <w:rPr>
                <w:rFonts w:ascii="Calibri" w:eastAsia="Times New Roman" w:hAnsi="Calibri" w:cs="Calibri"/>
                <w:color w:val="000000"/>
                <w:lang w:val="en-GB" w:eastAsia="nl-BE"/>
                <w14:ligatures w14:val="none"/>
              </w:rPr>
              <w:t xml:space="preserve"> and rectum</w:t>
            </w:r>
          </w:p>
        </w:tc>
        <w:tc>
          <w:tcPr>
            <w:tcW w:w="1134" w:type="dxa"/>
          </w:tcPr>
          <w:p w14:paraId="374F04C5" w14:textId="5119114B" w:rsidR="00F95E45" w:rsidRPr="00D95C9E" w:rsidRDefault="00F95E45" w:rsidP="0057796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United Kingdom</w:t>
            </w:r>
          </w:p>
        </w:tc>
      </w:tr>
      <w:tr w:rsidR="00F95E45" w:rsidRPr="00D95C9E" w14:paraId="2DDFE5D0"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5F421FEF" w14:textId="6C0EABB9"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Rico S.D. et al.</w:t>
            </w:r>
            <w:r w:rsidRPr="00D95C9E">
              <w:rPr>
                <w:rFonts w:ascii="Calibri" w:eastAsia="Times New Roman" w:hAnsi="Calibri" w:cs="Calibri"/>
                <w:color w:val="000000"/>
                <w:vertAlign w:val="superscript"/>
                <w:lang w:val="fr-FR" w:eastAsia="nl-BE"/>
                <w14:ligatures w14:val="none"/>
              </w:rPr>
              <w:t xml:space="preserve"> 4</w:t>
            </w:r>
            <w:r w:rsidR="00C34912">
              <w:rPr>
                <w:rFonts w:ascii="Calibri" w:eastAsia="Times New Roman" w:hAnsi="Calibri" w:cs="Calibri"/>
                <w:color w:val="000000"/>
                <w:vertAlign w:val="superscript"/>
                <w:lang w:val="fr-FR" w:eastAsia="nl-BE"/>
                <w14:ligatures w14:val="none"/>
              </w:rPr>
              <w:t>5</w:t>
            </w:r>
          </w:p>
          <w:p w14:paraId="221B5E43" w14:textId="06D00618" w:rsidR="00F95E45" w:rsidRPr="00D95C9E" w:rsidRDefault="00F95E45" w:rsidP="0057796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tc>
        <w:tc>
          <w:tcPr>
            <w:tcW w:w="2529" w:type="dxa"/>
            <w:noWrap/>
          </w:tcPr>
          <w:p w14:paraId="0EFBF547" w14:textId="75867A44"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1812); no normal colonic mucosae</w:t>
            </w:r>
          </w:p>
        </w:tc>
        <w:tc>
          <w:tcPr>
            <w:tcW w:w="1156" w:type="dxa"/>
            <w:noWrap/>
          </w:tcPr>
          <w:p w14:paraId="72FD5C76" w14:textId="430D81B5"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MUC5AC</w:t>
            </w:r>
          </w:p>
        </w:tc>
        <w:tc>
          <w:tcPr>
            <w:tcW w:w="2410" w:type="dxa"/>
            <w:noWrap/>
          </w:tcPr>
          <w:p w14:paraId="7CD1197E" w14:textId="7835D218"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IHC </w:t>
            </w:r>
          </w:p>
        </w:tc>
        <w:tc>
          <w:tcPr>
            <w:tcW w:w="3685" w:type="dxa"/>
            <w:noWrap/>
          </w:tcPr>
          <w:p w14:paraId="7CCBF613" w14:textId="5795FB88"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MUC5AC expression was found in 261 (15.7%) of 1,667 </w:t>
            </w:r>
            <w:r w:rsidR="0012669A" w:rsidRPr="00D95C9E">
              <w:rPr>
                <w:rFonts w:ascii="Calibri" w:eastAsia="Times New Roman" w:hAnsi="Calibri" w:cs="Calibri"/>
                <w:color w:val="000000"/>
                <w:lang w:val="en-GB" w:eastAsia="nl-BE"/>
                <w14:ligatures w14:val="none"/>
              </w:rPr>
              <w:t>analysable</w:t>
            </w:r>
            <w:r w:rsidRPr="00D95C9E">
              <w:rPr>
                <w:rFonts w:ascii="Calibri" w:eastAsia="Times New Roman" w:hAnsi="Calibri" w:cs="Calibri"/>
                <w:color w:val="000000"/>
                <w:lang w:val="en-GB" w:eastAsia="nl-BE"/>
                <w14:ligatures w14:val="none"/>
              </w:rPr>
              <w:t xml:space="preserve"> colorectal cancers. MUC5AC expression strongly depended on the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location and gradually decreased from proximal (27.4% of cecum cancers) to distal (10.6% of rectal cancers; p &lt; 0.0001).</w:t>
            </w:r>
          </w:p>
        </w:tc>
        <w:tc>
          <w:tcPr>
            <w:tcW w:w="1418" w:type="dxa"/>
            <w:noWrap/>
          </w:tcPr>
          <w:p w14:paraId="37AC281F" w14:textId="326F70EE"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628BF26B" w14:textId="784C2024" w:rsidR="00F95E45" w:rsidRPr="00D95C9E" w:rsidRDefault="00F95E45" w:rsidP="0057796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Germany</w:t>
            </w:r>
          </w:p>
        </w:tc>
      </w:tr>
      <w:tr w:rsidR="00F95E45" w:rsidRPr="00D95C9E" w14:paraId="2004F90A"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16BE34F" w14:textId="424406CB" w:rsidR="00F95E45" w:rsidRPr="00D95C9E" w:rsidRDefault="00F95E45" w:rsidP="005A742A">
            <w:pPr>
              <w:rPr>
                <w:rFonts w:ascii="Calibri" w:eastAsia="Times New Roman" w:hAnsi="Calibri" w:cs="Calibri"/>
                <w:color w:val="000000"/>
                <w:lang w:val="fr-FR" w:eastAsia="nl-BE"/>
                <w14:ligatures w14:val="none"/>
              </w:rPr>
            </w:pPr>
            <w:proofErr w:type="spellStart"/>
            <w:r w:rsidRPr="00D95C9E">
              <w:rPr>
                <w:rFonts w:ascii="Calibri" w:eastAsia="Times New Roman" w:hAnsi="Calibri" w:cs="Calibri"/>
                <w:color w:val="000000"/>
                <w:lang w:val="fr-FR" w:eastAsia="nl-BE"/>
                <w14:ligatures w14:val="none"/>
              </w:rPr>
              <w:lastRenderedPageBreak/>
              <w:t>Katano</w:t>
            </w:r>
            <w:proofErr w:type="spellEnd"/>
            <w:r w:rsidRPr="00D95C9E">
              <w:rPr>
                <w:rFonts w:ascii="Calibri" w:eastAsia="Times New Roman" w:hAnsi="Calibri" w:cs="Calibri"/>
                <w:color w:val="000000"/>
                <w:lang w:val="fr-FR" w:eastAsia="nl-BE"/>
                <w14:ligatures w14:val="none"/>
              </w:rPr>
              <w:t xml:space="preserve"> T. et al.</w:t>
            </w:r>
            <w:r w:rsidRPr="00D95C9E">
              <w:rPr>
                <w:rFonts w:ascii="Calibri" w:eastAsia="Times New Roman" w:hAnsi="Calibri" w:cs="Calibri"/>
                <w:color w:val="000000"/>
                <w:vertAlign w:val="superscript"/>
                <w:lang w:val="fr-FR" w:eastAsia="nl-BE"/>
                <w14:ligatures w14:val="none"/>
              </w:rPr>
              <w:t xml:space="preserve"> 4</w:t>
            </w:r>
            <w:r w:rsidR="00C34912">
              <w:rPr>
                <w:rFonts w:ascii="Calibri" w:eastAsia="Times New Roman" w:hAnsi="Calibri" w:cs="Calibri"/>
                <w:color w:val="000000"/>
                <w:vertAlign w:val="superscript"/>
                <w:lang w:val="fr-FR" w:eastAsia="nl-BE"/>
                <w14:ligatures w14:val="none"/>
              </w:rPr>
              <w:t>6</w:t>
            </w:r>
          </w:p>
          <w:p w14:paraId="344D3096" w14:textId="22FC0D64"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tc>
        <w:tc>
          <w:tcPr>
            <w:tcW w:w="2529" w:type="dxa"/>
            <w:noWrap/>
          </w:tcPr>
          <w:p w14:paraId="104DBEB7" w14:textId="3A9A77F1"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LST (n = 105; 60 granular and 45 non-granular); no normal colonic mucosae</w:t>
            </w:r>
          </w:p>
        </w:tc>
        <w:tc>
          <w:tcPr>
            <w:tcW w:w="1156" w:type="dxa"/>
            <w:noWrap/>
          </w:tcPr>
          <w:p w14:paraId="119A2C41" w14:textId="52F829E2"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MUC5AC, MUC6</w:t>
            </w:r>
          </w:p>
        </w:tc>
        <w:tc>
          <w:tcPr>
            <w:tcW w:w="2410" w:type="dxa"/>
            <w:noWrap/>
          </w:tcPr>
          <w:p w14:paraId="62A06ED0" w14:textId="156BB6A5"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IHC </w:t>
            </w:r>
          </w:p>
        </w:tc>
        <w:tc>
          <w:tcPr>
            <w:tcW w:w="3685" w:type="dxa"/>
            <w:noWrap/>
          </w:tcPr>
          <w:p w14:paraId="3FC7FA0E" w14:textId="604A8EDD"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MUC5AC positivity was significantly higher in G-LSTs compared to NG-LSTs (P = 0.002), and MUC5AC positivity in HA lesions was significantly higher than in LA lesions (P = 0.01). MUC6 and SOX2 positivity in SM G-LSTs, and chromogranin A  positivity in SM NG-LSTs were significantly higher than in HAs (P =0.01, 0.01, and 0.03, respectively).</w:t>
            </w:r>
          </w:p>
        </w:tc>
        <w:tc>
          <w:tcPr>
            <w:tcW w:w="1418" w:type="dxa"/>
            <w:noWrap/>
          </w:tcPr>
          <w:p w14:paraId="75D0B26A" w14:textId="65C609DB"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625989B6" w14:textId="7974F604"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5E45" w:rsidRPr="00D95C9E" w14:paraId="7190B2E5"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4A4FF2CA" w14:textId="222099F3"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Kocer B. et al.</w:t>
            </w:r>
            <w:r w:rsidRPr="00D95C9E">
              <w:rPr>
                <w:rFonts w:ascii="Calibri" w:eastAsia="Times New Roman" w:hAnsi="Calibri" w:cs="Calibri"/>
                <w:color w:val="000000"/>
                <w:vertAlign w:val="superscript"/>
                <w:lang w:val="fr-FR" w:eastAsia="nl-BE"/>
                <w14:ligatures w14:val="none"/>
              </w:rPr>
              <w:t xml:space="preserve"> 4</w:t>
            </w:r>
            <w:r w:rsidR="00C34912">
              <w:rPr>
                <w:rFonts w:ascii="Calibri" w:eastAsia="Times New Roman" w:hAnsi="Calibri" w:cs="Calibri"/>
                <w:color w:val="000000"/>
                <w:vertAlign w:val="superscript"/>
                <w:lang w:val="fr-FR" w:eastAsia="nl-BE"/>
                <w14:ligatures w14:val="none"/>
              </w:rPr>
              <w:t>7</w:t>
            </w:r>
          </w:p>
          <w:p w14:paraId="45AEC364" w14:textId="782212BC"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6</w:t>
            </w:r>
          </w:p>
        </w:tc>
        <w:tc>
          <w:tcPr>
            <w:tcW w:w="2529" w:type="dxa"/>
            <w:noWrap/>
          </w:tcPr>
          <w:p w14:paraId="5C8AB5A2" w14:textId="4E35B0F4"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41); normal colonic mucosae (n = 41</w:t>
            </w:r>
          </w:p>
        </w:tc>
        <w:tc>
          <w:tcPr>
            <w:tcW w:w="1156" w:type="dxa"/>
            <w:noWrap/>
          </w:tcPr>
          <w:p w14:paraId="5066EDAE" w14:textId="7CD267D0"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MUC5AC</w:t>
            </w:r>
          </w:p>
        </w:tc>
        <w:tc>
          <w:tcPr>
            <w:tcW w:w="2410" w:type="dxa"/>
            <w:noWrap/>
          </w:tcPr>
          <w:p w14:paraId="17B90049" w14:textId="2EE59B56"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2F4C9C5B" w14:textId="6D988346"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The MUC5AC glycoprotein was expressed in 34.1% of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tissues, 24.4% of normal colonic tissues and 19% of meta static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in the regional lymph nodes. The number of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that expressed MUC5AC was lower in patients older than 60years, in rectum-localized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and in patients who had evidence of recurrence and/or metastasis in the postoperative period. The patients with MUC5AC-negative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had a lower incidence of being disease free and of overall survival. </w:t>
            </w:r>
          </w:p>
        </w:tc>
        <w:tc>
          <w:tcPr>
            <w:tcW w:w="1418" w:type="dxa"/>
            <w:noWrap/>
          </w:tcPr>
          <w:p w14:paraId="29170C80" w14:textId="3F69DC18"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7447623D" w14:textId="5B2D69CC"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Turkey</w:t>
            </w:r>
          </w:p>
        </w:tc>
      </w:tr>
      <w:tr w:rsidR="00F95E45" w:rsidRPr="00D95C9E" w14:paraId="43DFCE23"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64A85A8A" w14:textId="4A18C512" w:rsidR="00F95E45" w:rsidRPr="00C34912" w:rsidRDefault="00F95E45" w:rsidP="005A742A">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Zhang W. et al.</w:t>
            </w:r>
            <w:r w:rsidRPr="00C34912">
              <w:rPr>
                <w:rFonts w:ascii="Calibri" w:eastAsia="Times New Roman" w:hAnsi="Calibri" w:cs="Calibri"/>
                <w:color w:val="000000"/>
                <w:vertAlign w:val="superscript"/>
                <w:lang w:eastAsia="nl-BE"/>
                <w14:ligatures w14:val="none"/>
              </w:rPr>
              <w:t xml:space="preserve"> 4</w:t>
            </w:r>
            <w:r w:rsidR="00C34912">
              <w:rPr>
                <w:rFonts w:ascii="Calibri" w:eastAsia="Times New Roman" w:hAnsi="Calibri" w:cs="Calibri"/>
                <w:color w:val="000000"/>
                <w:vertAlign w:val="superscript"/>
                <w:lang w:eastAsia="nl-BE"/>
                <w14:ligatures w14:val="none"/>
              </w:rPr>
              <w:t>8</w:t>
            </w:r>
          </w:p>
          <w:p w14:paraId="7C17BBCA" w14:textId="29A64E6E" w:rsidR="00F95E45" w:rsidRPr="00C34912" w:rsidRDefault="00F95E45" w:rsidP="005A742A">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Score: 7</w:t>
            </w:r>
          </w:p>
        </w:tc>
        <w:tc>
          <w:tcPr>
            <w:tcW w:w="2529" w:type="dxa"/>
            <w:noWrap/>
          </w:tcPr>
          <w:p w14:paraId="358C3629" w14:textId="6C1B93D2"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77); no normal colonic mucosae</w:t>
            </w:r>
          </w:p>
        </w:tc>
        <w:tc>
          <w:tcPr>
            <w:tcW w:w="1156" w:type="dxa"/>
            <w:noWrap/>
          </w:tcPr>
          <w:p w14:paraId="5F068D72" w14:textId="7902D287"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w:t>
            </w:r>
          </w:p>
        </w:tc>
        <w:tc>
          <w:tcPr>
            <w:tcW w:w="2410" w:type="dxa"/>
            <w:noWrap/>
          </w:tcPr>
          <w:p w14:paraId="196D445B" w14:textId="7C536CF7"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0FE406CB" w14:textId="27883D89"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Positive KL-6 mucin expression was correlated with decreased membranous beta-catenin expression (P=0.022), while no correlation was found between positive KL-6 expression and nuclear beta-catenin expression (P=0.142). Preservation of membranous beta-catenin expression was detected in 35 cases (45.5%) and </w:t>
            </w:r>
            <w:r w:rsidRPr="00D95C9E">
              <w:rPr>
                <w:rFonts w:ascii="Calibri" w:eastAsia="Times New Roman" w:hAnsi="Calibri" w:cs="Calibri"/>
                <w:color w:val="000000"/>
                <w:lang w:val="en-GB" w:eastAsia="nl-BE"/>
                <w14:ligatures w14:val="none"/>
              </w:rPr>
              <w:lastRenderedPageBreak/>
              <w:t>decreased membranous beta-catenin expression was found in 42 cases (54.5%). Negative KL-6 expression was detected in 31 cases (41.3%) and positive expression was seen in 46 cases (59.7%). Combined positive KL-6 expression and decreased membranous beta-catenin expression was found in 30 patients (39.0%), whose survival was significantly worse than that of patients with other expression patterns for these two molecules (53.3 vs. 84.4%, P=0.005). Multivariate analysis showed that this combination was as an independent predictor of survival.</w:t>
            </w:r>
          </w:p>
        </w:tc>
        <w:tc>
          <w:tcPr>
            <w:tcW w:w="1418" w:type="dxa"/>
            <w:noWrap/>
          </w:tcPr>
          <w:p w14:paraId="39E541E9" w14:textId="30AD89B6"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2B1E48E9" w14:textId="0C88D5E6"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China</w:t>
            </w:r>
          </w:p>
        </w:tc>
      </w:tr>
      <w:tr w:rsidR="00F95E45" w:rsidRPr="00D95C9E" w14:paraId="705B9A5D"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3515450B" w14:textId="2EE315A1" w:rsidR="00F95E45" w:rsidRPr="00D95C9E" w:rsidRDefault="00F95E45" w:rsidP="005A742A">
            <w:pPr>
              <w:rPr>
                <w:rFonts w:ascii="Calibri" w:eastAsia="Times New Roman" w:hAnsi="Calibri" w:cs="Calibri"/>
                <w:color w:val="000000"/>
                <w:lang w:eastAsia="nl-BE"/>
                <w14:ligatures w14:val="none"/>
              </w:rPr>
            </w:pPr>
            <w:proofErr w:type="spellStart"/>
            <w:r w:rsidRPr="00D95C9E">
              <w:rPr>
                <w:rFonts w:ascii="Calibri" w:eastAsia="Times New Roman" w:hAnsi="Calibri" w:cs="Calibri"/>
                <w:color w:val="000000"/>
                <w:lang w:eastAsia="nl-BE"/>
                <w14:ligatures w14:val="none"/>
              </w:rPr>
              <w:t>Kesari</w:t>
            </w:r>
            <w:proofErr w:type="spellEnd"/>
            <w:r w:rsidRPr="00D95C9E">
              <w:rPr>
                <w:rFonts w:ascii="Calibri" w:eastAsia="Times New Roman" w:hAnsi="Calibri" w:cs="Calibri"/>
                <w:color w:val="000000"/>
                <w:lang w:eastAsia="nl-BE"/>
                <w14:ligatures w14:val="none"/>
              </w:rPr>
              <w:t xml:space="preserve"> M.V. et al.</w:t>
            </w:r>
            <w:r w:rsidRPr="00D95C9E">
              <w:rPr>
                <w:rFonts w:ascii="Calibri" w:eastAsia="Times New Roman" w:hAnsi="Calibri" w:cs="Calibri"/>
                <w:color w:val="000000"/>
                <w:vertAlign w:val="superscript"/>
                <w:lang w:eastAsia="nl-BE"/>
                <w14:ligatures w14:val="none"/>
              </w:rPr>
              <w:t xml:space="preserve"> 4</w:t>
            </w:r>
            <w:r w:rsidR="00C34912">
              <w:rPr>
                <w:rFonts w:ascii="Calibri" w:eastAsia="Times New Roman" w:hAnsi="Calibri" w:cs="Calibri"/>
                <w:color w:val="000000"/>
                <w:vertAlign w:val="superscript"/>
                <w:lang w:eastAsia="nl-BE"/>
                <w14:ligatures w14:val="none"/>
              </w:rPr>
              <w:t>9</w:t>
            </w:r>
          </w:p>
          <w:p w14:paraId="40214F3B" w14:textId="0C069A21"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7</w:t>
            </w:r>
          </w:p>
        </w:tc>
        <w:tc>
          <w:tcPr>
            <w:tcW w:w="2529" w:type="dxa"/>
            <w:noWrap/>
          </w:tcPr>
          <w:p w14:paraId="58E967DE" w14:textId="2967DCF4"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50); no normal colonic mucosae</w:t>
            </w:r>
          </w:p>
        </w:tc>
        <w:tc>
          <w:tcPr>
            <w:tcW w:w="1156" w:type="dxa"/>
            <w:noWrap/>
          </w:tcPr>
          <w:p w14:paraId="0D429CE6" w14:textId="47AF8D5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w:t>
            </w:r>
          </w:p>
        </w:tc>
        <w:tc>
          <w:tcPr>
            <w:tcW w:w="2410" w:type="dxa"/>
            <w:noWrap/>
          </w:tcPr>
          <w:p w14:paraId="4F89D096" w14:textId="34CE1900"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7513EAB2" w14:textId="4EDDDB6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MUC1 positivity was not observed in normal mucosa. It stained the cytoplasm and cell membrane of the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cells. Positive MUC1 staining was seen in 39 % of the CRC. MUC2 positivity was observed in normal mucosa. MUC2 stained the cytoplasm of the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cells. Positive MUC2 staining was observed in 43 % of the CRC. MUC5AC positivity was luminal or cytoplasmic. 24% of CRC were positive for MUC5AC.</w:t>
            </w:r>
          </w:p>
        </w:tc>
        <w:tc>
          <w:tcPr>
            <w:tcW w:w="1418" w:type="dxa"/>
            <w:noWrap/>
          </w:tcPr>
          <w:p w14:paraId="181FB790" w14:textId="1910056A"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13D1BD65" w14:textId="16AC7081"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India</w:t>
            </w:r>
          </w:p>
        </w:tc>
      </w:tr>
      <w:tr w:rsidR="00F95E45" w:rsidRPr="00D95C9E" w14:paraId="02C09574"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D4D9688" w14:textId="6973DAC4"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Suzuki H.</w:t>
            </w:r>
            <w:r w:rsidRPr="00D95C9E">
              <w:rPr>
                <w:rFonts w:ascii="Calibri" w:eastAsia="Times New Roman" w:hAnsi="Calibri" w:cs="Calibri"/>
                <w:color w:val="000000"/>
                <w:vertAlign w:val="superscript"/>
                <w:lang w:val="en-GB" w:eastAsia="nl-BE"/>
                <w14:ligatures w14:val="none"/>
              </w:rPr>
              <w:t xml:space="preserve"> </w:t>
            </w:r>
            <w:r w:rsidR="00C34912">
              <w:rPr>
                <w:rFonts w:ascii="Calibri" w:eastAsia="Times New Roman" w:hAnsi="Calibri" w:cs="Calibri"/>
                <w:color w:val="000000"/>
                <w:vertAlign w:val="superscript"/>
                <w:lang w:val="en-GB" w:eastAsia="nl-BE"/>
                <w14:ligatures w14:val="none"/>
              </w:rPr>
              <w:t>50</w:t>
            </w:r>
          </w:p>
          <w:p w14:paraId="7432EADA" w14:textId="749498F3"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tc>
        <w:tc>
          <w:tcPr>
            <w:tcW w:w="2529" w:type="dxa"/>
            <w:noWrap/>
          </w:tcPr>
          <w:p w14:paraId="6068A9B9" w14:textId="03BC8F4D"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123); no normal colonic mucosae</w:t>
            </w:r>
          </w:p>
        </w:tc>
        <w:tc>
          <w:tcPr>
            <w:tcW w:w="1156" w:type="dxa"/>
            <w:noWrap/>
          </w:tcPr>
          <w:p w14:paraId="2A441A37" w14:textId="73D23B89"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w:t>
            </w:r>
          </w:p>
        </w:tc>
        <w:tc>
          <w:tcPr>
            <w:tcW w:w="2410" w:type="dxa"/>
            <w:noWrap/>
          </w:tcPr>
          <w:p w14:paraId="11AE7B10" w14:textId="6342EA4F"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6DB3C870" w14:textId="1923B623"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MUC1 was recognized in the cancerous epithelia of pT1 carcinoma in 61%, pT2 in 78%, pT3 in 98% and pT4 in 90%of the cases at the deepest invading sites. </w:t>
            </w:r>
          </w:p>
        </w:tc>
        <w:tc>
          <w:tcPr>
            <w:tcW w:w="1418" w:type="dxa"/>
            <w:noWrap/>
          </w:tcPr>
          <w:p w14:paraId="251D504C" w14:textId="0A0F239A"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Colon</w:t>
            </w:r>
          </w:p>
        </w:tc>
        <w:tc>
          <w:tcPr>
            <w:tcW w:w="1134" w:type="dxa"/>
          </w:tcPr>
          <w:p w14:paraId="709E44C1" w14:textId="01D577FB"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5E45" w:rsidRPr="00D95C9E" w14:paraId="537A39BE"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2204927B" w14:textId="3BCE281C"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eastAsia="nl-BE"/>
                <w14:ligatures w14:val="none"/>
              </w:rPr>
              <w:lastRenderedPageBreak/>
              <w:t xml:space="preserve">Baldus S.E. et al. </w:t>
            </w:r>
            <w:r w:rsidRPr="00D95C9E">
              <w:rPr>
                <w:rFonts w:ascii="Calibri" w:eastAsia="Times New Roman" w:hAnsi="Calibri" w:cs="Calibri"/>
                <w:color w:val="000000"/>
                <w:lang w:val="en-GB" w:eastAsia="nl-BE"/>
                <w14:ligatures w14:val="none"/>
              </w:rPr>
              <w:t>(2002)</w:t>
            </w:r>
            <w:r w:rsidRPr="00D95C9E">
              <w:rPr>
                <w:rFonts w:ascii="Calibri" w:eastAsia="Times New Roman" w:hAnsi="Calibri" w:cs="Calibri"/>
                <w:color w:val="000000"/>
                <w:vertAlign w:val="superscript"/>
                <w:lang w:val="en-GB" w:eastAsia="nl-BE"/>
                <w14:ligatures w14:val="none"/>
              </w:rPr>
              <w:t xml:space="preserve"> 5</w:t>
            </w:r>
            <w:r w:rsidR="00C34912">
              <w:rPr>
                <w:rFonts w:ascii="Calibri" w:eastAsia="Times New Roman" w:hAnsi="Calibri" w:cs="Calibri"/>
                <w:color w:val="000000"/>
                <w:vertAlign w:val="superscript"/>
                <w:lang w:val="en-GB" w:eastAsia="nl-BE"/>
                <w14:ligatures w14:val="none"/>
              </w:rPr>
              <w:t>1</w:t>
            </w:r>
          </w:p>
          <w:p w14:paraId="4A955FD8" w14:textId="24745020"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tc>
        <w:tc>
          <w:tcPr>
            <w:tcW w:w="2529" w:type="dxa"/>
            <w:noWrap/>
          </w:tcPr>
          <w:p w14:paraId="5F8AD11C" w14:textId="1D32B47E"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243); no normal colonic mucosae</w:t>
            </w:r>
          </w:p>
        </w:tc>
        <w:tc>
          <w:tcPr>
            <w:tcW w:w="1156" w:type="dxa"/>
            <w:noWrap/>
          </w:tcPr>
          <w:p w14:paraId="6B8511BC" w14:textId="3D430996"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w:t>
            </w:r>
          </w:p>
        </w:tc>
        <w:tc>
          <w:tcPr>
            <w:tcW w:w="2410" w:type="dxa"/>
            <w:noWrap/>
          </w:tcPr>
          <w:p w14:paraId="6B064F15" w14:textId="4FD381BA"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6C14C725" w14:textId="0024AC4B"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According to univariate and multivariate analysis (P &lt; 0.0001) only MUC1 reactivity represented a marker of worse survival probability.</w:t>
            </w:r>
          </w:p>
        </w:tc>
        <w:tc>
          <w:tcPr>
            <w:tcW w:w="1418" w:type="dxa"/>
            <w:noWrap/>
          </w:tcPr>
          <w:p w14:paraId="7428D3A5" w14:textId="19F2660E"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0341F265"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Germany</w:t>
            </w:r>
          </w:p>
          <w:p w14:paraId="5D4C4EDC"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69A1F357"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562AEBED" w14:textId="7A3DB3CF" w:rsidR="00F95E45" w:rsidRPr="00D95C9E" w:rsidRDefault="00F95E45" w:rsidP="005A742A">
            <w:pPr>
              <w:rPr>
                <w:rFonts w:ascii="Calibri" w:eastAsia="Times New Roman" w:hAnsi="Calibri" w:cs="Calibri"/>
                <w:color w:val="000000"/>
                <w:lang w:eastAsia="nl-BE"/>
                <w14:ligatures w14:val="none"/>
              </w:rPr>
            </w:pPr>
            <w:r w:rsidRPr="00D95C9E">
              <w:rPr>
                <w:rFonts w:ascii="Calibri" w:eastAsia="Times New Roman" w:hAnsi="Calibri" w:cs="Calibri"/>
                <w:color w:val="000000"/>
                <w:lang w:eastAsia="nl-BE"/>
                <w14:ligatures w14:val="none"/>
              </w:rPr>
              <w:t>Zhang M.Q. et al.</w:t>
            </w:r>
            <w:r w:rsidRPr="00D95C9E">
              <w:rPr>
                <w:rFonts w:ascii="Calibri" w:eastAsia="Times New Roman" w:hAnsi="Calibri" w:cs="Calibri"/>
                <w:color w:val="000000"/>
                <w:vertAlign w:val="superscript"/>
                <w:lang w:eastAsia="nl-BE"/>
                <w14:ligatures w14:val="none"/>
              </w:rPr>
              <w:t xml:space="preserve"> 5</w:t>
            </w:r>
            <w:r w:rsidR="00C34912">
              <w:rPr>
                <w:rFonts w:ascii="Calibri" w:eastAsia="Times New Roman" w:hAnsi="Calibri" w:cs="Calibri"/>
                <w:color w:val="000000"/>
                <w:vertAlign w:val="superscript"/>
                <w:lang w:eastAsia="nl-BE"/>
                <w14:ligatures w14:val="none"/>
              </w:rPr>
              <w:t>2</w:t>
            </w:r>
          </w:p>
          <w:p w14:paraId="5D889E78" w14:textId="47A9BD89"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5</w:t>
            </w:r>
          </w:p>
        </w:tc>
        <w:tc>
          <w:tcPr>
            <w:tcW w:w="2529" w:type="dxa"/>
            <w:noWrap/>
          </w:tcPr>
          <w:p w14:paraId="5D345163" w14:textId="55D913D3"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SIA (n = 30); no normal colonic mucosae</w:t>
            </w:r>
          </w:p>
        </w:tc>
        <w:tc>
          <w:tcPr>
            <w:tcW w:w="1156" w:type="dxa"/>
            <w:noWrap/>
          </w:tcPr>
          <w:p w14:paraId="3B231D1B" w14:textId="03DA6471"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w:t>
            </w:r>
          </w:p>
        </w:tc>
        <w:tc>
          <w:tcPr>
            <w:tcW w:w="2410" w:type="dxa"/>
            <w:noWrap/>
          </w:tcPr>
          <w:p w14:paraId="4D205BFD" w14:textId="6C4BEDE8"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6D75E82D" w14:textId="37F2D997"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Specifically, positive staining for MUC1, MUC2, MUC5AC, SIMA, </w:t>
            </w:r>
            <w:proofErr w:type="spellStart"/>
            <w:r w:rsidRPr="00D95C9E">
              <w:rPr>
                <w:rFonts w:ascii="Calibri" w:eastAsia="Times New Roman" w:hAnsi="Calibri" w:cs="Calibri"/>
                <w:color w:val="000000"/>
                <w:lang w:val="en-GB" w:eastAsia="nl-BE"/>
                <w14:ligatures w14:val="none"/>
              </w:rPr>
              <w:t>villin</w:t>
            </w:r>
            <w:proofErr w:type="spellEnd"/>
            <w:r w:rsidRPr="00D95C9E">
              <w:rPr>
                <w:rFonts w:ascii="Calibri" w:eastAsia="Times New Roman" w:hAnsi="Calibri" w:cs="Calibri"/>
                <w:color w:val="000000"/>
                <w:lang w:val="en-GB" w:eastAsia="nl-BE"/>
                <w14:ligatures w14:val="none"/>
              </w:rPr>
              <w:t>, and CDX2 was observed in 16 (53%), 17 (57%), 12 (40%), 15 (50%), 20 (67%), and 18 (60%) of SIAs and 25 (52%), 43 (90%), 39 (81%), 45 (94%), 47 (98%), and 47 (98%) of CRCs, respectively.</w:t>
            </w:r>
          </w:p>
        </w:tc>
        <w:tc>
          <w:tcPr>
            <w:tcW w:w="1418" w:type="dxa"/>
            <w:noWrap/>
          </w:tcPr>
          <w:p w14:paraId="5F58FC6F" w14:textId="7A923684"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Small intestine and colorectum</w:t>
            </w:r>
          </w:p>
        </w:tc>
        <w:tc>
          <w:tcPr>
            <w:tcW w:w="1134" w:type="dxa"/>
          </w:tcPr>
          <w:p w14:paraId="73D9125A" w14:textId="56425CCA"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USA</w:t>
            </w:r>
          </w:p>
        </w:tc>
      </w:tr>
      <w:tr w:rsidR="00F95E45" w:rsidRPr="00D95C9E" w14:paraId="1E563BD0" w14:textId="0FE654AA"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4DE3907" w14:textId="150F3896"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Guo Q.</w:t>
            </w:r>
            <w:r w:rsidRPr="00D95C9E">
              <w:rPr>
                <w:rFonts w:ascii="Calibri" w:eastAsia="Times New Roman" w:hAnsi="Calibri" w:cs="Calibri"/>
                <w:color w:val="000000"/>
                <w:vertAlign w:val="superscript"/>
                <w:lang w:val="en-GB" w:eastAsia="nl-BE"/>
                <w14:ligatures w14:val="none"/>
              </w:rPr>
              <w:t xml:space="preserve"> 5</w:t>
            </w:r>
            <w:r w:rsidR="00C34912">
              <w:rPr>
                <w:rFonts w:ascii="Calibri" w:eastAsia="Times New Roman" w:hAnsi="Calibri" w:cs="Calibri"/>
                <w:color w:val="000000"/>
                <w:vertAlign w:val="superscript"/>
                <w:lang w:val="en-GB" w:eastAsia="nl-BE"/>
                <w14:ligatures w14:val="none"/>
              </w:rPr>
              <w:t>3</w:t>
            </w:r>
          </w:p>
          <w:p w14:paraId="607DE22D" w14:textId="5C3E867A"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6</w:t>
            </w:r>
          </w:p>
        </w:tc>
        <w:tc>
          <w:tcPr>
            <w:tcW w:w="2529" w:type="dxa"/>
            <w:noWrap/>
          </w:tcPr>
          <w:p w14:paraId="585ACC30" w14:textId="6D69C69A"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82); normal colonic mucosae (n = 82; adjacent non-tumoral tissue)</w:t>
            </w:r>
          </w:p>
        </w:tc>
        <w:tc>
          <w:tcPr>
            <w:tcW w:w="1156" w:type="dxa"/>
            <w:noWrap/>
          </w:tcPr>
          <w:p w14:paraId="2E58203C" w14:textId="25147F53"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w:t>
            </w:r>
          </w:p>
        </w:tc>
        <w:tc>
          <w:tcPr>
            <w:tcW w:w="2410" w:type="dxa"/>
            <w:noWrap/>
          </w:tcPr>
          <w:p w14:paraId="05D96CA0" w14:textId="1E656BF2"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0128ECE7" w14:textId="33EADFC2"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KL-6 localization in the circumferential membrane and/or cytoplasm was significantly associated with the presence of venous invasion (P = 0.0003), lymphatic invasion (P &lt; 0.0001), lymph node metastasis (P &lt; 0.0001), liver metastasis (P = 0.058), and advanced histological stage (P &lt; 0.0001). Positive staining was observed in all metastatic lesions tested as well as in the primary colorectal carcinoma tissues, but not in non-cancerous epithelial cells.</w:t>
            </w:r>
          </w:p>
        </w:tc>
        <w:tc>
          <w:tcPr>
            <w:tcW w:w="1418" w:type="dxa"/>
            <w:noWrap/>
          </w:tcPr>
          <w:p w14:paraId="1A1504EE" w14:textId="5496DBD5"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Colorectum, lymph nodes and liver </w:t>
            </w:r>
            <w:proofErr w:type="spellStart"/>
            <w:r w:rsidRPr="00D95C9E">
              <w:rPr>
                <w:rFonts w:ascii="Calibri" w:eastAsia="Times New Roman" w:hAnsi="Calibri" w:cs="Calibri"/>
                <w:color w:val="000000"/>
                <w:lang w:val="en-GB" w:eastAsia="nl-BE"/>
                <w14:ligatures w14:val="none"/>
              </w:rPr>
              <w:t>meta's</w:t>
            </w:r>
            <w:proofErr w:type="spellEnd"/>
          </w:p>
        </w:tc>
        <w:tc>
          <w:tcPr>
            <w:tcW w:w="1134" w:type="dxa"/>
          </w:tcPr>
          <w:p w14:paraId="3A7C69B9"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p w14:paraId="2585F008"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2073EA44"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1F7A3B2E" w14:textId="3C9EF084" w:rsidR="00F95E45" w:rsidRPr="00D95C9E" w:rsidRDefault="00F95E45" w:rsidP="005A742A">
            <w:pPr>
              <w:rPr>
                <w:rFonts w:ascii="Calibri" w:eastAsia="Times New Roman" w:hAnsi="Calibri" w:cs="Calibri"/>
                <w:color w:val="000000"/>
                <w:lang w:val="fr-FR" w:eastAsia="nl-BE"/>
                <w14:ligatures w14:val="none"/>
              </w:rPr>
            </w:pPr>
            <w:proofErr w:type="spellStart"/>
            <w:r w:rsidRPr="00D95C9E">
              <w:rPr>
                <w:rFonts w:ascii="Calibri" w:eastAsia="Times New Roman" w:hAnsi="Calibri" w:cs="Calibri"/>
                <w:color w:val="000000"/>
                <w:lang w:val="fr-FR" w:eastAsia="nl-BE"/>
                <w14:ligatures w14:val="none"/>
              </w:rPr>
              <w:t>Tozawa</w:t>
            </w:r>
            <w:proofErr w:type="spellEnd"/>
            <w:r w:rsidRPr="00D95C9E">
              <w:rPr>
                <w:rFonts w:ascii="Calibri" w:eastAsia="Times New Roman" w:hAnsi="Calibri" w:cs="Calibri"/>
                <w:color w:val="000000"/>
                <w:lang w:val="fr-FR" w:eastAsia="nl-BE"/>
                <w14:ligatures w14:val="none"/>
              </w:rPr>
              <w:t xml:space="preserve"> E. et al.</w:t>
            </w:r>
            <w:r w:rsidRPr="00D95C9E">
              <w:rPr>
                <w:rFonts w:ascii="Calibri" w:eastAsia="Times New Roman" w:hAnsi="Calibri" w:cs="Calibri"/>
                <w:color w:val="000000"/>
                <w:vertAlign w:val="superscript"/>
                <w:lang w:val="fr-FR" w:eastAsia="nl-BE"/>
                <w14:ligatures w14:val="none"/>
              </w:rPr>
              <w:t xml:space="preserve"> 5</w:t>
            </w:r>
            <w:r w:rsidR="00C34912">
              <w:rPr>
                <w:rFonts w:ascii="Calibri" w:eastAsia="Times New Roman" w:hAnsi="Calibri" w:cs="Calibri"/>
                <w:color w:val="000000"/>
                <w:vertAlign w:val="superscript"/>
                <w:lang w:val="fr-FR" w:eastAsia="nl-BE"/>
                <w14:ligatures w14:val="none"/>
              </w:rPr>
              <w:t>4</w:t>
            </w:r>
          </w:p>
          <w:p w14:paraId="2F3D28D5" w14:textId="77777777"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p w14:paraId="0FBC59C6" w14:textId="77777777" w:rsidR="00F95E45" w:rsidRPr="00D95C9E" w:rsidRDefault="00F95E45" w:rsidP="005A742A">
            <w:pPr>
              <w:rPr>
                <w:rFonts w:ascii="Calibri" w:eastAsia="Times New Roman" w:hAnsi="Calibri" w:cs="Calibri"/>
                <w:color w:val="000000"/>
                <w:lang w:val="fr-FR" w:eastAsia="nl-BE"/>
                <w14:ligatures w14:val="none"/>
              </w:rPr>
            </w:pPr>
          </w:p>
        </w:tc>
        <w:tc>
          <w:tcPr>
            <w:tcW w:w="2529" w:type="dxa"/>
            <w:noWrap/>
          </w:tcPr>
          <w:p w14:paraId="47CCB647" w14:textId="5854340A"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152; 30 mucinous, 122 non-mucinous); no normal colonic mucosae</w:t>
            </w:r>
          </w:p>
        </w:tc>
        <w:tc>
          <w:tcPr>
            <w:tcW w:w="1156" w:type="dxa"/>
            <w:noWrap/>
          </w:tcPr>
          <w:p w14:paraId="1379A839" w14:textId="315D5A78"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w:t>
            </w:r>
          </w:p>
        </w:tc>
        <w:tc>
          <w:tcPr>
            <w:tcW w:w="2410" w:type="dxa"/>
            <w:noWrap/>
          </w:tcPr>
          <w:p w14:paraId="3D3751CC" w14:textId="65648A94"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0E49D6B4" w14:textId="5D253990"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Carcinomas with mucus component (MC) commonly possessed the MUC2+ phenotype (90.9-100%), and 76.6-83.3% possessed either the MUC2+/MUC5AC+/MUC1+ or the MUC2+/MUC5AC-/MUC1+ phenotype. Carcinoma without MC was typically the MUC2- phenotype (89.5%).</w:t>
            </w:r>
          </w:p>
        </w:tc>
        <w:tc>
          <w:tcPr>
            <w:tcW w:w="1418" w:type="dxa"/>
            <w:noWrap/>
          </w:tcPr>
          <w:p w14:paraId="41BE77D4" w14:textId="781E356E"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4307E1F2" w14:textId="39F4C149"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5E45" w:rsidRPr="00D95C9E" w14:paraId="05BDED25" w14:textId="5602820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6D414EAC" w14:textId="4E7E8390"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eastAsia="nl-BE"/>
                <w14:ligatures w14:val="none"/>
              </w:rPr>
              <w:lastRenderedPageBreak/>
              <w:t xml:space="preserve">Baldus S.E. et al. </w:t>
            </w:r>
            <w:r w:rsidRPr="00D95C9E">
              <w:rPr>
                <w:rFonts w:ascii="Calibri" w:eastAsia="Times New Roman" w:hAnsi="Calibri" w:cs="Calibri"/>
                <w:color w:val="000000"/>
                <w:lang w:val="en-GB" w:eastAsia="nl-BE"/>
                <w14:ligatures w14:val="none"/>
              </w:rPr>
              <w:t>(2004)</w:t>
            </w:r>
            <w:r w:rsidRPr="00D95C9E">
              <w:rPr>
                <w:rFonts w:ascii="Calibri" w:eastAsia="Times New Roman" w:hAnsi="Calibri" w:cs="Calibri"/>
                <w:color w:val="000000"/>
                <w:vertAlign w:val="superscript"/>
                <w:lang w:val="en-GB" w:eastAsia="nl-BE"/>
                <w14:ligatures w14:val="none"/>
              </w:rPr>
              <w:t xml:space="preserve"> 5</w:t>
            </w:r>
            <w:r w:rsidR="00C34912">
              <w:rPr>
                <w:rFonts w:ascii="Calibri" w:eastAsia="Times New Roman" w:hAnsi="Calibri" w:cs="Calibri"/>
                <w:color w:val="000000"/>
                <w:vertAlign w:val="superscript"/>
                <w:lang w:val="en-GB" w:eastAsia="nl-BE"/>
                <w14:ligatures w14:val="none"/>
              </w:rPr>
              <w:t>5</w:t>
            </w:r>
          </w:p>
          <w:p w14:paraId="7D741634" w14:textId="77777777"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7</w:t>
            </w:r>
          </w:p>
        </w:tc>
        <w:tc>
          <w:tcPr>
            <w:tcW w:w="2529" w:type="dxa"/>
            <w:noWrap/>
          </w:tcPr>
          <w:p w14:paraId="6984B8E8" w14:textId="129D0CB2"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205); no normal colonic mucosae</w:t>
            </w:r>
          </w:p>
        </w:tc>
        <w:tc>
          <w:tcPr>
            <w:tcW w:w="1156" w:type="dxa"/>
            <w:noWrap/>
          </w:tcPr>
          <w:p w14:paraId="23B68B67"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w:t>
            </w:r>
          </w:p>
        </w:tc>
        <w:tc>
          <w:tcPr>
            <w:tcW w:w="2410" w:type="dxa"/>
            <w:noWrap/>
          </w:tcPr>
          <w:p w14:paraId="2D0EB035" w14:textId="18603A41"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278AA72A" w14:textId="36AE0152"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MUC1 in the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w:t>
            </w:r>
            <w:r w:rsidR="0012669A" w:rsidRPr="00D95C9E">
              <w:rPr>
                <w:rFonts w:ascii="Calibri" w:eastAsia="Times New Roman" w:hAnsi="Calibri" w:cs="Calibri"/>
                <w:color w:val="000000"/>
                <w:lang w:val="en-GB" w:eastAsia="nl-BE"/>
                <w14:ligatures w14:val="none"/>
              </w:rPr>
              <w:t>centre</w:t>
            </w:r>
            <w:r w:rsidRPr="00D95C9E">
              <w:rPr>
                <w:rFonts w:ascii="Calibri" w:eastAsia="Times New Roman" w:hAnsi="Calibri" w:cs="Calibri"/>
                <w:color w:val="000000"/>
                <w:lang w:val="en-GB" w:eastAsia="nl-BE"/>
                <w14:ligatures w14:val="none"/>
              </w:rPr>
              <w:t xml:space="preserve"> was significantly associated with the histological grading (more strongly in carcinomas with low differentiation; P &lt; 0.05). Expression of MUC1 at the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w:t>
            </w:r>
            <w:r w:rsidR="0012669A" w:rsidRPr="00D95C9E">
              <w:rPr>
                <w:rFonts w:ascii="Calibri" w:eastAsia="Times New Roman" w:hAnsi="Calibri" w:cs="Calibri"/>
                <w:color w:val="000000"/>
                <w:lang w:val="en-GB" w:eastAsia="nl-BE"/>
                <w14:ligatures w14:val="none"/>
              </w:rPr>
              <w:t>centre</w:t>
            </w:r>
            <w:r w:rsidRPr="00D95C9E">
              <w:rPr>
                <w:rFonts w:ascii="Calibri" w:eastAsia="Times New Roman" w:hAnsi="Calibri" w:cs="Calibri"/>
                <w:color w:val="000000"/>
                <w:lang w:val="en-GB" w:eastAsia="nl-BE"/>
                <w14:ligatures w14:val="none"/>
              </w:rPr>
              <w:t xml:space="preserve"> and at the invasion front correlated with a worse survival probability (p = 0.0071 and 0.0039 respectively).</w:t>
            </w:r>
          </w:p>
        </w:tc>
        <w:tc>
          <w:tcPr>
            <w:tcW w:w="1418" w:type="dxa"/>
            <w:noWrap/>
          </w:tcPr>
          <w:p w14:paraId="0D3BBBCB"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47A023CD"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Germany</w:t>
            </w:r>
          </w:p>
          <w:p w14:paraId="658A4D22"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251A2F0B" w14:textId="62BC190D"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65C24BA7" w14:textId="59A6874F" w:rsidR="00F95E45" w:rsidRPr="00D95C9E" w:rsidRDefault="00F95E45" w:rsidP="005A742A">
            <w:pPr>
              <w:rPr>
                <w:rFonts w:ascii="Calibri" w:eastAsia="Times New Roman" w:hAnsi="Calibri" w:cs="Calibri"/>
                <w:color w:val="000000"/>
                <w:lang w:eastAsia="nl-BE"/>
                <w14:ligatures w14:val="none"/>
              </w:rPr>
            </w:pPr>
            <w:r w:rsidRPr="00D95C9E">
              <w:rPr>
                <w:rFonts w:ascii="Calibri" w:eastAsia="Times New Roman" w:hAnsi="Calibri" w:cs="Calibri"/>
                <w:color w:val="000000"/>
                <w:lang w:eastAsia="nl-BE"/>
                <w14:ligatures w14:val="none"/>
              </w:rPr>
              <w:t>Duncan T.J. et al.</w:t>
            </w:r>
            <w:r w:rsidRPr="00D95C9E">
              <w:rPr>
                <w:rFonts w:ascii="Calibri" w:eastAsia="Times New Roman" w:hAnsi="Calibri" w:cs="Calibri"/>
                <w:color w:val="000000"/>
                <w:vertAlign w:val="superscript"/>
                <w:lang w:eastAsia="nl-BE"/>
                <w14:ligatures w14:val="none"/>
              </w:rPr>
              <w:t xml:space="preserve"> 5</w:t>
            </w:r>
            <w:r w:rsidR="00C34912">
              <w:rPr>
                <w:rFonts w:ascii="Calibri" w:eastAsia="Times New Roman" w:hAnsi="Calibri" w:cs="Calibri"/>
                <w:color w:val="000000"/>
                <w:vertAlign w:val="superscript"/>
                <w:lang w:eastAsia="nl-BE"/>
                <w14:ligatures w14:val="none"/>
              </w:rPr>
              <w:t>6</w:t>
            </w:r>
          </w:p>
          <w:p w14:paraId="304B2481" w14:textId="69DD20B4" w:rsidR="00F95E45" w:rsidRPr="00D95C9E" w:rsidRDefault="00F95E45" w:rsidP="005A742A">
            <w:pPr>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Score: 7</w:t>
            </w:r>
          </w:p>
        </w:tc>
        <w:tc>
          <w:tcPr>
            <w:tcW w:w="2529" w:type="dxa"/>
            <w:noWrap/>
          </w:tcPr>
          <w:p w14:paraId="4DC440D4" w14:textId="633C8DD4"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Primary CRC (n = 462); no normal colonic mucosae</w:t>
            </w:r>
          </w:p>
        </w:tc>
        <w:tc>
          <w:tcPr>
            <w:tcW w:w="1156" w:type="dxa"/>
            <w:noWrap/>
          </w:tcPr>
          <w:p w14:paraId="7CF7E84B" w14:textId="2519E232"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MUC3</w:t>
            </w:r>
          </w:p>
        </w:tc>
        <w:tc>
          <w:tcPr>
            <w:tcW w:w="2410" w:type="dxa"/>
            <w:noWrap/>
          </w:tcPr>
          <w:p w14:paraId="4D9778EF" w14:textId="6D076C62"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4707540C" w14:textId="50D5CBBC"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No correlation was seen with either MUC1 or MUC3 and any of the clinicopathological variables including tumour grade and stage, vascular invasion and tumour type. Kaplan-Meier analysis demonstrated a significant reduction in disease specific survival with MUC1 positive tumours (p = 0.038), this was not seen with MUC3 (p = 0.552). On multivariate analysis, using Cox proportional hazards model, MUC1 expression was shown to be an independent marker of prognosis (HR 1.339, 95%CI 1.002-1.790, p = 0.048).</w:t>
            </w:r>
          </w:p>
        </w:tc>
        <w:tc>
          <w:tcPr>
            <w:tcW w:w="1418" w:type="dxa"/>
            <w:noWrap/>
          </w:tcPr>
          <w:p w14:paraId="7F30276C" w14:textId="34F5C6EF"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4CAD0809" w14:textId="53DD9E48"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United Kingdom</w:t>
            </w:r>
          </w:p>
        </w:tc>
      </w:tr>
      <w:tr w:rsidR="00F95E45" w:rsidRPr="00D95C9E" w14:paraId="7F1E3CE1" w14:textId="3044DC93"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5ED8F58D" w14:textId="300E1BFB"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Matsuyama T. et al.</w:t>
            </w:r>
            <w:r w:rsidRPr="00D95C9E">
              <w:rPr>
                <w:rFonts w:ascii="Calibri" w:eastAsia="Times New Roman" w:hAnsi="Calibri" w:cs="Calibri"/>
                <w:color w:val="000000"/>
                <w:vertAlign w:val="superscript"/>
                <w:lang w:val="fr-FR" w:eastAsia="nl-BE"/>
                <w14:ligatures w14:val="none"/>
              </w:rPr>
              <w:t xml:space="preserve"> 5</w:t>
            </w:r>
            <w:r w:rsidR="00C34912">
              <w:rPr>
                <w:rFonts w:ascii="Calibri" w:eastAsia="Times New Roman" w:hAnsi="Calibri" w:cs="Calibri"/>
                <w:color w:val="000000"/>
                <w:vertAlign w:val="superscript"/>
                <w:lang w:val="fr-FR" w:eastAsia="nl-BE"/>
                <w14:ligatures w14:val="none"/>
              </w:rPr>
              <w:t>7</w:t>
            </w:r>
          </w:p>
          <w:p w14:paraId="186588C7" w14:textId="44510654"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Calibri" w:hAnsi="Calibri" w:cs="Calibri"/>
                <w:color w:val="000000"/>
                <w:lang w:val="fr-FR"/>
                <w14:ligatures w14:val="none"/>
              </w:rPr>
              <w:t>Score: 7</w:t>
            </w:r>
          </w:p>
        </w:tc>
        <w:tc>
          <w:tcPr>
            <w:tcW w:w="2529" w:type="dxa"/>
            <w:noWrap/>
          </w:tcPr>
          <w:p w14:paraId="0A3CF929" w14:textId="736C91C4"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100); no normal colonic mucosae</w:t>
            </w:r>
          </w:p>
        </w:tc>
        <w:tc>
          <w:tcPr>
            <w:tcW w:w="1156" w:type="dxa"/>
            <w:noWrap/>
          </w:tcPr>
          <w:p w14:paraId="602F5C94" w14:textId="2720F076"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MUC12</w:t>
            </w:r>
          </w:p>
        </w:tc>
        <w:tc>
          <w:tcPr>
            <w:tcW w:w="2410" w:type="dxa"/>
            <w:noWrap/>
          </w:tcPr>
          <w:p w14:paraId="13FF8CEF" w14:textId="35B593D8"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RT-qPCR</w:t>
            </w:r>
          </w:p>
        </w:tc>
        <w:tc>
          <w:tcPr>
            <w:tcW w:w="3685" w:type="dxa"/>
            <w:noWrap/>
          </w:tcPr>
          <w:p w14:paraId="4DCE6745" w14:textId="11F5890F"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MUC12 expression was significantly lower in cancer tissues than in adjacent normal tissues (p &lt; 0.001). In Stages II and III CRC, patients with low expression showed worse disease-free survival (p = 0.020). Multivariate analysis disclosed that MUC12 expression status was an independent prognostic factor in Stages II and III </w:t>
            </w:r>
            <w:r w:rsidRPr="00D95C9E">
              <w:rPr>
                <w:rFonts w:ascii="Calibri" w:eastAsia="Times New Roman" w:hAnsi="Calibri" w:cs="Calibri"/>
                <w:color w:val="000000"/>
                <w:lang w:val="en-GB" w:eastAsia="nl-BE"/>
                <w14:ligatures w14:val="none"/>
              </w:rPr>
              <w:lastRenderedPageBreak/>
              <w:t>CRC (relative risk, 8.236; 95% confidence interval, 1.702-39.849 p = 0.009)</w:t>
            </w:r>
          </w:p>
        </w:tc>
        <w:tc>
          <w:tcPr>
            <w:tcW w:w="1418" w:type="dxa"/>
            <w:noWrap/>
          </w:tcPr>
          <w:p w14:paraId="025C8F9F" w14:textId="1397B1C9"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34" w:type="dxa"/>
          </w:tcPr>
          <w:p w14:paraId="44A167F7" w14:textId="3D8C1B60"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5E45" w:rsidRPr="00D95C9E" w14:paraId="41BCA5DA" w14:textId="49AC5A0C"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50BD0184" w14:textId="42BED4FC"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Oh H.R. et al.</w:t>
            </w:r>
            <w:r w:rsidRPr="00D95C9E">
              <w:rPr>
                <w:rFonts w:ascii="Calibri" w:eastAsia="Times New Roman" w:hAnsi="Calibri" w:cs="Calibri"/>
                <w:color w:val="000000"/>
                <w:vertAlign w:val="superscript"/>
                <w:lang w:val="fr-FR" w:eastAsia="nl-BE"/>
                <w14:ligatures w14:val="none"/>
              </w:rPr>
              <w:t xml:space="preserve"> 5</w:t>
            </w:r>
            <w:r w:rsidR="00C34912">
              <w:rPr>
                <w:rFonts w:ascii="Calibri" w:eastAsia="Times New Roman" w:hAnsi="Calibri" w:cs="Calibri"/>
                <w:color w:val="000000"/>
                <w:vertAlign w:val="superscript"/>
                <w:lang w:val="fr-FR" w:eastAsia="nl-BE"/>
                <w14:ligatures w14:val="none"/>
              </w:rPr>
              <w:t>8</w:t>
            </w:r>
          </w:p>
          <w:p w14:paraId="6FC19361" w14:textId="7DEFFAE4"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5</w:t>
            </w:r>
          </w:p>
        </w:tc>
        <w:tc>
          <w:tcPr>
            <w:tcW w:w="2529" w:type="dxa"/>
            <w:noWrap/>
          </w:tcPr>
          <w:p w14:paraId="703FDCE2" w14:textId="5987AFA2"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 141); normal colonic mucosae (n = 141; adjacent non-</w:t>
            </w:r>
            <w:proofErr w:type="spellStart"/>
            <w:r w:rsidRPr="00D95C9E">
              <w:rPr>
                <w:rFonts w:ascii="Calibri" w:eastAsia="Times New Roman" w:hAnsi="Calibri" w:cs="Calibri"/>
                <w:color w:val="000000"/>
                <w:lang w:val="en-GB" w:eastAsia="nl-BE"/>
                <w14:ligatures w14:val="none"/>
              </w:rPr>
              <w:t>tumoural</w:t>
            </w:r>
            <w:proofErr w:type="spellEnd"/>
            <w:r w:rsidRPr="00D95C9E">
              <w:rPr>
                <w:rFonts w:ascii="Calibri" w:eastAsia="Times New Roman" w:hAnsi="Calibri" w:cs="Calibri"/>
                <w:color w:val="000000"/>
                <w:lang w:val="en-GB" w:eastAsia="nl-BE"/>
                <w14:ligatures w14:val="none"/>
              </w:rPr>
              <w:t xml:space="preserve"> tissue)</w:t>
            </w:r>
          </w:p>
        </w:tc>
        <w:tc>
          <w:tcPr>
            <w:tcW w:w="1156" w:type="dxa"/>
            <w:noWrap/>
          </w:tcPr>
          <w:p w14:paraId="5D09B2A0" w14:textId="1086F719"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MUC4, MUC7 and MUC15</w:t>
            </w:r>
          </w:p>
        </w:tc>
        <w:tc>
          <w:tcPr>
            <w:tcW w:w="2410" w:type="dxa"/>
            <w:noWrap/>
          </w:tcPr>
          <w:p w14:paraId="58168CF3" w14:textId="24C242D7"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Single-strand conformation polymorphism analysis; DNA sequencing; IHC</w:t>
            </w:r>
          </w:p>
        </w:tc>
        <w:tc>
          <w:tcPr>
            <w:tcW w:w="3685" w:type="dxa"/>
            <w:noWrap/>
          </w:tcPr>
          <w:p w14:paraId="742A2489" w14:textId="4B8AF3E4"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MUC15 frameshift mutations (14.7% of GC and 15.2% of CRC with MSI-H), MUC 7 frameshift mutations (2.9% of GC with MSI-H) and MUC4 frameshift mutations (8.8% of GC and 3.8% of CRC with MSI-H). These mutations were not found in in MSS/MSI-L (0/118). Negative MUC15 expression was identified in 15–41% of the GC and CRC irrespective of MSI status. Of note, the negative expression was more common in those with MUC15 mutations.</w:t>
            </w:r>
          </w:p>
        </w:tc>
        <w:tc>
          <w:tcPr>
            <w:tcW w:w="1418" w:type="dxa"/>
            <w:noWrap/>
          </w:tcPr>
          <w:p w14:paraId="0FC888F1" w14:textId="2CBB5E1A"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Stomach and colorectum</w:t>
            </w:r>
          </w:p>
        </w:tc>
        <w:tc>
          <w:tcPr>
            <w:tcW w:w="1134" w:type="dxa"/>
          </w:tcPr>
          <w:p w14:paraId="276AA806" w14:textId="2B15D0FB"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Korea</w:t>
            </w:r>
          </w:p>
        </w:tc>
      </w:tr>
      <w:tr w:rsidR="00F95E45" w:rsidRPr="00D95C9E" w14:paraId="1297ABCA" w14:textId="77777777"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07532D44" w14:textId="7398A1FE"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Xiao X. et al.</w:t>
            </w:r>
            <w:r w:rsidRPr="00D95C9E">
              <w:rPr>
                <w:rFonts w:ascii="Calibri" w:eastAsia="Times New Roman" w:hAnsi="Calibri" w:cs="Calibri"/>
                <w:color w:val="000000"/>
                <w:vertAlign w:val="superscript"/>
                <w:lang w:val="fr-FR" w:eastAsia="nl-BE"/>
                <w14:ligatures w14:val="none"/>
              </w:rPr>
              <w:t xml:space="preserve"> 5</w:t>
            </w:r>
            <w:r w:rsidR="00C34912">
              <w:rPr>
                <w:rFonts w:ascii="Calibri" w:eastAsia="Times New Roman" w:hAnsi="Calibri" w:cs="Calibri"/>
                <w:color w:val="000000"/>
                <w:vertAlign w:val="superscript"/>
                <w:lang w:val="fr-FR" w:eastAsia="nl-BE"/>
                <w14:ligatures w14:val="none"/>
              </w:rPr>
              <w:t>9</w:t>
            </w:r>
          </w:p>
          <w:p w14:paraId="7D920AF7" w14:textId="1CFC3204"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tc>
        <w:tc>
          <w:tcPr>
            <w:tcW w:w="2529" w:type="dxa"/>
            <w:noWrap/>
          </w:tcPr>
          <w:p w14:paraId="66BBA422" w14:textId="121792A8"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CRC (n= 150); normal colonic tissues (n = 150; adjacent non-cancerous tissues)</w:t>
            </w:r>
          </w:p>
        </w:tc>
        <w:tc>
          <w:tcPr>
            <w:tcW w:w="1156" w:type="dxa"/>
            <w:noWrap/>
          </w:tcPr>
          <w:p w14:paraId="479496AD" w14:textId="2D61EA49"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MUC20</w:t>
            </w:r>
          </w:p>
        </w:tc>
        <w:tc>
          <w:tcPr>
            <w:tcW w:w="2410" w:type="dxa"/>
            <w:noWrap/>
          </w:tcPr>
          <w:p w14:paraId="2A653B06" w14:textId="2065AF4A"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 RT-qPCR; micro-array</w:t>
            </w:r>
          </w:p>
        </w:tc>
        <w:tc>
          <w:tcPr>
            <w:tcW w:w="3685" w:type="dxa"/>
            <w:noWrap/>
          </w:tcPr>
          <w:p w14:paraId="0896164C" w14:textId="78026945"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MUC20 was up-regulated in CRC patients with poor prognosis by microarray. MUC20 expression was significantly higher in CRC tissues than in ANCT (P &lt; 0.05). We further showed that MUC20 overexpression was correlated with recurrence and poor outcome (P &lt; 0.05). The Kaplan-Meier survival curves indicated that disease-free survival (DFS) and overall survival (OS) were significantly worse in CRC patients with MUC20 overexpression. The Cox multivariate analysis revealed that MUC20 overexpression and TNM stage were independent prognostic factors.</w:t>
            </w:r>
          </w:p>
        </w:tc>
        <w:tc>
          <w:tcPr>
            <w:tcW w:w="1418" w:type="dxa"/>
            <w:noWrap/>
          </w:tcPr>
          <w:p w14:paraId="00E20F2C" w14:textId="3FFC8ACD"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Colorectum</w:t>
            </w:r>
          </w:p>
        </w:tc>
        <w:tc>
          <w:tcPr>
            <w:tcW w:w="1134" w:type="dxa"/>
          </w:tcPr>
          <w:p w14:paraId="7B6CA8E1" w14:textId="56659E82"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China</w:t>
            </w:r>
          </w:p>
        </w:tc>
      </w:tr>
      <w:tr w:rsidR="00F95E45" w:rsidRPr="00D95C9E" w14:paraId="63CDD04F" w14:textId="77777777"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599D9210" w14:textId="31D891AD" w:rsidR="00F95E45" w:rsidRPr="00D95C9E" w:rsidRDefault="00F95E45" w:rsidP="005A742A">
            <w:pPr>
              <w:rPr>
                <w:rFonts w:ascii="Calibri" w:eastAsia="Times New Roman" w:hAnsi="Calibri" w:cs="Calibri"/>
                <w:color w:val="000000"/>
                <w:lang w:val="fr-FR" w:eastAsia="nl-BE"/>
                <w14:ligatures w14:val="none"/>
              </w:rPr>
            </w:pPr>
            <w:proofErr w:type="spellStart"/>
            <w:r w:rsidRPr="00D95C9E">
              <w:rPr>
                <w:rFonts w:ascii="Calibri" w:eastAsia="Times New Roman" w:hAnsi="Calibri" w:cs="Calibri"/>
                <w:color w:val="000000"/>
                <w:lang w:val="fr-FR" w:eastAsia="nl-BE"/>
                <w14:ligatures w14:val="none"/>
              </w:rPr>
              <w:lastRenderedPageBreak/>
              <w:t>Shibahara</w:t>
            </w:r>
            <w:proofErr w:type="spellEnd"/>
            <w:r w:rsidRPr="00D95C9E">
              <w:rPr>
                <w:rFonts w:ascii="Calibri" w:eastAsia="Times New Roman" w:hAnsi="Calibri" w:cs="Calibri"/>
                <w:color w:val="000000"/>
                <w:lang w:val="fr-FR" w:eastAsia="nl-BE"/>
                <w14:ligatures w14:val="none"/>
              </w:rPr>
              <w:t xml:space="preserve"> H. et al.</w:t>
            </w:r>
            <w:r w:rsidRPr="00D95C9E">
              <w:rPr>
                <w:rFonts w:ascii="Calibri" w:eastAsia="Times New Roman" w:hAnsi="Calibri" w:cs="Calibri"/>
                <w:color w:val="000000"/>
                <w:vertAlign w:val="superscript"/>
                <w:lang w:val="fr-FR" w:eastAsia="nl-BE"/>
                <w14:ligatures w14:val="none"/>
              </w:rPr>
              <w:t xml:space="preserve"> </w:t>
            </w:r>
            <w:r w:rsidR="00C34912">
              <w:rPr>
                <w:rFonts w:ascii="Calibri" w:eastAsia="Times New Roman" w:hAnsi="Calibri" w:cs="Calibri"/>
                <w:color w:val="000000"/>
                <w:vertAlign w:val="superscript"/>
                <w:lang w:val="fr-FR" w:eastAsia="nl-BE"/>
                <w14:ligatures w14:val="none"/>
              </w:rPr>
              <w:t>60</w:t>
            </w:r>
          </w:p>
          <w:p w14:paraId="07283675" w14:textId="0CF952F2"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5</w:t>
            </w:r>
          </w:p>
        </w:tc>
        <w:tc>
          <w:tcPr>
            <w:tcW w:w="2529" w:type="dxa"/>
            <w:noWrap/>
          </w:tcPr>
          <w:p w14:paraId="2CBDCCB8" w14:textId="1266BE3D"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SIA (n = 60); normal colonic mucosae (n = 60)</w:t>
            </w:r>
          </w:p>
        </w:tc>
        <w:tc>
          <w:tcPr>
            <w:tcW w:w="1156" w:type="dxa"/>
            <w:noWrap/>
          </w:tcPr>
          <w:p w14:paraId="08637AC0" w14:textId="31A3F670"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MUC3, MUC4, MUC5AC, MUC6, MUC16</w:t>
            </w:r>
          </w:p>
        </w:tc>
        <w:tc>
          <w:tcPr>
            <w:tcW w:w="2410" w:type="dxa"/>
            <w:noWrap/>
          </w:tcPr>
          <w:p w14:paraId="6B68CB4C" w14:textId="7A31FD00"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6AC3F2CA" w14:textId="37A072A5"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MUC5AC and MUC16 expression was increased in SBC lesions compared to the normal epithelium, and expression of these mucins was related to clinicopathologic factors, as follows: MUC1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location (p = 0.019), depth (p = 0.017) and curability (p = 0.007)], MUC5AC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location (p = 0.063) and lymph node metastasis (p = 0.059)], and MUC16 [venous invasion (p = 0.016) and curability (p = 0.016)].</w:t>
            </w:r>
          </w:p>
          <w:p w14:paraId="2E4C219D" w14:textId="7A463115"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There were five factors associated with a poor prognosis: poorly-differentiated or neuroendocrine histological type (p&lt;0.001), lymph node metastasis (p&lt;0.001), lymphatic invasion (p = 0.026), venous invasion (p&lt;0.001) and curative resection (p&lt;0.001), in addition to expression of MUC1 (p = 0.042), MUC5AC (p = 0.007) and MUC16 (p&lt;0.001). In subsequent multivariate analysis with curability as the covariate, lymph node metastasis, venous invasion, and MUC5AC and/or MUC16 expression were significantly related to the prognosis. Multivariate analysis in curative cases (n = 45) showed that SBC with MUC5AC and/or MUC16 expression had a significantly independent high hazard risk after </w:t>
            </w:r>
            <w:r w:rsidRPr="00D95C9E">
              <w:rPr>
                <w:rFonts w:ascii="Calibri" w:eastAsia="Times New Roman" w:hAnsi="Calibri" w:cs="Calibri"/>
                <w:color w:val="000000"/>
                <w:lang w:val="en-GB" w:eastAsia="nl-BE"/>
                <w14:ligatures w14:val="none"/>
              </w:rPr>
              <w:lastRenderedPageBreak/>
              <w:t>adjusting for the effects of venous invasion (hazard ratio: 5.6, 95% confidence interval: 1.8-17).</w:t>
            </w:r>
          </w:p>
        </w:tc>
        <w:tc>
          <w:tcPr>
            <w:tcW w:w="1418" w:type="dxa"/>
            <w:noWrap/>
          </w:tcPr>
          <w:p w14:paraId="39B25961" w14:textId="347BED9D"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Small intestine</w:t>
            </w:r>
          </w:p>
        </w:tc>
        <w:tc>
          <w:tcPr>
            <w:tcW w:w="1134" w:type="dxa"/>
          </w:tcPr>
          <w:p w14:paraId="0A1BB3CF" w14:textId="11575D68"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5E45" w:rsidRPr="00D95C9E" w14:paraId="3DAE1B1B" w14:textId="59DDA20B"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7D337475" w14:textId="6F6A3097" w:rsidR="00F95E45" w:rsidRPr="00C34912" w:rsidRDefault="00F95E45" w:rsidP="005A742A">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Jun S.Y. et al.</w:t>
            </w:r>
            <w:r w:rsidRPr="00C34912">
              <w:rPr>
                <w:rFonts w:ascii="Calibri" w:eastAsia="Times New Roman" w:hAnsi="Calibri" w:cs="Calibri"/>
                <w:color w:val="000000"/>
                <w:vertAlign w:val="superscript"/>
                <w:lang w:eastAsia="nl-BE"/>
                <w14:ligatures w14:val="none"/>
              </w:rPr>
              <w:t xml:space="preserve"> 6</w:t>
            </w:r>
            <w:r w:rsidR="00C34912">
              <w:rPr>
                <w:rFonts w:ascii="Calibri" w:eastAsia="Times New Roman" w:hAnsi="Calibri" w:cs="Calibri"/>
                <w:color w:val="000000"/>
                <w:vertAlign w:val="superscript"/>
                <w:lang w:eastAsia="nl-BE"/>
                <w14:ligatures w14:val="none"/>
              </w:rPr>
              <w:t>1</w:t>
            </w:r>
          </w:p>
          <w:p w14:paraId="3A07ABA8" w14:textId="77777777" w:rsidR="00F95E45" w:rsidRPr="00C34912" w:rsidRDefault="00F95E45" w:rsidP="005A742A">
            <w:pPr>
              <w:rPr>
                <w:rFonts w:ascii="Calibri" w:eastAsia="Times New Roman" w:hAnsi="Calibri" w:cs="Calibri"/>
                <w:color w:val="000000"/>
                <w:lang w:eastAsia="nl-BE"/>
                <w14:ligatures w14:val="none"/>
              </w:rPr>
            </w:pPr>
            <w:r w:rsidRPr="00C34912">
              <w:rPr>
                <w:rFonts w:ascii="Calibri" w:eastAsia="Times New Roman" w:hAnsi="Calibri" w:cs="Calibri"/>
                <w:color w:val="000000"/>
                <w:lang w:eastAsia="nl-BE"/>
                <w14:ligatures w14:val="none"/>
              </w:rPr>
              <w:t>Score: 6</w:t>
            </w:r>
          </w:p>
        </w:tc>
        <w:tc>
          <w:tcPr>
            <w:tcW w:w="2529" w:type="dxa"/>
            <w:noWrap/>
          </w:tcPr>
          <w:p w14:paraId="53512F4F" w14:textId="51BC1A94"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SIA (n = 189); no normal colonic mucosae</w:t>
            </w:r>
          </w:p>
        </w:tc>
        <w:tc>
          <w:tcPr>
            <w:tcW w:w="1156" w:type="dxa"/>
            <w:noWrap/>
          </w:tcPr>
          <w:p w14:paraId="6C90DD63"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MUC5AC, MUC6</w:t>
            </w:r>
          </w:p>
        </w:tc>
        <w:tc>
          <w:tcPr>
            <w:tcW w:w="2410" w:type="dxa"/>
            <w:noWrap/>
          </w:tcPr>
          <w:p w14:paraId="0C8A0A31" w14:textId="5279BD5B"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26B5AA95" w14:textId="352B4042"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Patients expressing MUC1 tended to demonstrate high-grade (P=0.021) and nodular or infiltrative (P=0.020)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w:t>
            </w:r>
          </w:p>
          <w:p w14:paraId="225DD31F" w14:textId="483384B8"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Intestinal-type SIA (CDX2+, MUC1-) demonstrated more frequent distal (jejunal or ileal; P=0.033), tubular (P=0.039), and low-grade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(P=0.004) and significantly better survival according to univariate (P&lt;0.0001) and multivariate (P=0.001) analyses.</w:t>
            </w:r>
          </w:p>
        </w:tc>
        <w:tc>
          <w:tcPr>
            <w:tcW w:w="1418" w:type="dxa"/>
            <w:noWrap/>
          </w:tcPr>
          <w:p w14:paraId="0479208F" w14:textId="7DF3593B"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Small intestine</w:t>
            </w:r>
          </w:p>
        </w:tc>
        <w:tc>
          <w:tcPr>
            <w:tcW w:w="1134" w:type="dxa"/>
          </w:tcPr>
          <w:p w14:paraId="35E2CEB0"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Republic of Korea</w:t>
            </w:r>
          </w:p>
          <w:p w14:paraId="59200D61" w14:textId="77777777" w:rsidR="00F95E45" w:rsidRPr="00D95C9E" w:rsidRDefault="00F95E45" w:rsidP="005A742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p>
        </w:tc>
      </w:tr>
      <w:tr w:rsidR="00F95E45" w:rsidRPr="00D95C9E" w14:paraId="1FC516F2" w14:textId="23483FA9" w:rsidTr="00F95E45">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1CFF55E0" w14:textId="6CD96AAF" w:rsidR="00F95E45" w:rsidRPr="00D95C9E" w:rsidRDefault="00F95E45" w:rsidP="005A742A">
            <w:pPr>
              <w:rPr>
                <w:rFonts w:ascii="Calibri" w:eastAsia="Times New Roman" w:hAnsi="Calibri" w:cs="Calibri"/>
                <w:color w:val="000000"/>
                <w:lang w:val="fr-FR" w:eastAsia="nl-BE"/>
                <w14:ligatures w14:val="none"/>
              </w:rPr>
            </w:pPr>
            <w:proofErr w:type="spellStart"/>
            <w:r w:rsidRPr="00D95C9E">
              <w:rPr>
                <w:rFonts w:ascii="Calibri" w:eastAsia="Times New Roman" w:hAnsi="Calibri" w:cs="Calibri"/>
                <w:color w:val="000000"/>
                <w:lang w:val="fr-FR" w:eastAsia="nl-BE"/>
                <w14:ligatures w14:val="none"/>
              </w:rPr>
              <w:t>Kumagai</w:t>
            </w:r>
            <w:proofErr w:type="spellEnd"/>
            <w:r w:rsidRPr="00D95C9E">
              <w:rPr>
                <w:rFonts w:ascii="Calibri" w:eastAsia="Times New Roman" w:hAnsi="Calibri" w:cs="Calibri"/>
                <w:color w:val="000000"/>
                <w:lang w:val="fr-FR" w:eastAsia="nl-BE"/>
                <w14:ligatures w14:val="none"/>
              </w:rPr>
              <w:t xml:space="preserve"> R. et al.</w:t>
            </w:r>
            <w:r w:rsidRPr="00D95C9E">
              <w:rPr>
                <w:rFonts w:ascii="Calibri" w:eastAsia="Times New Roman" w:hAnsi="Calibri" w:cs="Calibri"/>
                <w:color w:val="000000"/>
                <w:vertAlign w:val="superscript"/>
                <w:lang w:val="fr-FR" w:eastAsia="nl-BE"/>
                <w14:ligatures w14:val="none"/>
              </w:rPr>
              <w:t xml:space="preserve"> 6</w:t>
            </w:r>
            <w:r w:rsidR="00C34912">
              <w:rPr>
                <w:rFonts w:ascii="Calibri" w:eastAsia="Times New Roman" w:hAnsi="Calibri" w:cs="Calibri"/>
                <w:color w:val="000000"/>
                <w:vertAlign w:val="superscript"/>
                <w:lang w:val="fr-FR" w:eastAsia="nl-BE"/>
                <w14:ligatures w14:val="none"/>
              </w:rPr>
              <w:t>2</w:t>
            </w:r>
          </w:p>
          <w:p w14:paraId="0A8E2435" w14:textId="77777777" w:rsidR="00F95E45" w:rsidRPr="00D95C9E" w:rsidRDefault="00F95E45" w:rsidP="005A742A">
            <w:pPr>
              <w:rPr>
                <w:rFonts w:ascii="Calibri" w:eastAsia="Times New Roman" w:hAnsi="Calibri" w:cs="Calibri"/>
                <w:color w:val="000000"/>
                <w:lang w:val="fr-FR" w:eastAsia="nl-BE"/>
                <w14:ligatures w14:val="none"/>
              </w:rPr>
            </w:pPr>
            <w:r w:rsidRPr="00D95C9E">
              <w:rPr>
                <w:rFonts w:ascii="Calibri" w:eastAsia="Times New Roman" w:hAnsi="Calibri" w:cs="Calibri"/>
                <w:color w:val="000000"/>
                <w:lang w:val="fr-FR" w:eastAsia="nl-BE"/>
                <w14:ligatures w14:val="none"/>
              </w:rPr>
              <w:t>Score: 7</w:t>
            </w:r>
          </w:p>
          <w:p w14:paraId="0B9BFC00" w14:textId="78D4871B" w:rsidR="00F95E45" w:rsidRPr="00D95C9E" w:rsidRDefault="00F95E45" w:rsidP="005A742A">
            <w:pPr>
              <w:rPr>
                <w:rFonts w:ascii="Calibri" w:eastAsia="Times New Roman" w:hAnsi="Calibri" w:cs="Calibri"/>
                <w:color w:val="000000"/>
                <w:lang w:val="fr-FR" w:eastAsia="nl-BE"/>
                <w14:ligatures w14:val="none"/>
              </w:rPr>
            </w:pPr>
          </w:p>
        </w:tc>
        <w:tc>
          <w:tcPr>
            <w:tcW w:w="2529" w:type="dxa"/>
            <w:noWrap/>
          </w:tcPr>
          <w:p w14:paraId="7A1F555A" w14:textId="0A0FB0B7"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SIA (n = 47); no normal colonic mucosae</w:t>
            </w:r>
          </w:p>
        </w:tc>
        <w:tc>
          <w:tcPr>
            <w:tcW w:w="1156" w:type="dxa"/>
            <w:noWrap/>
          </w:tcPr>
          <w:p w14:paraId="1F1A573B" w14:textId="16FB1D72"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 MUC6</w:t>
            </w:r>
          </w:p>
        </w:tc>
        <w:tc>
          <w:tcPr>
            <w:tcW w:w="2410" w:type="dxa"/>
            <w:noWrap/>
          </w:tcPr>
          <w:p w14:paraId="50913DE3" w14:textId="3AA56466"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685" w:type="dxa"/>
            <w:noWrap/>
          </w:tcPr>
          <w:p w14:paraId="6F0003EE" w14:textId="4C3D8307"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The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sizes of the MUC2(+)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were significantly larger than those of the MUC2(-)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(mean, 5.7 ± 1.4 cm vs 4.7 ± 2.1 cm, P &lt; 0.05). All three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xml:space="preserve"> with adenomatous component were positive for MUC2 (P &lt; 0.05).</w:t>
            </w:r>
          </w:p>
        </w:tc>
        <w:tc>
          <w:tcPr>
            <w:tcW w:w="1418" w:type="dxa"/>
            <w:noWrap/>
          </w:tcPr>
          <w:p w14:paraId="6EA3B2D3" w14:textId="622357E2"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Small intestine</w:t>
            </w:r>
          </w:p>
        </w:tc>
        <w:tc>
          <w:tcPr>
            <w:tcW w:w="1134" w:type="dxa"/>
          </w:tcPr>
          <w:p w14:paraId="1910421D" w14:textId="00EF5724" w:rsidR="00F95E45" w:rsidRPr="00D95C9E" w:rsidRDefault="00F95E45" w:rsidP="005A742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F93F05" w:rsidRPr="00D95C9E" w14:paraId="1A3E57A4" w14:textId="71FAB1C4" w:rsidTr="00F95E45">
        <w:trPr>
          <w:trHeight w:val="405"/>
        </w:trPr>
        <w:tc>
          <w:tcPr>
            <w:cnfStyle w:val="001000000000" w:firstRow="0" w:lastRow="0" w:firstColumn="1" w:lastColumn="0" w:oddVBand="0" w:evenVBand="0" w:oddHBand="0" w:evenHBand="0" w:firstRowFirstColumn="0" w:firstRowLastColumn="0" w:lastRowFirstColumn="0" w:lastRowLastColumn="0"/>
            <w:tcW w:w="1555" w:type="dxa"/>
            <w:noWrap/>
          </w:tcPr>
          <w:p w14:paraId="61E3E891" w14:textId="55CBED2E" w:rsidR="00F95E45" w:rsidRPr="00C34912" w:rsidRDefault="00F95E45" w:rsidP="00B87D09">
            <w:pPr>
              <w:rPr>
                <w:rFonts w:ascii="Calibri" w:eastAsia="Times New Roman" w:hAnsi="Calibri" w:cs="Calibri"/>
                <w:lang w:eastAsia="nl-BE"/>
                <w14:ligatures w14:val="none"/>
              </w:rPr>
            </w:pPr>
            <w:proofErr w:type="spellStart"/>
            <w:r w:rsidRPr="00C34912">
              <w:rPr>
                <w:rFonts w:ascii="Calibri" w:eastAsia="Times New Roman" w:hAnsi="Calibri" w:cs="Calibri"/>
                <w:lang w:eastAsia="nl-BE"/>
                <w14:ligatures w14:val="none"/>
              </w:rPr>
              <w:t>Ishikawa</w:t>
            </w:r>
            <w:proofErr w:type="spellEnd"/>
            <w:r w:rsidRPr="00C34912">
              <w:rPr>
                <w:rFonts w:ascii="Calibri" w:eastAsia="Times New Roman" w:hAnsi="Calibri" w:cs="Calibri"/>
                <w:lang w:eastAsia="nl-BE"/>
                <w14:ligatures w14:val="none"/>
              </w:rPr>
              <w:t xml:space="preserve"> R.</w:t>
            </w:r>
            <w:r w:rsidR="00EC14D1" w:rsidRPr="00C34912">
              <w:rPr>
                <w:rFonts w:ascii="Calibri" w:eastAsia="Times New Roman" w:hAnsi="Calibri" w:cs="Calibri"/>
                <w:lang w:eastAsia="nl-BE"/>
                <w14:ligatures w14:val="none"/>
              </w:rPr>
              <w:t xml:space="preserve"> et al</w:t>
            </w:r>
            <w:r w:rsidR="00A52290" w:rsidRPr="00C34912">
              <w:rPr>
                <w:rFonts w:ascii="Calibri" w:eastAsia="Times New Roman" w:hAnsi="Calibri" w:cs="Calibri"/>
                <w:vertAlign w:val="superscript"/>
                <w:lang w:eastAsia="nl-BE"/>
                <w14:ligatures w14:val="none"/>
              </w:rPr>
              <w:t xml:space="preserve"> 6</w:t>
            </w:r>
            <w:r w:rsidR="00C34912">
              <w:rPr>
                <w:rFonts w:ascii="Calibri" w:eastAsia="Times New Roman" w:hAnsi="Calibri" w:cs="Calibri"/>
                <w:vertAlign w:val="superscript"/>
                <w:lang w:eastAsia="nl-BE"/>
                <w14:ligatures w14:val="none"/>
              </w:rPr>
              <w:t>3</w:t>
            </w:r>
          </w:p>
          <w:p w14:paraId="6DE3404E" w14:textId="7F5DFBE8" w:rsidR="00F95E45" w:rsidRPr="00C34912" w:rsidRDefault="00F95E45" w:rsidP="00B87D09">
            <w:pPr>
              <w:rPr>
                <w:rFonts w:ascii="Calibri" w:eastAsia="Times New Roman" w:hAnsi="Calibri" w:cs="Calibri"/>
                <w:lang w:eastAsia="nl-BE"/>
                <w14:ligatures w14:val="none"/>
              </w:rPr>
            </w:pPr>
            <w:r w:rsidRPr="00C34912">
              <w:rPr>
                <w:rFonts w:ascii="Calibri" w:eastAsia="Times New Roman" w:hAnsi="Calibri" w:cs="Calibri"/>
                <w:lang w:eastAsia="nl-BE"/>
                <w14:ligatures w14:val="none"/>
              </w:rPr>
              <w:t>Score: 6</w:t>
            </w:r>
          </w:p>
        </w:tc>
        <w:tc>
          <w:tcPr>
            <w:tcW w:w="2529" w:type="dxa"/>
            <w:noWrap/>
          </w:tcPr>
          <w:p w14:paraId="4226E84C" w14:textId="1EC68C8A" w:rsidR="00F95E45" w:rsidRPr="00D95C9E" w:rsidRDefault="00F95E45" w:rsidP="00B87D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 xml:space="preserve">52 cases of JIAC, 182 cases of CRC, no normal </w:t>
            </w:r>
            <w:r w:rsidR="00565D33" w:rsidRPr="00D95C9E">
              <w:rPr>
                <w:rFonts w:ascii="Calibri" w:eastAsia="Times New Roman" w:hAnsi="Calibri" w:cs="Calibri"/>
                <w:lang w:val="en-GB" w:eastAsia="nl-BE"/>
                <w14:ligatures w14:val="none"/>
              </w:rPr>
              <w:t>mucosae</w:t>
            </w:r>
          </w:p>
        </w:tc>
        <w:tc>
          <w:tcPr>
            <w:tcW w:w="1156" w:type="dxa"/>
            <w:noWrap/>
          </w:tcPr>
          <w:p w14:paraId="69AA7E1A" w14:textId="3A0F74C7" w:rsidR="00F95E45" w:rsidRPr="00D95C9E" w:rsidRDefault="00F95E45" w:rsidP="00B87D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MUC1, MUC2, MUC5AC, MUC6</w:t>
            </w:r>
          </w:p>
        </w:tc>
        <w:tc>
          <w:tcPr>
            <w:tcW w:w="2410" w:type="dxa"/>
            <w:noWrap/>
          </w:tcPr>
          <w:p w14:paraId="4CB4AB1F" w14:textId="7DFFCF01" w:rsidR="00F95E45" w:rsidRPr="00D95C9E" w:rsidRDefault="00F95E45" w:rsidP="00B87D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Immunohistochemical staining using primary antibodies as mentioned in the study</w:t>
            </w:r>
          </w:p>
        </w:tc>
        <w:tc>
          <w:tcPr>
            <w:tcW w:w="3685" w:type="dxa"/>
            <w:noWrap/>
          </w:tcPr>
          <w:p w14:paraId="4A15B1E2" w14:textId="59B55BF6" w:rsidR="00F95E45" w:rsidRPr="00D95C9E" w:rsidRDefault="00F95E45" w:rsidP="00B87D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 xml:space="preserve">High expression of MUC1 was found in 26.9% of JIAC and 28.6% of CRC (p-value= 0.815). High expression of MUC2 was found in 50% of JIAC and 43.2% of CRC (p-value = 0.379). High expression of MUC5AC was found in 21.2% of JIAC and 13.2% of CRC (p-value = 0.151). High expression of MUC6 was found in 3.8% of JIAC and 1.6% of CRC (p-value = 0.295). Kaplan–Meier analysis showed that the overall </w:t>
            </w:r>
            <w:r w:rsidRPr="00D95C9E">
              <w:rPr>
                <w:rFonts w:ascii="Calibri" w:eastAsia="Times New Roman" w:hAnsi="Calibri" w:cs="Calibri"/>
                <w:lang w:val="en-GB" w:eastAsia="nl-BE"/>
                <w14:ligatures w14:val="none"/>
              </w:rPr>
              <w:lastRenderedPageBreak/>
              <w:t>survival of patients with JIAC with high MUC1 protein expression was significantly shorter than that of patients with JIAC with low MUC1 expression. Cox’s univariate and multivariate analyses for overall survival showed that the expression of MUC1 was associated with significantly increased risk of poor overall survival, hazard ratio (HR) of univariate analysis, 3.4 [95 % confidence interval (CI), 1.3–9; P = 0.016] HR of multivariate analysis, 5.88 (95 % CI, 1.75–19.7; P = 0.004).</w:t>
            </w:r>
          </w:p>
        </w:tc>
        <w:tc>
          <w:tcPr>
            <w:tcW w:w="1418" w:type="dxa"/>
            <w:noWrap/>
          </w:tcPr>
          <w:p w14:paraId="3D55FAFA" w14:textId="1D95DD49" w:rsidR="00F95E45" w:rsidRPr="00D95C9E" w:rsidRDefault="00F95E45" w:rsidP="00B87D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lastRenderedPageBreak/>
              <w:t>Jejunum, ileum and colorectum</w:t>
            </w:r>
          </w:p>
        </w:tc>
        <w:tc>
          <w:tcPr>
            <w:tcW w:w="1134" w:type="dxa"/>
          </w:tcPr>
          <w:p w14:paraId="268A146D" w14:textId="19570919" w:rsidR="00F95E45" w:rsidRPr="00D95C9E" w:rsidRDefault="00F95E45" w:rsidP="00B87D0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Japan</w:t>
            </w:r>
          </w:p>
        </w:tc>
      </w:tr>
    </w:tbl>
    <w:p w14:paraId="166B6343" w14:textId="25A88817" w:rsidR="00516537" w:rsidRPr="00D95C9E" w:rsidRDefault="00CD5DAF" w:rsidP="00C878CA">
      <w:pPr>
        <w:keepNext/>
        <w:keepLines/>
        <w:spacing w:before="0" w:after="0" w:line="360" w:lineRule="auto"/>
        <w:jc w:val="both"/>
        <w:outlineLvl w:val="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 xml:space="preserve">CRC = colorectal cancer; SIA = small intestinal adenocarcinoma; </w:t>
      </w:r>
      <w:r w:rsidR="00D549A8" w:rsidRPr="00D95C9E">
        <w:rPr>
          <w:rFonts w:ascii="Calibri" w:eastAsia="Times New Roman" w:hAnsi="Calibri" w:cs="Calibri"/>
          <w:lang w:val="en-GB" w:eastAsia="nl-BE"/>
          <w14:ligatures w14:val="none"/>
        </w:rPr>
        <w:t>IHC = immunohistochemistry; MC = mucinous carcinoma; NMC = non-mucinous carcinoma; HNPCC = hereditary non-polyposis colorectal cancer; MSI = microsatellite instability: M</w:t>
      </w:r>
      <w:r w:rsidR="00625347" w:rsidRPr="00D95C9E">
        <w:rPr>
          <w:rFonts w:ascii="Calibri" w:eastAsia="Times New Roman" w:hAnsi="Calibri" w:cs="Calibri"/>
          <w:lang w:val="en-GB" w:eastAsia="nl-BE"/>
          <w14:ligatures w14:val="none"/>
        </w:rPr>
        <w:t>MR = mismatch repair</w:t>
      </w:r>
      <w:r w:rsidR="00D549A8" w:rsidRPr="00D95C9E">
        <w:rPr>
          <w:rFonts w:ascii="Calibri" w:eastAsia="Times New Roman" w:hAnsi="Calibri" w:cs="Calibri"/>
          <w:lang w:val="en-GB" w:eastAsia="nl-BE"/>
          <w14:ligatures w14:val="none"/>
        </w:rPr>
        <w:t xml:space="preserve">; </w:t>
      </w:r>
      <w:r w:rsidR="00663003" w:rsidRPr="00D95C9E">
        <w:rPr>
          <w:rFonts w:ascii="Calibri" w:eastAsia="Times New Roman" w:hAnsi="Calibri" w:cs="Calibri"/>
          <w:lang w:val="en-GB" w:eastAsia="nl-BE"/>
          <w14:ligatures w14:val="none"/>
        </w:rPr>
        <w:t>HGM = human gastric mucin; PFS = progression free survi</w:t>
      </w:r>
      <w:r w:rsidR="00420E54" w:rsidRPr="00D95C9E">
        <w:rPr>
          <w:rFonts w:ascii="Calibri" w:eastAsia="Times New Roman" w:hAnsi="Calibri" w:cs="Calibri"/>
          <w:lang w:val="en-GB" w:eastAsia="nl-BE"/>
          <w14:ligatures w14:val="none"/>
        </w:rPr>
        <w:t>v</w:t>
      </w:r>
      <w:r w:rsidR="00663003" w:rsidRPr="00D95C9E">
        <w:rPr>
          <w:rFonts w:ascii="Calibri" w:eastAsia="Times New Roman" w:hAnsi="Calibri" w:cs="Calibri"/>
          <w:lang w:val="en-GB" w:eastAsia="nl-BE"/>
          <w14:ligatures w14:val="none"/>
        </w:rPr>
        <w:t>al</w:t>
      </w:r>
      <w:r w:rsidR="00420E54" w:rsidRPr="00D95C9E">
        <w:rPr>
          <w:rFonts w:ascii="Calibri" w:eastAsia="Times New Roman" w:hAnsi="Calibri" w:cs="Calibri"/>
          <w:lang w:val="en-GB" w:eastAsia="nl-BE"/>
          <w14:ligatures w14:val="none"/>
        </w:rPr>
        <w:t xml:space="preserve">; CSS = cancer specific survival; </w:t>
      </w:r>
      <w:r w:rsidR="00AA2E7D" w:rsidRPr="00D95C9E">
        <w:rPr>
          <w:rFonts w:ascii="Calibri" w:eastAsia="Times New Roman" w:hAnsi="Calibri" w:cs="Calibri"/>
          <w:lang w:val="en-GB" w:eastAsia="nl-BE"/>
          <w14:ligatures w14:val="none"/>
        </w:rPr>
        <w:t xml:space="preserve">ANCT = adjacent non-cancerous tissue; SBC = small bowel cancer; G-LST = granular type laterally spreading </w:t>
      </w:r>
      <w:r w:rsidR="00F93F05" w:rsidRPr="00D95C9E">
        <w:rPr>
          <w:rFonts w:ascii="Calibri" w:eastAsia="Times New Roman" w:hAnsi="Calibri" w:cs="Calibri"/>
          <w:lang w:val="en-GB" w:eastAsia="nl-BE"/>
          <w14:ligatures w14:val="none"/>
        </w:rPr>
        <w:t>tumour</w:t>
      </w:r>
      <w:r w:rsidR="00AA2E7D" w:rsidRPr="00D95C9E">
        <w:rPr>
          <w:rFonts w:ascii="Calibri" w:eastAsia="Times New Roman" w:hAnsi="Calibri" w:cs="Calibri"/>
          <w:lang w:val="en-GB" w:eastAsia="nl-BE"/>
          <w14:ligatures w14:val="none"/>
        </w:rPr>
        <w:t xml:space="preserve">; NG-LST = non-granular type laterally spreading </w:t>
      </w:r>
      <w:r w:rsidR="00F93F05" w:rsidRPr="00D95C9E">
        <w:rPr>
          <w:rFonts w:ascii="Calibri" w:eastAsia="Times New Roman" w:hAnsi="Calibri" w:cs="Calibri"/>
          <w:lang w:val="en-GB" w:eastAsia="nl-BE"/>
          <w14:ligatures w14:val="none"/>
        </w:rPr>
        <w:t>tumour</w:t>
      </w:r>
      <w:r w:rsidR="00AA2E7D" w:rsidRPr="00D95C9E">
        <w:rPr>
          <w:rFonts w:ascii="Calibri" w:eastAsia="Times New Roman" w:hAnsi="Calibri" w:cs="Calibri"/>
          <w:lang w:val="en-GB" w:eastAsia="nl-BE"/>
          <w14:ligatures w14:val="none"/>
        </w:rPr>
        <w:t>; DFS = disease free survival; DSS = disease specific survival</w:t>
      </w:r>
      <w:r w:rsidR="00B87D09" w:rsidRPr="00D95C9E">
        <w:rPr>
          <w:rFonts w:ascii="Calibri" w:eastAsia="Times New Roman" w:hAnsi="Calibri" w:cs="Calibri"/>
          <w:lang w:val="en-GB" w:eastAsia="nl-BE"/>
          <w14:ligatures w14:val="none"/>
        </w:rPr>
        <w:t>; JIAC = jejunoileal adenocarcinoma</w:t>
      </w:r>
    </w:p>
    <w:p w14:paraId="649FA054" w14:textId="77777777" w:rsidR="00516537" w:rsidRPr="00D95C9E" w:rsidRDefault="00516537">
      <w:pPr>
        <w:rPr>
          <w:rFonts w:ascii="Calibri" w:eastAsia="MS Gothic" w:hAnsi="Calibri" w:cs="Times New Roman"/>
          <w:b/>
          <w:bCs/>
          <w:kern w:val="0"/>
          <w:sz w:val="22"/>
          <w:szCs w:val="24"/>
          <w:lang w:val="en-GB"/>
          <w14:ligatures w14:val="none"/>
        </w:rPr>
      </w:pPr>
      <w:r w:rsidRPr="00D95C9E">
        <w:rPr>
          <w:rFonts w:ascii="Calibri" w:eastAsia="MS Gothic" w:hAnsi="Calibri" w:cs="Times New Roman"/>
          <w:b/>
          <w:bCs/>
          <w:kern w:val="0"/>
          <w:sz w:val="22"/>
          <w:szCs w:val="24"/>
          <w:lang w:val="en-GB"/>
          <w14:ligatures w14:val="none"/>
        </w:rPr>
        <w:br w:type="page"/>
      </w:r>
    </w:p>
    <w:p w14:paraId="2C879083" w14:textId="7F184657" w:rsidR="00AB74B5" w:rsidRPr="00D95C9E" w:rsidRDefault="00A14AB3" w:rsidP="00C878CA">
      <w:pPr>
        <w:keepNext/>
        <w:keepLines/>
        <w:spacing w:before="0" w:after="0" w:line="360" w:lineRule="auto"/>
        <w:jc w:val="both"/>
        <w:outlineLvl w:val="0"/>
        <w:rPr>
          <w:rFonts w:ascii="Calibri" w:eastAsia="MS Gothic" w:hAnsi="Calibri" w:cs="Times New Roman"/>
          <w:b/>
          <w:bCs/>
          <w:kern w:val="0"/>
          <w:sz w:val="22"/>
          <w:szCs w:val="24"/>
          <w:lang w:val="en-GB"/>
          <w14:ligatures w14:val="none"/>
        </w:rPr>
      </w:pPr>
      <w:r w:rsidRPr="00D95C9E">
        <w:rPr>
          <w:rFonts w:ascii="Calibri" w:eastAsia="MS Gothic" w:hAnsi="Calibri" w:cs="Times New Roman"/>
          <w:b/>
          <w:bCs/>
          <w:kern w:val="0"/>
          <w:sz w:val="22"/>
          <w:szCs w:val="24"/>
          <w:lang w:val="en-GB"/>
          <w14:ligatures w14:val="none"/>
        </w:rPr>
        <w:lastRenderedPageBreak/>
        <w:t xml:space="preserve">Supplementary </w:t>
      </w:r>
      <w:r w:rsidR="00521933" w:rsidRPr="00D95C9E">
        <w:rPr>
          <w:rFonts w:ascii="Calibri" w:eastAsia="MS Gothic" w:hAnsi="Calibri" w:cs="Times New Roman"/>
          <w:b/>
          <w:bCs/>
          <w:kern w:val="0"/>
          <w:sz w:val="22"/>
          <w:szCs w:val="24"/>
          <w:lang w:val="en-GB"/>
          <w14:ligatures w14:val="none"/>
        </w:rPr>
        <w:t>T</w:t>
      </w:r>
      <w:r w:rsidRPr="00D95C9E">
        <w:rPr>
          <w:rFonts w:ascii="Calibri" w:eastAsia="MS Gothic" w:hAnsi="Calibri" w:cs="Times New Roman"/>
          <w:b/>
          <w:bCs/>
          <w:kern w:val="0"/>
          <w:sz w:val="22"/>
          <w:szCs w:val="24"/>
          <w:lang w:val="en-GB"/>
          <w14:ligatures w14:val="none"/>
        </w:rPr>
        <w:t xml:space="preserve">able S3: Detailed summary of the included studies </w:t>
      </w:r>
      <w:r w:rsidR="00521933" w:rsidRPr="00D95C9E">
        <w:rPr>
          <w:rFonts w:ascii="Calibri" w:eastAsia="MS Gothic" w:hAnsi="Calibri" w:cs="Times New Roman"/>
          <w:b/>
          <w:bCs/>
          <w:kern w:val="0"/>
          <w:sz w:val="22"/>
          <w:szCs w:val="24"/>
          <w:lang w:val="en-GB"/>
          <w14:ligatures w14:val="none"/>
        </w:rPr>
        <w:t xml:space="preserve">assessing mucin expression </w:t>
      </w:r>
      <w:r w:rsidRPr="00D95C9E">
        <w:rPr>
          <w:rFonts w:ascii="Calibri" w:eastAsia="MS Gothic" w:hAnsi="Calibri" w:cs="Times New Roman"/>
          <w:b/>
          <w:bCs/>
          <w:kern w:val="0"/>
          <w:sz w:val="22"/>
          <w:szCs w:val="24"/>
          <w:lang w:val="en-GB"/>
          <w14:ligatures w14:val="none"/>
        </w:rPr>
        <w:t xml:space="preserve">rare </w:t>
      </w:r>
      <w:r w:rsidR="0012669A" w:rsidRPr="00D95C9E">
        <w:rPr>
          <w:rFonts w:ascii="Calibri" w:eastAsia="MS Gothic" w:hAnsi="Calibri" w:cs="Times New Roman"/>
          <w:b/>
          <w:bCs/>
          <w:kern w:val="0"/>
          <w:sz w:val="22"/>
          <w:szCs w:val="24"/>
          <w:lang w:val="en-GB"/>
          <w14:ligatures w14:val="none"/>
        </w:rPr>
        <w:t>tumours</w:t>
      </w:r>
    </w:p>
    <w:tbl>
      <w:tblPr>
        <w:tblStyle w:val="Lijsttabel4-Accent11"/>
        <w:tblW w:w="0" w:type="auto"/>
        <w:tblLayout w:type="fixed"/>
        <w:tblLook w:val="04A0" w:firstRow="1" w:lastRow="0" w:firstColumn="1" w:lastColumn="0" w:noHBand="0" w:noVBand="1"/>
      </w:tblPr>
      <w:tblGrid>
        <w:gridCol w:w="1432"/>
        <w:gridCol w:w="2316"/>
        <w:gridCol w:w="1070"/>
        <w:gridCol w:w="2208"/>
        <w:gridCol w:w="3364"/>
        <w:gridCol w:w="1308"/>
        <w:gridCol w:w="1148"/>
      </w:tblGrid>
      <w:tr w:rsidR="00705A4E" w:rsidRPr="00D95C9E" w14:paraId="5FF10F4E" w14:textId="45AC4727" w:rsidTr="00912237">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hideMark/>
          </w:tcPr>
          <w:p w14:paraId="67BFAEBB" w14:textId="79789BC0" w:rsidR="00705A4E" w:rsidRPr="00D95C9E" w:rsidRDefault="00705A4E" w:rsidP="00AB74B5">
            <w:pPr>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 xml:space="preserve">Reference + </w:t>
            </w:r>
          </w:p>
          <w:p w14:paraId="3F9F1E2A" w14:textId="77777777" w:rsidR="00705A4E" w:rsidRPr="00D95C9E" w:rsidRDefault="00705A4E" w:rsidP="00AB74B5">
            <w:pPr>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Newcastle-Ottawa score</w:t>
            </w:r>
          </w:p>
        </w:tc>
        <w:tc>
          <w:tcPr>
            <w:tcW w:w="2316" w:type="dxa"/>
            <w:noWrap/>
            <w:hideMark/>
          </w:tcPr>
          <w:p w14:paraId="5655101E" w14:textId="77777777" w:rsidR="00705A4E" w:rsidRPr="00D95C9E" w:rsidRDefault="00705A4E"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Sample</w:t>
            </w:r>
          </w:p>
          <w:p w14:paraId="18582717" w14:textId="77777777" w:rsidR="00705A4E" w:rsidRPr="00D95C9E" w:rsidRDefault="00705A4E"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(number and type)</w:t>
            </w:r>
          </w:p>
        </w:tc>
        <w:tc>
          <w:tcPr>
            <w:tcW w:w="1070" w:type="dxa"/>
            <w:noWrap/>
            <w:hideMark/>
          </w:tcPr>
          <w:p w14:paraId="08E06F2E" w14:textId="77777777" w:rsidR="00705A4E" w:rsidRPr="00D95C9E" w:rsidRDefault="00705A4E"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Mucin</w:t>
            </w:r>
          </w:p>
        </w:tc>
        <w:tc>
          <w:tcPr>
            <w:tcW w:w="2208" w:type="dxa"/>
            <w:noWrap/>
            <w:hideMark/>
          </w:tcPr>
          <w:p w14:paraId="2515F8AD" w14:textId="77777777" w:rsidR="00705A4E" w:rsidRPr="00D95C9E" w:rsidRDefault="00705A4E"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Detection method</w:t>
            </w:r>
          </w:p>
        </w:tc>
        <w:tc>
          <w:tcPr>
            <w:tcW w:w="3364" w:type="dxa"/>
            <w:noWrap/>
            <w:hideMark/>
          </w:tcPr>
          <w:p w14:paraId="56F1CAD4" w14:textId="77777777" w:rsidR="00705A4E" w:rsidRPr="00D95C9E" w:rsidRDefault="00705A4E"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Relevant findings</w:t>
            </w:r>
          </w:p>
        </w:tc>
        <w:tc>
          <w:tcPr>
            <w:tcW w:w="1308" w:type="dxa"/>
            <w:noWrap/>
            <w:hideMark/>
          </w:tcPr>
          <w:p w14:paraId="14FF19E2" w14:textId="77777777" w:rsidR="00705A4E" w:rsidRPr="00D95C9E" w:rsidRDefault="00705A4E"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Location</w:t>
            </w:r>
          </w:p>
        </w:tc>
        <w:tc>
          <w:tcPr>
            <w:tcW w:w="1148" w:type="dxa"/>
          </w:tcPr>
          <w:p w14:paraId="1990B80A" w14:textId="77777777" w:rsidR="00705A4E" w:rsidRPr="00D95C9E" w:rsidRDefault="00705A4E" w:rsidP="00AB74B5">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Country</w:t>
            </w:r>
          </w:p>
        </w:tc>
      </w:tr>
      <w:tr w:rsidR="00C11431" w:rsidRPr="00D95C9E" w14:paraId="306D91E6" w14:textId="77777777" w:rsidTr="0091223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4A3D1E68" w14:textId="20F66719" w:rsidR="00B4449D" w:rsidRPr="00D95C9E" w:rsidRDefault="00C11431" w:rsidP="00B4449D">
            <w:pPr>
              <w:rPr>
                <w:rFonts w:ascii="Calibri" w:eastAsia="Times New Roman" w:hAnsi="Calibri" w:cs="Calibri"/>
                <w:b w:val="0"/>
                <w:bCs w:val="0"/>
                <w:color w:val="000000" w:themeColor="text1"/>
                <w:vertAlign w:val="superscript"/>
                <w:lang w:val="fr-FR" w:eastAsia="nl-BE"/>
                <w14:ligatures w14:val="none"/>
              </w:rPr>
            </w:pPr>
            <w:proofErr w:type="spellStart"/>
            <w:r w:rsidRPr="00D95C9E">
              <w:rPr>
                <w:rFonts w:ascii="Calibri" w:eastAsia="Times New Roman" w:hAnsi="Calibri" w:cs="Calibri"/>
                <w:color w:val="000000" w:themeColor="text1"/>
                <w:lang w:val="fr-FR" w:eastAsia="nl-BE"/>
                <w14:ligatures w14:val="none"/>
              </w:rPr>
              <w:t>Terada</w:t>
            </w:r>
            <w:proofErr w:type="spellEnd"/>
            <w:r w:rsidRPr="00D95C9E">
              <w:rPr>
                <w:rFonts w:ascii="Calibri" w:eastAsia="Times New Roman" w:hAnsi="Calibri" w:cs="Calibri"/>
                <w:color w:val="000000" w:themeColor="text1"/>
                <w:lang w:val="fr-FR" w:eastAsia="nl-BE"/>
                <w14:ligatures w14:val="none"/>
              </w:rPr>
              <w:t>, T. et al.</w:t>
            </w:r>
            <w:r w:rsidRPr="00D95C9E">
              <w:rPr>
                <w:rFonts w:ascii="Calibri" w:eastAsia="Times New Roman" w:hAnsi="Calibri" w:cs="Calibri"/>
                <w:color w:val="000000" w:themeColor="text1"/>
                <w:vertAlign w:val="superscript"/>
                <w:lang w:val="fr-FR" w:eastAsia="nl-BE"/>
                <w14:ligatures w14:val="none"/>
              </w:rPr>
              <w:t xml:space="preserve"> 6</w:t>
            </w:r>
            <w:r w:rsidR="00C34912">
              <w:rPr>
                <w:rFonts w:ascii="Calibri" w:eastAsia="Times New Roman" w:hAnsi="Calibri" w:cs="Calibri"/>
                <w:color w:val="000000" w:themeColor="text1"/>
                <w:vertAlign w:val="superscript"/>
                <w:lang w:val="fr-FR" w:eastAsia="nl-BE"/>
                <w14:ligatures w14:val="none"/>
              </w:rPr>
              <w:t>4</w:t>
            </w:r>
          </w:p>
          <w:p w14:paraId="52CF8EF4" w14:textId="2CD032E4" w:rsidR="00C11431" w:rsidRPr="00D95C9E" w:rsidRDefault="00C11431" w:rsidP="00B4449D">
            <w:pPr>
              <w:rPr>
                <w:rFonts w:ascii="Calibri" w:eastAsia="Times New Roman" w:hAnsi="Calibri" w:cs="Calibri"/>
                <w:color w:val="000000" w:themeColor="text1"/>
                <w:lang w:val="fr-FR" w:eastAsia="nl-BE"/>
                <w14:ligatures w14:val="none"/>
              </w:rPr>
            </w:pPr>
            <w:r w:rsidRPr="00D95C9E">
              <w:rPr>
                <w:rFonts w:ascii="Calibri" w:eastAsia="Times New Roman" w:hAnsi="Calibri" w:cs="Calibri"/>
                <w:color w:val="000000" w:themeColor="text1"/>
                <w:lang w:val="fr-FR" w:eastAsia="nl-BE"/>
                <w14:ligatures w14:val="none"/>
              </w:rPr>
              <w:t>Score: 8</w:t>
            </w:r>
          </w:p>
        </w:tc>
        <w:tc>
          <w:tcPr>
            <w:tcW w:w="2316" w:type="dxa"/>
            <w:noWrap/>
          </w:tcPr>
          <w:p w14:paraId="7FAC1575" w14:textId="60292D75" w:rsidR="00C11431" w:rsidRPr="00D95C9E" w:rsidRDefault="00AA3667"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Colonic SRCC</w:t>
            </w:r>
            <w:r w:rsidR="00C11431" w:rsidRPr="00D95C9E">
              <w:rPr>
                <w:rFonts w:ascii="Calibri" w:eastAsia="Times New Roman" w:hAnsi="Calibri" w:cs="Calibri"/>
                <w:color w:val="000000"/>
                <w:lang w:val="en-GB" w:eastAsia="nl-BE"/>
                <w14:ligatures w14:val="none"/>
              </w:rPr>
              <w:t xml:space="preserve"> (n = 12); normal colonic mucosae (n = 12; from adjacent non-cancerous tissue)</w:t>
            </w:r>
          </w:p>
        </w:tc>
        <w:tc>
          <w:tcPr>
            <w:tcW w:w="1070" w:type="dxa"/>
            <w:noWrap/>
          </w:tcPr>
          <w:p w14:paraId="07C01C26" w14:textId="5D5C0C13"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 MUC6</w:t>
            </w:r>
          </w:p>
        </w:tc>
        <w:tc>
          <w:tcPr>
            <w:tcW w:w="2208" w:type="dxa"/>
            <w:noWrap/>
          </w:tcPr>
          <w:p w14:paraId="70048DFB" w14:textId="2F482333"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79C7CE84" w14:textId="7D7B1D63"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Significant differences in the expression of MUC1 (stomach SRCC 10% vs colorectal SRCC 42%), MUC2 (13% vs 92%), MUC5AC (67% vs 33%), and MUC6 (70% vs 0%).</w:t>
            </w:r>
          </w:p>
        </w:tc>
        <w:tc>
          <w:tcPr>
            <w:tcW w:w="1308" w:type="dxa"/>
            <w:noWrap/>
          </w:tcPr>
          <w:p w14:paraId="014A935F" w14:textId="77235234"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Stomach and colorectum</w:t>
            </w:r>
          </w:p>
        </w:tc>
        <w:tc>
          <w:tcPr>
            <w:tcW w:w="1148" w:type="dxa"/>
          </w:tcPr>
          <w:p w14:paraId="250448E7" w14:textId="21157CD2"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C11431" w:rsidRPr="00D95C9E" w14:paraId="21714737" w14:textId="77777777" w:rsidTr="00912237">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5F60F4CF" w14:textId="09EA9630" w:rsidR="00C11431" w:rsidRPr="00C34912" w:rsidRDefault="00C11431" w:rsidP="00C11431">
            <w:pPr>
              <w:rPr>
                <w:rFonts w:ascii="Calibri" w:eastAsia="Times New Roman" w:hAnsi="Calibri" w:cs="Calibri"/>
                <w:color w:val="000000" w:themeColor="text1"/>
                <w:lang w:eastAsia="nl-BE"/>
                <w14:ligatures w14:val="none"/>
              </w:rPr>
            </w:pPr>
            <w:proofErr w:type="spellStart"/>
            <w:r w:rsidRPr="00C34912">
              <w:rPr>
                <w:rFonts w:ascii="Calibri" w:eastAsia="Times New Roman" w:hAnsi="Calibri" w:cs="Calibri"/>
                <w:color w:val="000000" w:themeColor="text1"/>
                <w:lang w:eastAsia="nl-BE"/>
                <w14:ligatures w14:val="none"/>
              </w:rPr>
              <w:t>Winn</w:t>
            </w:r>
            <w:proofErr w:type="spellEnd"/>
            <w:r w:rsidRPr="00C34912">
              <w:rPr>
                <w:rFonts w:ascii="Calibri" w:eastAsia="Times New Roman" w:hAnsi="Calibri" w:cs="Calibri"/>
                <w:color w:val="000000" w:themeColor="text1"/>
                <w:lang w:eastAsia="nl-BE"/>
                <w14:ligatures w14:val="none"/>
              </w:rPr>
              <w:t xml:space="preserve"> B. et al.</w:t>
            </w:r>
            <w:r w:rsidRPr="00C34912">
              <w:rPr>
                <w:rFonts w:ascii="Calibri" w:eastAsia="Times New Roman" w:hAnsi="Calibri" w:cs="Calibri"/>
                <w:color w:val="000000" w:themeColor="text1"/>
                <w:vertAlign w:val="superscript"/>
                <w:lang w:eastAsia="nl-BE"/>
                <w14:ligatures w14:val="none"/>
              </w:rPr>
              <w:t xml:space="preserve"> 6</w:t>
            </w:r>
            <w:r w:rsidR="00C34912">
              <w:rPr>
                <w:rFonts w:ascii="Calibri" w:eastAsia="Times New Roman" w:hAnsi="Calibri" w:cs="Calibri"/>
                <w:color w:val="000000" w:themeColor="text1"/>
                <w:vertAlign w:val="superscript"/>
                <w:lang w:eastAsia="nl-BE"/>
                <w14:ligatures w14:val="none"/>
              </w:rPr>
              <w:t>5</w:t>
            </w:r>
          </w:p>
          <w:p w14:paraId="2CE0CBB5" w14:textId="259C860A" w:rsidR="00C11431" w:rsidRPr="00C34912" w:rsidRDefault="00C11431" w:rsidP="00C11431">
            <w:pPr>
              <w:rPr>
                <w:rFonts w:ascii="Calibri" w:eastAsia="Times New Roman" w:hAnsi="Calibri" w:cs="Calibri"/>
                <w:color w:val="000000" w:themeColor="text1"/>
                <w:lang w:eastAsia="nl-BE"/>
                <w14:ligatures w14:val="none"/>
              </w:rPr>
            </w:pPr>
            <w:r w:rsidRPr="00C34912">
              <w:rPr>
                <w:rFonts w:ascii="Calibri" w:eastAsia="Times New Roman" w:hAnsi="Calibri" w:cs="Calibri"/>
                <w:color w:val="000000" w:themeColor="text1"/>
                <w:lang w:eastAsia="nl-BE"/>
                <w14:ligatures w14:val="none"/>
              </w:rPr>
              <w:t>Score: 5</w:t>
            </w:r>
          </w:p>
        </w:tc>
        <w:tc>
          <w:tcPr>
            <w:tcW w:w="2316" w:type="dxa"/>
            <w:noWrap/>
          </w:tcPr>
          <w:p w14:paraId="46F3B4C6" w14:textId="32D58921" w:rsidR="00C11431" w:rsidRPr="00D95C9E" w:rsidRDefault="00D77588"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Medullary carcinoma</w:t>
            </w:r>
            <w:r w:rsidR="00C11431" w:rsidRPr="00D95C9E">
              <w:rPr>
                <w:rFonts w:ascii="Calibri" w:eastAsia="Times New Roman" w:hAnsi="Calibri" w:cs="Calibri"/>
                <w:color w:val="000000"/>
                <w:lang w:val="en-GB" w:eastAsia="nl-BE"/>
                <w14:ligatures w14:val="none"/>
              </w:rPr>
              <w:t xml:space="preserve"> (n = 16); no normal colonic mucosae</w:t>
            </w:r>
          </w:p>
        </w:tc>
        <w:tc>
          <w:tcPr>
            <w:tcW w:w="1070" w:type="dxa"/>
            <w:noWrap/>
          </w:tcPr>
          <w:p w14:paraId="0E6AD77D" w14:textId="6C5B5C73"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w:t>
            </w:r>
          </w:p>
        </w:tc>
        <w:tc>
          <w:tcPr>
            <w:tcW w:w="2208" w:type="dxa"/>
            <w:noWrap/>
          </w:tcPr>
          <w:p w14:paraId="33D99BCB" w14:textId="55C622E8"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IHC </w:t>
            </w:r>
          </w:p>
        </w:tc>
        <w:tc>
          <w:tcPr>
            <w:tcW w:w="3364" w:type="dxa"/>
            <w:noWrap/>
          </w:tcPr>
          <w:p w14:paraId="3E3A9C3A" w14:textId="3C508EDA"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Evidence of intestinal differentiation by MUC-1, MUC-2 staining was seen in 67 and 60% of the </w:t>
            </w:r>
            <w:r w:rsidR="00D77588" w:rsidRPr="00D95C9E">
              <w:rPr>
                <w:rFonts w:ascii="Calibri" w:eastAsia="Times New Roman" w:hAnsi="Calibri" w:cs="Calibri"/>
                <w:color w:val="000000"/>
                <w:lang w:val="en-GB" w:eastAsia="nl-BE"/>
                <w14:ligatures w14:val="none"/>
              </w:rPr>
              <w:t>medullary carcinomas</w:t>
            </w:r>
            <w:r w:rsidRPr="00D95C9E">
              <w:rPr>
                <w:rFonts w:ascii="Calibri" w:eastAsia="Times New Roman" w:hAnsi="Calibri" w:cs="Calibri"/>
                <w:color w:val="000000"/>
                <w:lang w:val="en-GB" w:eastAsia="nl-BE"/>
                <w14:ligatures w14:val="none"/>
              </w:rPr>
              <w:t xml:space="preserve"> respectively. Medullary carcinoma of the colon retains a significant degree of intestinal differentiation as evidenced by its high percentage of staining for MUC-1, MUC-2.</w:t>
            </w:r>
          </w:p>
        </w:tc>
        <w:tc>
          <w:tcPr>
            <w:tcW w:w="1308" w:type="dxa"/>
            <w:noWrap/>
          </w:tcPr>
          <w:p w14:paraId="698842F8" w14:textId="0BFC4DB6"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Colon</w:t>
            </w:r>
          </w:p>
        </w:tc>
        <w:tc>
          <w:tcPr>
            <w:tcW w:w="1148" w:type="dxa"/>
          </w:tcPr>
          <w:p w14:paraId="2B7E257F" w14:textId="693DE88D"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USA</w:t>
            </w:r>
          </w:p>
        </w:tc>
      </w:tr>
      <w:tr w:rsidR="00C11431" w:rsidRPr="00D95C9E" w14:paraId="2F4C7387" w14:textId="77777777" w:rsidTr="0091223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64B345B0" w14:textId="49B97679" w:rsidR="00C11431" w:rsidRPr="00D95C9E" w:rsidRDefault="00C11431" w:rsidP="00C11431">
            <w:pPr>
              <w:rPr>
                <w:rFonts w:ascii="Calibri" w:eastAsia="Times New Roman" w:hAnsi="Calibri" w:cs="Calibri"/>
                <w:color w:val="000000" w:themeColor="text1"/>
                <w:lang w:val="fr-FR" w:eastAsia="nl-BE"/>
                <w14:ligatures w14:val="none"/>
              </w:rPr>
            </w:pPr>
            <w:r w:rsidRPr="00D95C9E">
              <w:rPr>
                <w:rFonts w:ascii="Calibri" w:eastAsia="Times New Roman" w:hAnsi="Calibri" w:cs="Calibri"/>
                <w:color w:val="000000" w:themeColor="text1"/>
                <w:lang w:val="fr-FR" w:eastAsia="nl-BE"/>
                <w14:ligatures w14:val="none"/>
              </w:rPr>
              <w:t>Kurosawa T. et al.</w:t>
            </w:r>
            <w:r w:rsidRPr="00D95C9E">
              <w:rPr>
                <w:rFonts w:ascii="Calibri" w:eastAsia="Times New Roman" w:hAnsi="Calibri" w:cs="Calibri"/>
                <w:color w:val="000000" w:themeColor="text1"/>
                <w:vertAlign w:val="superscript"/>
                <w:lang w:val="fr-FR" w:eastAsia="nl-BE"/>
                <w14:ligatures w14:val="none"/>
              </w:rPr>
              <w:t xml:space="preserve"> 6</w:t>
            </w:r>
            <w:r w:rsidR="00C34912">
              <w:rPr>
                <w:rFonts w:ascii="Calibri" w:eastAsia="Times New Roman" w:hAnsi="Calibri" w:cs="Calibri"/>
                <w:color w:val="000000" w:themeColor="text1"/>
                <w:vertAlign w:val="superscript"/>
                <w:lang w:val="fr-FR" w:eastAsia="nl-BE"/>
                <w14:ligatures w14:val="none"/>
              </w:rPr>
              <w:t>6</w:t>
            </w:r>
          </w:p>
          <w:p w14:paraId="35312DFC" w14:textId="4C856FCA" w:rsidR="00C11431" w:rsidRPr="00D95C9E" w:rsidRDefault="00C11431" w:rsidP="00C11431">
            <w:pPr>
              <w:rPr>
                <w:rFonts w:ascii="Calibri" w:eastAsia="Times New Roman" w:hAnsi="Calibri" w:cs="Calibri"/>
                <w:color w:val="000000" w:themeColor="text1"/>
                <w:lang w:val="fr-FR" w:eastAsia="nl-BE"/>
                <w14:ligatures w14:val="none"/>
              </w:rPr>
            </w:pPr>
            <w:r w:rsidRPr="00D95C9E">
              <w:rPr>
                <w:rFonts w:ascii="Calibri" w:eastAsia="Times New Roman" w:hAnsi="Calibri" w:cs="Calibri"/>
                <w:color w:val="000000" w:themeColor="text1"/>
                <w:lang w:val="fr-FR" w:eastAsia="nl-BE"/>
                <w14:ligatures w14:val="none"/>
              </w:rPr>
              <w:t>Score: 7</w:t>
            </w:r>
          </w:p>
        </w:tc>
        <w:tc>
          <w:tcPr>
            <w:tcW w:w="2316" w:type="dxa"/>
            <w:noWrap/>
          </w:tcPr>
          <w:p w14:paraId="3ABDEC7F" w14:textId="361E8614"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CAED (n = 42), no normal colonic mucosae</w:t>
            </w:r>
          </w:p>
        </w:tc>
        <w:tc>
          <w:tcPr>
            <w:tcW w:w="1070" w:type="dxa"/>
            <w:noWrap/>
          </w:tcPr>
          <w:p w14:paraId="232696B6" w14:textId="4C0A841B"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 MUC6</w:t>
            </w:r>
          </w:p>
        </w:tc>
        <w:tc>
          <w:tcPr>
            <w:tcW w:w="2208" w:type="dxa"/>
            <w:noWrap/>
          </w:tcPr>
          <w:p w14:paraId="1A707E0A" w14:textId="4A7AEDA7"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68A008C4" w14:textId="7B707829"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MUC5AC positive </w:t>
            </w:r>
            <w:r w:rsidRPr="00D95C9E">
              <w:rPr>
                <w:rFonts w:ascii="Calibri" w:eastAsia="Times New Roman" w:hAnsi="Calibri" w:cs="Calibri"/>
                <w:b/>
                <w:bCs/>
                <w:color w:val="000000"/>
                <w:lang w:val="en-GB" w:eastAsia="nl-BE"/>
                <w14:ligatures w14:val="none"/>
              </w:rPr>
              <w:t>CAED</w:t>
            </w:r>
            <w:r w:rsidRPr="00D95C9E">
              <w:rPr>
                <w:rFonts w:ascii="Calibri" w:eastAsia="Times New Roman" w:hAnsi="Calibri" w:cs="Calibri"/>
                <w:color w:val="000000"/>
                <w:lang w:val="en-GB" w:eastAsia="nl-BE"/>
                <w14:ligatures w14:val="none"/>
              </w:rPr>
              <w:t xml:space="preserve"> tend to have larger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masses (p &lt; 0.05) and originate from right side of the colon (p = 0.032). Small-intestinal type and unclassified type were dominant in our CAED cases, and there were more gastric type and less large-intestinal type than “usual” CRCs (p = 0.015). CAED with gastric type tended to have larger </w:t>
            </w:r>
            <w:r w:rsidR="0012669A" w:rsidRPr="00D95C9E">
              <w:rPr>
                <w:rFonts w:ascii="Calibri" w:eastAsia="Times New Roman" w:hAnsi="Calibri" w:cs="Calibri"/>
                <w:color w:val="000000"/>
                <w:lang w:val="en-GB" w:eastAsia="nl-BE"/>
                <w14:ligatures w14:val="none"/>
              </w:rPr>
              <w:t>tumour</w:t>
            </w:r>
            <w:r w:rsidRPr="00D95C9E">
              <w:rPr>
                <w:rFonts w:ascii="Calibri" w:eastAsia="Times New Roman" w:hAnsi="Calibri" w:cs="Calibri"/>
                <w:color w:val="000000"/>
                <w:lang w:val="en-GB" w:eastAsia="nl-BE"/>
                <w14:ligatures w14:val="none"/>
              </w:rPr>
              <w:t xml:space="preserve"> masses (p = 0.039) and originate from right </w:t>
            </w:r>
            <w:r w:rsidRPr="00D95C9E">
              <w:rPr>
                <w:rFonts w:ascii="Calibri" w:eastAsia="Times New Roman" w:hAnsi="Calibri" w:cs="Calibri"/>
                <w:color w:val="000000"/>
                <w:lang w:val="en-GB" w:eastAsia="nl-BE"/>
                <w14:ligatures w14:val="none"/>
              </w:rPr>
              <w:lastRenderedPageBreak/>
              <w:t>side of the colon (p = 0.007). There were more cases with small-intestinal and unclassified types in which some liver metastases and stage IV diseases were found though they were not statistically significant. Unclassified type showed fewer cases with lymph node metastases than other types (6 cases, 40.0%, p = 0.047).</w:t>
            </w:r>
          </w:p>
        </w:tc>
        <w:tc>
          <w:tcPr>
            <w:tcW w:w="1308" w:type="dxa"/>
            <w:noWrap/>
          </w:tcPr>
          <w:p w14:paraId="5E7D3DD0" w14:textId="27436F05"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Colorectum</w:t>
            </w:r>
          </w:p>
        </w:tc>
        <w:tc>
          <w:tcPr>
            <w:tcW w:w="1148" w:type="dxa"/>
          </w:tcPr>
          <w:p w14:paraId="05B94303" w14:textId="6106D1FB"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C11431" w:rsidRPr="00D95C9E" w14:paraId="41299467" w14:textId="156B41F8" w:rsidTr="00912237">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3DE4FB9A" w14:textId="667303E7" w:rsidR="00C11431" w:rsidRPr="00D95C9E" w:rsidRDefault="00C11431" w:rsidP="00C11431">
            <w:pPr>
              <w:rPr>
                <w:rFonts w:ascii="Calibri" w:eastAsia="Times New Roman" w:hAnsi="Calibri" w:cs="Calibri"/>
                <w:color w:val="000000" w:themeColor="text1"/>
                <w:lang w:val="fr-FR" w:eastAsia="nl-BE"/>
                <w14:ligatures w14:val="none"/>
              </w:rPr>
            </w:pPr>
            <w:r w:rsidRPr="00D95C9E">
              <w:rPr>
                <w:rFonts w:ascii="Calibri" w:eastAsia="Times New Roman" w:hAnsi="Calibri" w:cs="Calibri"/>
                <w:color w:val="000000" w:themeColor="text1"/>
                <w:lang w:val="fr-FR" w:eastAsia="nl-BE"/>
                <w14:ligatures w14:val="none"/>
              </w:rPr>
              <w:t>Chang M.S. et al.</w:t>
            </w:r>
            <w:r w:rsidRPr="00D95C9E">
              <w:rPr>
                <w:rFonts w:ascii="Calibri" w:eastAsia="Times New Roman" w:hAnsi="Calibri" w:cs="Calibri"/>
                <w:color w:val="000000" w:themeColor="text1"/>
                <w:vertAlign w:val="superscript"/>
                <w:lang w:val="fr-FR" w:eastAsia="nl-BE"/>
                <w14:ligatures w14:val="none"/>
              </w:rPr>
              <w:t xml:space="preserve"> 6</w:t>
            </w:r>
            <w:r w:rsidR="00C34912">
              <w:rPr>
                <w:rFonts w:ascii="Calibri" w:eastAsia="Times New Roman" w:hAnsi="Calibri" w:cs="Calibri"/>
                <w:color w:val="000000" w:themeColor="text1"/>
                <w:vertAlign w:val="superscript"/>
                <w:lang w:val="fr-FR" w:eastAsia="nl-BE"/>
                <w14:ligatures w14:val="none"/>
              </w:rPr>
              <w:t>7</w:t>
            </w:r>
          </w:p>
          <w:p w14:paraId="14951BBD" w14:textId="77777777" w:rsidR="00C11431" w:rsidRPr="00D95C9E" w:rsidRDefault="00C11431" w:rsidP="00C11431">
            <w:pPr>
              <w:rPr>
                <w:rFonts w:ascii="Calibri" w:eastAsia="Times New Roman" w:hAnsi="Calibri" w:cs="Calibri"/>
                <w:color w:val="000000" w:themeColor="text1"/>
                <w:lang w:val="en-GB" w:eastAsia="nl-BE"/>
                <w14:ligatures w14:val="none"/>
              </w:rPr>
            </w:pPr>
            <w:r w:rsidRPr="00D95C9E">
              <w:rPr>
                <w:rFonts w:ascii="Calibri" w:eastAsia="Times New Roman" w:hAnsi="Calibri" w:cs="Calibri"/>
                <w:color w:val="000000" w:themeColor="text1"/>
                <w:lang w:val="en-GB" w:eastAsia="nl-BE"/>
                <w14:ligatures w14:val="none"/>
              </w:rPr>
              <w:t>Score: 5</w:t>
            </w:r>
          </w:p>
        </w:tc>
        <w:tc>
          <w:tcPr>
            <w:tcW w:w="2316" w:type="dxa"/>
            <w:noWrap/>
          </w:tcPr>
          <w:p w14:paraId="3755DE81" w14:textId="10327D3F"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Appendiceal mucinous adenoma (n = 22); NUMP (n = 20); appendiceal mucinous adenocarcinoma (n = 14); no normal colonic mucosae</w:t>
            </w:r>
          </w:p>
        </w:tc>
        <w:tc>
          <w:tcPr>
            <w:tcW w:w="1070" w:type="dxa"/>
            <w:noWrap/>
          </w:tcPr>
          <w:p w14:paraId="7445C138" w14:textId="77777777"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MUC5AC</w:t>
            </w:r>
          </w:p>
        </w:tc>
        <w:tc>
          <w:tcPr>
            <w:tcW w:w="2208" w:type="dxa"/>
            <w:noWrap/>
          </w:tcPr>
          <w:p w14:paraId="331270B0" w14:textId="3AF598B5"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Fluorescence in situ hybridization; IHC</w:t>
            </w:r>
          </w:p>
        </w:tc>
        <w:tc>
          <w:tcPr>
            <w:tcW w:w="3364" w:type="dxa"/>
            <w:noWrap/>
          </w:tcPr>
          <w:p w14:paraId="6579E6C7" w14:textId="77777777"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MUC2 was </w:t>
            </w:r>
            <w:proofErr w:type="spellStart"/>
            <w:r w:rsidRPr="00D95C9E">
              <w:rPr>
                <w:rFonts w:ascii="Calibri" w:eastAsia="Times New Roman" w:hAnsi="Calibri" w:cs="Calibri"/>
                <w:color w:val="000000"/>
                <w:lang w:val="en-GB" w:eastAsia="nl-BE"/>
                <w14:ligatures w14:val="none"/>
              </w:rPr>
              <w:t>immunopositive</w:t>
            </w:r>
            <w:proofErr w:type="spellEnd"/>
            <w:r w:rsidRPr="00D95C9E">
              <w:rPr>
                <w:rFonts w:ascii="Calibri" w:eastAsia="Times New Roman" w:hAnsi="Calibri" w:cs="Calibri"/>
                <w:color w:val="000000"/>
                <w:lang w:val="en-GB" w:eastAsia="nl-BE"/>
                <w14:ligatures w14:val="none"/>
              </w:rPr>
              <w:t xml:space="preserve"> in 64% of mucinous adenocarcinomas versus 9% of cases with mucinous adenoma and no cases of mucinous neoplasm of uncertain malignant potential. MUC5AC was </w:t>
            </w:r>
            <w:proofErr w:type="spellStart"/>
            <w:r w:rsidRPr="00D95C9E">
              <w:rPr>
                <w:rFonts w:ascii="Calibri" w:eastAsia="Times New Roman" w:hAnsi="Calibri" w:cs="Calibri"/>
                <w:color w:val="000000"/>
                <w:lang w:val="en-GB" w:eastAsia="nl-BE"/>
                <w14:ligatures w14:val="none"/>
              </w:rPr>
              <w:t>immunopositive</w:t>
            </w:r>
            <w:proofErr w:type="spellEnd"/>
            <w:r w:rsidRPr="00D95C9E">
              <w:rPr>
                <w:rFonts w:ascii="Calibri" w:eastAsia="Times New Roman" w:hAnsi="Calibri" w:cs="Calibri"/>
                <w:color w:val="000000"/>
                <w:lang w:val="en-GB" w:eastAsia="nl-BE"/>
                <w14:ligatures w14:val="none"/>
              </w:rPr>
              <w:t xml:space="preserve"> in 43% of mucinous adenocarcinomas, whereas it was </w:t>
            </w:r>
            <w:proofErr w:type="spellStart"/>
            <w:r w:rsidRPr="00D95C9E">
              <w:rPr>
                <w:rFonts w:ascii="Calibri" w:eastAsia="Times New Roman" w:hAnsi="Calibri" w:cs="Calibri"/>
                <w:color w:val="000000"/>
                <w:lang w:val="en-GB" w:eastAsia="nl-BE"/>
                <w14:ligatures w14:val="none"/>
              </w:rPr>
              <w:t>immunonegative</w:t>
            </w:r>
            <w:proofErr w:type="spellEnd"/>
            <w:r w:rsidRPr="00D95C9E">
              <w:rPr>
                <w:rFonts w:ascii="Calibri" w:eastAsia="Times New Roman" w:hAnsi="Calibri" w:cs="Calibri"/>
                <w:color w:val="000000"/>
                <w:lang w:val="en-GB" w:eastAsia="nl-BE"/>
                <w14:ligatures w14:val="none"/>
              </w:rPr>
              <w:t xml:space="preserve"> in all cases of mucinous adenoma and mucinous neoplasm of</w:t>
            </w:r>
          </w:p>
          <w:p w14:paraId="10974E24" w14:textId="77777777"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uncertain malignant potential.</w:t>
            </w:r>
          </w:p>
        </w:tc>
        <w:tc>
          <w:tcPr>
            <w:tcW w:w="1308" w:type="dxa"/>
            <w:noWrap/>
          </w:tcPr>
          <w:p w14:paraId="179D797F" w14:textId="77777777"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Appendix</w:t>
            </w:r>
          </w:p>
        </w:tc>
        <w:tc>
          <w:tcPr>
            <w:tcW w:w="1148" w:type="dxa"/>
          </w:tcPr>
          <w:p w14:paraId="0F4ABC61" w14:textId="77777777"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Korea</w:t>
            </w:r>
          </w:p>
        </w:tc>
      </w:tr>
      <w:tr w:rsidR="00C11431" w:rsidRPr="00D95C9E" w14:paraId="4A3F8501" w14:textId="64FE6527" w:rsidTr="0091223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68A82AED" w14:textId="1EE3EB26" w:rsidR="00C11431" w:rsidRPr="00C34912" w:rsidRDefault="00C11431" w:rsidP="00C11431">
            <w:pPr>
              <w:rPr>
                <w:rFonts w:ascii="Calibri" w:eastAsia="Times New Roman" w:hAnsi="Calibri" w:cs="Calibri"/>
                <w:color w:val="000000" w:themeColor="text1"/>
                <w:lang w:eastAsia="nl-BE"/>
                <w14:ligatures w14:val="none"/>
              </w:rPr>
            </w:pPr>
            <w:proofErr w:type="spellStart"/>
            <w:r w:rsidRPr="00C34912">
              <w:rPr>
                <w:rFonts w:ascii="Calibri" w:eastAsia="Times New Roman" w:hAnsi="Calibri" w:cs="Calibri"/>
                <w:color w:val="000000" w:themeColor="text1"/>
                <w:lang w:eastAsia="nl-BE"/>
                <w14:ligatures w14:val="none"/>
              </w:rPr>
              <w:t>Yoon</w:t>
            </w:r>
            <w:proofErr w:type="spellEnd"/>
            <w:r w:rsidRPr="00C34912">
              <w:rPr>
                <w:rFonts w:ascii="Calibri" w:eastAsia="Times New Roman" w:hAnsi="Calibri" w:cs="Calibri"/>
                <w:color w:val="000000" w:themeColor="text1"/>
                <w:lang w:eastAsia="nl-BE"/>
                <w14:ligatures w14:val="none"/>
              </w:rPr>
              <w:t xml:space="preserve"> S.O. et al.</w:t>
            </w:r>
            <w:r w:rsidRPr="00C34912">
              <w:rPr>
                <w:rFonts w:ascii="Calibri" w:eastAsia="Times New Roman" w:hAnsi="Calibri" w:cs="Calibri"/>
                <w:color w:val="000000" w:themeColor="text1"/>
                <w:vertAlign w:val="superscript"/>
                <w:lang w:eastAsia="nl-BE"/>
                <w14:ligatures w14:val="none"/>
              </w:rPr>
              <w:t xml:space="preserve"> 6</w:t>
            </w:r>
            <w:r w:rsidR="00C34912">
              <w:rPr>
                <w:rFonts w:ascii="Calibri" w:eastAsia="Times New Roman" w:hAnsi="Calibri" w:cs="Calibri"/>
                <w:color w:val="000000" w:themeColor="text1"/>
                <w:vertAlign w:val="superscript"/>
                <w:lang w:eastAsia="nl-BE"/>
                <w14:ligatures w14:val="none"/>
              </w:rPr>
              <w:t>8</w:t>
            </w:r>
          </w:p>
          <w:p w14:paraId="6FD18680" w14:textId="1683C434" w:rsidR="00C11431" w:rsidRPr="00D95C9E" w:rsidRDefault="00C11431" w:rsidP="00C11431">
            <w:pPr>
              <w:rPr>
                <w:rFonts w:ascii="Calibri" w:eastAsia="Times New Roman" w:hAnsi="Calibri" w:cs="Calibri"/>
                <w:color w:val="000000" w:themeColor="text1"/>
                <w:lang w:val="en-GB" w:eastAsia="nl-BE"/>
                <w14:ligatures w14:val="none"/>
              </w:rPr>
            </w:pPr>
            <w:r w:rsidRPr="00D95C9E">
              <w:rPr>
                <w:rFonts w:ascii="Calibri" w:eastAsia="Times New Roman" w:hAnsi="Calibri" w:cs="Calibri"/>
                <w:color w:val="000000" w:themeColor="text1"/>
                <w:lang w:val="en-GB" w:eastAsia="nl-BE"/>
                <w14:ligatures w14:val="none"/>
              </w:rPr>
              <w:t>Score: 5</w:t>
            </w:r>
          </w:p>
        </w:tc>
        <w:tc>
          <w:tcPr>
            <w:tcW w:w="2316" w:type="dxa"/>
            <w:noWrap/>
          </w:tcPr>
          <w:p w14:paraId="5421BEE1" w14:textId="1A6640D9"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Appendiceal mucinous adenoma (n = 32</w:t>
            </w:r>
            <w:r w:rsidR="0061594C" w:rsidRPr="00D95C9E">
              <w:rPr>
                <w:rFonts w:ascii="Calibri" w:eastAsia="Times New Roman" w:hAnsi="Calibri" w:cs="Calibri"/>
                <w:color w:val="000000"/>
                <w:lang w:val="en-GB" w:eastAsia="nl-BE"/>
                <w14:ligatures w14:val="none"/>
              </w:rPr>
              <w:t>); appendiceal</w:t>
            </w:r>
            <w:r w:rsidRPr="00D95C9E">
              <w:rPr>
                <w:rFonts w:ascii="Calibri" w:eastAsia="Times New Roman" w:hAnsi="Calibri" w:cs="Calibri"/>
                <w:color w:val="000000"/>
                <w:lang w:val="en-GB" w:eastAsia="nl-BE"/>
                <w14:ligatures w14:val="none"/>
              </w:rPr>
              <w:t xml:space="preserve"> mucinous NUMP (n = 23); appendiceal mucinous adenocarcinoma (n = 15); no normal colonic mucosae</w:t>
            </w:r>
          </w:p>
        </w:tc>
        <w:tc>
          <w:tcPr>
            <w:tcW w:w="1070" w:type="dxa"/>
            <w:noWrap/>
          </w:tcPr>
          <w:p w14:paraId="2DA4AA9C" w14:textId="31718365"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MUC1, MUC2, MUC5AC, MUC6</w:t>
            </w:r>
          </w:p>
        </w:tc>
        <w:tc>
          <w:tcPr>
            <w:tcW w:w="2208" w:type="dxa"/>
            <w:noWrap/>
          </w:tcPr>
          <w:p w14:paraId="2131F997" w14:textId="6ACA7D6D"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IHC</w:t>
            </w:r>
          </w:p>
        </w:tc>
        <w:tc>
          <w:tcPr>
            <w:tcW w:w="3364" w:type="dxa"/>
            <w:noWrap/>
          </w:tcPr>
          <w:p w14:paraId="490B44E8" w14:textId="753AA03A" w:rsidR="00C11431" w:rsidRPr="00D95C9E" w:rsidRDefault="00C11431" w:rsidP="00C11431">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MUC2 and MUC5AC were more frequently positive in the mucinous adenocarcinoma group than in the mucinous adenoma group (P&lt;0.05).</w:t>
            </w:r>
          </w:p>
        </w:tc>
        <w:tc>
          <w:tcPr>
            <w:tcW w:w="1308" w:type="dxa"/>
            <w:noWrap/>
          </w:tcPr>
          <w:p w14:paraId="505F495A" w14:textId="6521C4FC"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Appendix</w:t>
            </w:r>
          </w:p>
        </w:tc>
        <w:tc>
          <w:tcPr>
            <w:tcW w:w="1148" w:type="dxa"/>
          </w:tcPr>
          <w:p w14:paraId="728DF010" w14:textId="5B8ED162" w:rsidR="00C11431" w:rsidRPr="00D95C9E" w:rsidRDefault="00C11431" w:rsidP="00C1143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Korea</w:t>
            </w:r>
          </w:p>
        </w:tc>
      </w:tr>
      <w:tr w:rsidR="00C11431" w:rsidRPr="00D95C9E" w14:paraId="3D6AD3EF" w14:textId="3EA41A9F" w:rsidTr="00912237">
        <w:trPr>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0600AA89" w14:textId="093EECEA" w:rsidR="00C11431" w:rsidRPr="00C34912" w:rsidRDefault="00C11431" w:rsidP="00C11431">
            <w:pPr>
              <w:rPr>
                <w:rFonts w:ascii="Calibri" w:eastAsia="Times New Roman" w:hAnsi="Calibri" w:cs="Calibri"/>
                <w:color w:val="000000" w:themeColor="text1"/>
                <w:lang w:eastAsia="nl-BE"/>
                <w14:ligatures w14:val="none"/>
              </w:rPr>
            </w:pPr>
            <w:proofErr w:type="spellStart"/>
            <w:r w:rsidRPr="00C34912">
              <w:rPr>
                <w:rFonts w:ascii="Calibri" w:eastAsia="Times New Roman" w:hAnsi="Calibri" w:cs="Calibri"/>
                <w:color w:val="000000" w:themeColor="text1"/>
                <w:lang w:eastAsia="nl-BE"/>
                <w14:ligatures w14:val="none"/>
              </w:rPr>
              <w:t>Yajima</w:t>
            </w:r>
            <w:proofErr w:type="spellEnd"/>
            <w:r w:rsidRPr="00C34912">
              <w:rPr>
                <w:rFonts w:ascii="Calibri" w:eastAsia="Times New Roman" w:hAnsi="Calibri" w:cs="Calibri"/>
                <w:color w:val="000000" w:themeColor="text1"/>
                <w:lang w:eastAsia="nl-BE"/>
                <w14:ligatures w14:val="none"/>
              </w:rPr>
              <w:t xml:space="preserve"> N. et al.</w:t>
            </w:r>
            <w:r w:rsidRPr="00C34912">
              <w:rPr>
                <w:rFonts w:ascii="Calibri" w:eastAsia="Times New Roman" w:hAnsi="Calibri" w:cs="Calibri"/>
                <w:color w:val="000000" w:themeColor="text1"/>
                <w:vertAlign w:val="superscript"/>
                <w:lang w:eastAsia="nl-BE"/>
                <w14:ligatures w14:val="none"/>
              </w:rPr>
              <w:t xml:space="preserve"> 6</w:t>
            </w:r>
            <w:r w:rsidR="00C34912">
              <w:rPr>
                <w:rFonts w:ascii="Calibri" w:eastAsia="Times New Roman" w:hAnsi="Calibri" w:cs="Calibri"/>
                <w:color w:val="000000" w:themeColor="text1"/>
                <w:vertAlign w:val="superscript"/>
                <w:lang w:eastAsia="nl-BE"/>
                <w14:ligatures w14:val="none"/>
              </w:rPr>
              <w:t>9</w:t>
            </w:r>
          </w:p>
          <w:p w14:paraId="629B094F" w14:textId="77777777" w:rsidR="00C11431" w:rsidRPr="00C34912" w:rsidRDefault="00C11431" w:rsidP="00C11431">
            <w:pPr>
              <w:rPr>
                <w:rFonts w:ascii="Calibri" w:eastAsia="Times New Roman" w:hAnsi="Calibri" w:cs="Calibri"/>
                <w:color w:val="000000" w:themeColor="text1"/>
                <w:lang w:eastAsia="nl-BE"/>
                <w14:ligatures w14:val="none"/>
              </w:rPr>
            </w:pPr>
            <w:r w:rsidRPr="00C34912">
              <w:rPr>
                <w:rFonts w:ascii="Calibri" w:eastAsia="Times New Roman" w:hAnsi="Calibri" w:cs="Calibri"/>
                <w:color w:val="000000" w:themeColor="text1"/>
                <w:lang w:eastAsia="nl-BE"/>
                <w14:ligatures w14:val="none"/>
              </w:rPr>
              <w:t>Score: 4</w:t>
            </w:r>
          </w:p>
        </w:tc>
        <w:tc>
          <w:tcPr>
            <w:tcW w:w="2316" w:type="dxa"/>
            <w:noWrap/>
          </w:tcPr>
          <w:p w14:paraId="70C0F6BC" w14:textId="62501BF8"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appendiceal mucinous adenocarcinoma (n = 27); appendiceal </w:t>
            </w:r>
            <w:r w:rsidRPr="00D95C9E">
              <w:rPr>
                <w:rFonts w:ascii="Calibri" w:eastAsia="Times New Roman" w:hAnsi="Calibri" w:cs="Calibri"/>
                <w:color w:val="000000"/>
                <w:lang w:val="en-GB" w:eastAsia="nl-BE"/>
                <w14:ligatures w14:val="none"/>
              </w:rPr>
              <w:lastRenderedPageBreak/>
              <w:t>mucinous adenoma (n</w:t>
            </w:r>
            <w:r w:rsidR="0086774C" w:rsidRPr="00D95C9E">
              <w:rPr>
                <w:rFonts w:ascii="Calibri" w:eastAsia="Times New Roman" w:hAnsi="Calibri" w:cs="Calibri"/>
                <w:color w:val="000000"/>
                <w:lang w:val="en-GB" w:eastAsia="nl-BE"/>
                <w14:ligatures w14:val="none"/>
              </w:rPr>
              <w:t xml:space="preserve"> </w:t>
            </w:r>
            <w:r w:rsidRPr="00D95C9E">
              <w:rPr>
                <w:rFonts w:ascii="Calibri" w:eastAsia="Times New Roman" w:hAnsi="Calibri" w:cs="Calibri"/>
                <w:color w:val="000000"/>
                <w:lang w:val="en-GB" w:eastAsia="nl-BE"/>
                <w14:ligatures w14:val="none"/>
              </w:rPr>
              <w:t>= 13), appendiceal non-mucinous adenoma (n = 3), appendiceal non-mucinous carcinoma (n = 3); no normal colonic mucosae</w:t>
            </w:r>
          </w:p>
        </w:tc>
        <w:tc>
          <w:tcPr>
            <w:tcW w:w="1070" w:type="dxa"/>
            <w:noWrap/>
          </w:tcPr>
          <w:p w14:paraId="35C67EBD" w14:textId="6DD42201"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 xml:space="preserve">MUC1, MUC2, </w:t>
            </w:r>
            <w:r w:rsidRPr="00D95C9E">
              <w:rPr>
                <w:rFonts w:ascii="Calibri" w:eastAsia="Times New Roman" w:hAnsi="Calibri" w:cs="Calibri"/>
                <w:color w:val="000000"/>
                <w:lang w:val="en-GB" w:eastAsia="nl-BE"/>
                <w14:ligatures w14:val="none"/>
              </w:rPr>
              <w:lastRenderedPageBreak/>
              <w:t>MUC5AC, MUC6</w:t>
            </w:r>
          </w:p>
        </w:tc>
        <w:tc>
          <w:tcPr>
            <w:tcW w:w="2208" w:type="dxa"/>
            <w:noWrap/>
          </w:tcPr>
          <w:p w14:paraId="1AF8D6A1" w14:textId="7A8625BE"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IHC</w:t>
            </w:r>
          </w:p>
        </w:tc>
        <w:tc>
          <w:tcPr>
            <w:tcW w:w="3364" w:type="dxa"/>
            <w:noWrap/>
          </w:tcPr>
          <w:p w14:paraId="574E9A48" w14:textId="13BA5D66"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 xml:space="preserve">In normal appendix, among all MUCs examined, only MUC2 was positive in mucosal mucous cells. </w:t>
            </w:r>
            <w:r w:rsidRPr="00D95C9E">
              <w:rPr>
                <w:rFonts w:ascii="Calibri" w:eastAsia="Times New Roman" w:hAnsi="Calibri" w:cs="Calibri"/>
                <w:color w:val="000000"/>
                <w:lang w:val="en-GB" w:eastAsia="nl-BE"/>
                <w14:ligatures w14:val="none"/>
              </w:rPr>
              <w:lastRenderedPageBreak/>
              <w:t xml:space="preserve">Similarly, in appendiceal </w:t>
            </w:r>
            <w:r w:rsidR="0012669A" w:rsidRPr="00D95C9E">
              <w:rPr>
                <w:rFonts w:ascii="Calibri" w:eastAsia="Times New Roman" w:hAnsi="Calibri" w:cs="Calibri"/>
                <w:color w:val="000000"/>
                <w:lang w:val="en-GB" w:eastAsia="nl-BE"/>
                <w14:ligatures w14:val="none"/>
              </w:rPr>
              <w:t>tumours</w:t>
            </w:r>
            <w:r w:rsidRPr="00D95C9E">
              <w:rPr>
                <w:rFonts w:ascii="Calibri" w:eastAsia="Times New Roman" w:hAnsi="Calibri" w:cs="Calibri"/>
                <w:color w:val="000000"/>
                <w:lang w:val="en-GB" w:eastAsia="nl-BE"/>
                <w14:ligatures w14:val="none"/>
              </w:rPr>
              <w:t>, MUC2 was unequivocal and constantly positive in all the cases. By contrast, MUC1 was negative in adenoma cases but positive in 2 (14%) cases of M</w:t>
            </w:r>
            <w:r w:rsidR="00830D4C" w:rsidRPr="00D95C9E">
              <w:rPr>
                <w:rFonts w:ascii="Calibri" w:eastAsia="Times New Roman" w:hAnsi="Calibri" w:cs="Calibri"/>
                <w:color w:val="000000"/>
                <w:lang w:val="en-GB" w:eastAsia="nl-BE"/>
                <w14:ligatures w14:val="none"/>
              </w:rPr>
              <w:t xml:space="preserve">A </w:t>
            </w:r>
            <w:r w:rsidRPr="00D95C9E">
              <w:rPr>
                <w:rFonts w:ascii="Calibri" w:eastAsia="Times New Roman" w:hAnsi="Calibri" w:cs="Calibri"/>
                <w:color w:val="000000"/>
                <w:lang w:val="en-GB" w:eastAsia="nl-BE"/>
                <w14:ligatures w14:val="none"/>
              </w:rPr>
              <w:t>and all 3 cases of NM</w:t>
            </w:r>
            <w:r w:rsidR="00830D4C" w:rsidRPr="00D95C9E">
              <w:rPr>
                <w:rFonts w:ascii="Calibri" w:eastAsia="Times New Roman" w:hAnsi="Calibri" w:cs="Calibri"/>
                <w:color w:val="000000"/>
                <w:lang w:val="en-GB" w:eastAsia="nl-BE"/>
                <w14:ligatures w14:val="none"/>
              </w:rPr>
              <w:t>A</w:t>
            </w:r>
            <w:r w:rsidRPr="00D95C9E">
              <w:rPr>
                <w:rFonts w:ascii="Calibri" w:eastAsia="Times New Roman" w:hAnsi="Calibri" w:cs="Calibri"/>
                <w:color w:val="000000"/>
                <w:lang w:val="en-GB" w:eastAsia="nl-BE"/>
                <w14:ligatures w14:val="none"/>
              </w:rPr>
              <w:t>. MUC5AC was positive in approximately half of MA and MC cases and in one third of NMA and NMAC cases. MUC6 was expressed only in limited cases of MAC (14%) and NMC (33%).</w:t>
            </w:r>
          </w:p>
        </w:tc>
        <w:tc>
          <w:tcPr>
            <w:tcW w:w="1308" w:type="dxa"/>
            <w:noWrap/>
          </w:tcPr>
          <w:p w14:paraId="7D81940B" w14:textId="77777777"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lastRenderedPageBreak/>
              <w:t>Appendix</w:t>
            </w:r>
          </w:p>
        </w:tc>
        <w:tc>
          <w:tcPr>
            <w:tcW w:w="1148" w:type="dxa"/>
          </w:tcPr>
          <w:p w14:paraId="6F196CAB" w14:textId="77777777" w:rsidR="00C11431" w:rsidRPr="00D95C9E" w:rsidRDefault="00C11431" w:rsidP="00C1143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GB" w:eastAsia="nl-BE"/>
                <w14:ligatures w14:val="none"/>
              </w:rPr>
            </w:pPr>
            <w:r w:rsidRPr="00D95C9E">
              <w:rPr>
                <w:rFonts w:ascii="Calibri" w:eastAsia="Times New Roman" w:hAnsi="Calibri" w:cs="Calibri"/>
                <w:color w:val="000000"/>
                <w:lang w:val="en-GB" w:eastAsia="nl-BE"/>
                <w14:ligatures w14:val="none"/>
              </w:rPr>
              <w:t>Japan</w:t>
            </w:r>
          </w:p>
        </w:tc>
      </w:tr>
      <w:tr w:rsidR="00B87D09" w:rsidRPr="00D95C9E" w14:paraId="6E3F346F" w14:textId="77777777" w:rsidTr="0091223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432" w:type="dxa"/>
            <w:noWrap/>
          </w:tcPr>
          <w:p w14:paraId="1C0D1BB1" w14:textId="34C11C67" w:rsidR="00B87D09" w:rsidRPr="00D95C9E" w:rsidRDefault="00B87D09" w:rsidP="00B87D09">
            <w:pPr>
              <w:rPr>
                <w:rFonts w:ascii="Calibri" w:eastAsia="Times New Roman" w:hAnsi="Calibri" w:cs="Calibri"/>
                <w:b w:val="0"/>
                <w:bCs w:val="0"/>
                <w:color w:val="000000" w:themeColor="text1"/>
                <w:lang w:val="en-GB" w:eastAsia="nl-BE"/>
                <w14:ligatures w14:val="none"/>
              </w:rPr>
            </w:pPr>
            <w:r w:rsidRPr="00D95C9E">
              <w:rPr>
                <w:rFonts w:ascii="Calibri" w:eastAsia="Times New Roman" w:hAnsi="Calibri" w:cs="Calibri"/>
                <w:color w:val="000000" w:themeColor="text1"/>
                <w:lang w:val="en-GB" w:eastAsia="nl-BE"/>
                <w14:ligatures w14:val="none"/>
              </w:rPr>
              <w:t>Elsayed B.</w:t>
            </w:r>
            <w:r w:rsidR="00253FCE" w:rsidRPr="00D95C9E">
              <w:rPr>
                <w:rFonts w:ascii="Calibri" w:eastAsia="Times New Roman" w:hAnsi="Calibri" w:cs="Calibri"/>
                <w:color w:val="000000" w:themeColor="text1"/>
                <w:vertAlign w:val="superscript"/>
                <w:lang w:val="en-GB" w:eastAsia="nl-BE"/>
                <w14:ligatures w14:val="none"/>
              </w:rPr>
              <w:t xml:space="preserve"> </w:t>
            </w:r>
            <w:r w:rsidR="00C34912">
              <w:rPr>
                <w:rFonts w:ascii="Calibri" w:eastAsia="Times New Roman" w:hAnsi="Calibri" w:cs="Calibri"/>
                <w:color w:val="000000" w:themeColor="text1"/>
                <w:vertAlign w:val="superscript"/>
                <w:lang w:val="en-GB" w:eastAsia="nl-BE"/>
                <w14:ligatures w14:val="none"/>
              </w:rPr>
              <w:t>70</w:t>
            </w:r>
          </w:p>
          <w:p w14:paraId="198EE923" w14:textId="3DEC25B3" w:rsidR="00B87D09" w:rsidRPr="00D95C9E" w:rsidRDefault="00B87D09" w:rsidP="00B87D09">
            <w:pPr>
              <w:rPr>
                <w:rFonts w:ascii="Calibri" w:eastAsia="Times New Roman" w:hAnsi="Calibri" w:cs="Calibri"/>
                <w:color w:val="000000" w:themeColor="text1"/>
                <w:lang w:val="en-GB" w:eastAsia="nl-BE"/>
                <w14:ligatures w14:val="none"/>
              </w:rPr>
            </w:pPr>
            <w:r w:rsidRPr="00D95C9E">
              <w:rPr>
                <w:rFonts w:ascii="Calibri" w:eastAsia="Times New Roman" w:hAnsi="Calibri" w:cs="Calibri"/>
                <w:color w:val="000000" w:themeColor="text1"/>
                <w:lang w:val="en-GB" w:eastAsia="nl-BE"/>
                <w14:ligatures w14:val="none"/>
              </w:rPr>
              <w:t>Score: 8</w:t>
            </w:r>
          </w:p>
        </w:tc>
        <w:tc>
          <w:tcPr>
            <w:tcW w:w="2316" w:type="dxa"/>
            <w:noWrap/>
          </w:tcPr>
          <w:p w14:paraId="1A92A308" w14:textId="6DAB147B" w:rsidR="00B87D09" w:rsidRPr="00D95C9E" w:rsidRDefault="00B87D09" w:rsidP="00B87D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Appendiceal mucinous neoplasms</w:t>
            </w:r>
            <w:r w:rsidR="00565D33" w:rsidRPr="00D95C9E">
              <w:rPr>
                <w:rFonts w:ascii="Calibri" w:eastAsia="Times New Roman" w:hAnsi="Calibri" w:cs="Calibri"/>
                <w:lang w:val="en-GB" w:eastAsia="nl-BE"/>
                <w14:ligatures w14:val="none"/>
              </w:rPr>
              <w:t>,</w:t>
            </w:r>
            <w:r w:rsidRPr="00D95C9E">
              <w:rPr>
                <w:rFonts w:ascii="Calibri" w:eastAsia="Times New Roman" w:hAnsi="Calibri" w:cs="Calibri"/>
                <w:lang w:val="en-GB" w:eastAsia="nl-BE"/>
                <w14:ligatures w14:val="none"/>
              </w:rPr>
              <w:t xml:space="preserve"> </w:t>
            </w:r>
            <w:r w:rsidR="00565D33" w:rsidRPr="00D95C9E">
              <w:rPr>
                <w:rFonts w:ascii="Calibri" w:eastAsia="Times New Roman" w:hAnsi="Calibri" w:cs="Calibri"/>
                <w:lang w:val="en-GB" w:eastAsia="nl-BE"/>
                <w14:ligatures w14:val="none"/>
              </w:rPr>
              <w:t xml:space="preserve">no normal mucosae </w:t>
            </w:r>
            <w:r w:rsidRPr="00D95C9E">
              <w:rPr>
                <w:rFonts w:ascii="Calibri" w:eastAsia="Times New Roman" w:hAnsi="Calibri" w:cs="Calibri"/>
                <w:lang w:val="en-GB" w:eastAsia="nl-BE"/>
                <w14:ligatures w14:val="none"/>
              </w:rPr>
              <w:t>(systematic review and meta-analysis)</w:t>
            </w:r>
          </w:p>
        </w:tc>
        <w:tc>
          <w:tcPr>
            <w:tcW w:w="1070" w:type="dxa"/>
            <w:noWrap/>
          </w:tcPr>
          <w:p w14:paraId="0685300B" w14:textId="6C4705EA" w:rsidR="00B87D09" w:rsidRPr="00D95C9E" w:rsidRDefault="00B87D09" w:rsidP="00B87D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MUC2</w:t>
            </w:r>
          </w:p>
        </w:tc>
        <w:tc>
          <w:tcPr>
            <w:tcW w:w="2208" w:type="dxa"/>
            <w:noWrap/>
          </w:tcPr>
          <w:p w14:paraId="3E90CA12" w14:textId="7BBACDC0" w:rsidR="00B87D09" w:rsidRPr="00D95C9E" w:rsidRDefault="00B87D09" w:rsidP="00B87D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Immunohistochemical staining using primary antibodies as mentioned in the primary studies</w:t>
            </w:r>
          </w:p>
        </w:tc>
        <w:tc>
          <w:tcPr>
            <w:tcW w:w="3364" w:type="dxa"/>
            <w:noWrap/>
          </w:tcPr>
          <w:p w14:paraId="53A4F798" w14:textId="487446BF" w:rsidR="00B87D09" w:rsidRPr="00D95C9E" w:rsidRDefault="00B87D09" w:rsidP="00B87D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The analysis of IHC markers in studies comparing appendiceal neoplasms revealed MUC2 as markers of AMNs.</w:t>
            </w:r>
          </w:p>
        </w:tc>
        <w:tc>
          <w:tcPr>
            <w:tcW w:w="1308" w:type="dxa"/>
            <w:noWrap/>
          </w:tcPr>
          <w:p w14:paraId="7ABB6100" w14:textId="2FCADAF0" w:rsidR="00B87D09" w:rsidRPr="00D95C9E" w:rsidRDefault="00B87D09" w:rsidP="00B87D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Appendix</w:t>
            </w:r>
          </w:p>
        </w:tc>
        <w:tc>
          <w:tcPr>
            <w:tcW w:w="1148" w:type="dxa"/>
          </w:tcPr>
          <w:p w14:paraId="01853497" w14:textId="143E02F4" w:rsidR="00B87D09" w:rsidRPr="00D95C9E" w:rsidRDefault="00B87D09" w:rsidP="00B87D0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GB" w:eastAsia="nl-BE"/>
                <w14:ligatures w14:val="none"/>
              </w:rPr>
            </w:pPr>
            <w:r w:rsidRPr="00D95C9E">
              <w:rPr>
                <w:rFonts w:ascii="Calibri" w:eastAsia="Times New Roman" w:hAnsi="Calibri" w:cs="Calibri"/>
                <w:lang w:val="en-GB" w:eastAsia="nl-BE"/>
                <w14:ligatures w14:val="none"/>
              </w:rPr>
              <w:t>Qatar</w:t>
            </w:r>
          </w:p>
        </w:tc>
      </w:tr>
    </w:tbl>
    <w:p w14:paraId="20474DAC" w14:textId="6F9DD244" w:rsidR="00B944E5" w:rsidRPr="00D95C9E" w:rsidRDefault="00B944E5" w:rsidP="007C0226">
      <w:pPr>
        <w:spacing w:before="0" w:after="160" w:line="259" w:lineRule="auto"/>
        <w:rPr>
          <w:rFonts w:ascii="Calibri" w:eastAsia="Times New Roman" w:hAnsi="Calibri" w:cs="Calibri"/>
          <w:color w:val="000000"/>
          <w:lang w:val="en-GB" w:eastAsia="nl-BE"/>
          <w14:ligatures w14:val="none"/>
        </w:rPr>
        <w:sectPr w:rsidR="00B944E5" w:rsidRPr="00D95C9E" w:rsidSect="00AB74B5">
          <w:headerReference w:type="first" r:id="rId8"/>
          <w:pgSz w:w="16838" w:h="11906" w:orient="landscape"/>
          <w:pgMar w:top="1417" w:right="1417" w:bottom="1417" w:left="1417" w:header="708" w:footer="708" w:gutter="0"/>
          <w:cols w:space="708"/>
          <w:titlePg/>
          <w:docGrid w:linePitch="360"/>
        </w:sectPr>
      </w:pPr>
      <w:r w:rsidRPr="00D95C9E">
        <w:rPr>
          <w:rFonts w:ascii="Calibri" w:eastAsia="Times New Roman" w:hAnsi="Calibri" w:cs="Calibri"/>
          <w:color w:val="000000"/>
          <w:lang w:val="en-GB" w:eastAsia="nl-BE"/>
          <w14:ligatures w14:val="none"/>
        </w:rPr>
        <w:t xml:space="preserve">SRCC = </w:t>
      </w:r>
      <w:r w:rsidR="00707C37" w:rsidRPr="00D95C9E">
        <w:rPr>
          <w:rFonts w:ascii="Calibri" w:eastAsia="Times New Roman" w:hAnsi="Calibri" w:cs="Calibri"/>
          <w:color w:val="000000"/>
          <w:lang w:val="en-GB" w:eastAsia="nl-BE"/>
          <w14:ligatures w14:val="none"/>
        </w:rPr>
        <w:t>S</w:t>
      </w:r>
      <w:r w:rsidRPr="00D95C9E">
        <w:rPr>
          <w:rFonts w:ascii="Calibri" w:eastAsia="Times New Roman" w:hAnsi="Calibri" w:cs="Calibri"/>
          <w:color w:val="000000"/>
          <w:lang w:val="en-GB" w:eastAsia="nl-BE"/>
          <w14:ligatures w14:val="none"/>
        </w:rPr>
        <w:t xml:space="preserve">ignet ring cell carcinoma; CAED = </w:t>
      </w:r>
      <w:r w:rsidR="00162CBA" w:rsidRPr="00D95C9E">
        <w:rPr>
          <w:rFonts w:ascii="Calibri" w:eastAsia="Times New Roman" w:hAnsi="Calibri" w:cs="Calibri"/>
          <w:color w:val="000000"/>
          <w:lang w:val="en-GB" w:eastAsia="nl-BE"/>
          <w14:ligatures w14:val="none"/>
        </w:rPr>
        <w:t xml:space="preserve">colonic adenocarcinoma with </w:t>
      </w:r>
      <w:proofErr w:type="spellStart"/>
      <w:r w:rsidR="00162CBA" w:rsidRPr="00D95C9E">
        <w:rPr>
          <w:rFonts w:ascii="Calibri" w:eastAsia="Times New Roman" w:hAnsi="Calibri" w:cs="Calibri"/>
          <w:color w:val="000000"/>
          <w:lang w:val="en-GB" w:eastAsia="nl-BE"/>
          <w14:ligatures w14:val="none"/>
        </w:rPr>
        <w:t>enteroblastic</w:t>
      </w:r>
      <w:proofErr w:type="spellEnd"/>
      <w:r w:rsidR="00162CBA" w:rsidRPr="00D95C9E">
        <w:rPr>
          <w:rFonts w:ascii="Calibri" w:eastAsia="Times New Roman" w:hAnsi="Calibri" w:cs="Calibri"/>
          <w:color w:val="000000"/>
          <w:lang w:val="en-GB" w:eastAsia="nl-BE"/>
          <w14:ligatures w14:val="none"/>
        </w:rPr>
        <w:t xml:space="preserve"> differentiation</w:t>
      </w:r>
      <w:r w:rsidRPr="00D95C9E">
        <w:rPr>
          <w:rFonts w:ascii="Calibri" w:eastAsia="Times New Roman" w:hAnsi="Calibri" w:cs="Calibri"/>
          <w:color w:val="000000"/>
          <w:lang w:val="en-GB" w:eastAsia="nl-BE"/>
          <w14:ligatures w14:val="none"/>
        </w:rPr>
        <w:t xml:space="preserve">; NUMP = </w:t>
      </w:r>
      <w:r w:rsidR="00162CBA" w:rsidRPr="00D95C9E">
        <w:rPr>
          <w:rFonts w:ascii="Calibri" w:eastAsia="Times New Roman" w:hAnsi="Calibri" w:cs="Calibri"/>
          <w:color w:val="000000"/>
          <w:lang w:val="en-GB" w:eastAsia="nl-BE"/>
          <w14:ligatures w14:val="none"/>
        </w:rPr>
        <w:t>neoplasm of unknown potential</w:t>
      </w:r>
      <w:r w:rsidR="0086774C" w:rsidRPr="00D95C9E">
        <w:rPr>
          <w:rFonts w:ascii="Calibri" w:eastAsia="Times New Roman" w:hAnsi="Calibri" w:cs="Calibri"/>
          <w:color w:val="000000"/>
          <w:lang w:val="en-GB" w:eastAsia="nl-BE"/>
          <w14:ligatures w14:val="none"/>
        </w:rPr>
        <w:t>; M</w:t>
      </w:r>
      <w:r w:rsidR="00707C37" w:rsidRPr="00D95C9E">
        <w:rPr>
          <w:rFonts w:ascii="Calibri" w:eastAsia="Times New Roman" w:hAnsi="Calibri" w:cs="Calibri"/>
          <w:color w:val="000000"/>
          <w:lang w:val="en-GB" w:eastAsia="nl-BE"/>
          <w14:ligatures w14:val="none"/>
        </w:rPr>
        <w:t xml:space="preserve">A </w:t>
      </w:r>
      <w:r w:rsidR="0086774C" w:rsidRPr="00D95C9E">
        <w:rPr>
          <w:rFonts w:ascii="Calibri" w:eastAsia="Times New Roman" w:hAnsi="Calibri" w:cs="Calibri"/>
          <w:color w:val="000000"/>
          <w:lang w:val="en-GB" w:eastAsia="nl-BE"/>
          <w14:ligatures w14:val="none"/>
        </w:rPr>
        <w:t xml:space="preserve">= mucinous </w:t>
      </w:r>
      <w:r w:rsidR="00707C37" w:rsidRPr="00D95C9E">
        <w:rPr>
          <w:rFonts w:ascii="Calibri" w:eastAsia="Times New Roman" w:hAnsi="Calibri" w:cs="Calibri"/>
          <w:color w:val="000000"/>
          <w:lang w:val="en-GB" w:eastAsia="nl-BE"/>
          <w14:ligatures w14:val="none"/>
        </w:rPr>
        <w:t xml:space="preserve"> adenoma</w:t>
      </w:r>
      <w:r w:rsidR="00830D4C" w:rsidRPr="00D95C9E">
        <w:rPr>
          <w:rFonts w:ascii="Calibri" w:eastAsia="Times New Roman" w:hAnsi="Calibri" w:cs="Calibri"/>
          <w:color w:val="000000"/>
          <w:lang w:val="en-GB" w:eastAsia="nl-BE"/>
          <w14:ligatures w14:val="none"/>
        </w:rPr>
        <w:t>; NMA = non</w:t>
      </w:r>
      <w:r w:rsidR="0012669A" w:rsidRPr="00D95C9E">
        <w:rPr>
          <w:rFonts w:ascii="Calibri" w:eastAsia="Times New Roman" w:hAnsi="Calibri" w:cs="Calibri"/>
          <w:color w:val="000000"/>
          <w:lang w:val="en-GB" w:eastAsia="nl-BE"/>
          <w14:ligatures w14:val="none"/>
        </w:rPr>
        <w:t>-</w:t>
      </w:r>
      <w:r w:rsidR="00830D4C" w:rsidRPr="00D95C9E">
        <w:rPr>
          <w:rFonts w:ascii="Calibri" w:eastAsia="Times New Roman" w:hAnsi="Calibri" w:cs="Calibri"/>
          <w:color w:val="000000"/>
          <w:lang w:val="en-GB" w:eastAsia="nl-BE"/>
          <w14:ligatures w14:val="none"/>
        </w:rPr>
        <w:t>mucinous adeno</w:t>
      </w:r>
      <w:r w:rsidR="00D77588" w:rsidRPr="00D95C9E">
        <w:rPr>
          <w:rFonts w:ascii="Calibri" w:eastAsia="Times New Roman" w:hAnsi="Calibri" w:cs="Calibri"/>
          <w:color w:val="000000"/>
          <w:lang w:val="en-GB" w:eastAsia="nl-BE"/>
          <w14:ligatures w14:val="none"/>
        </w:rPr>
        <w:t>ma; MC = mucinous carcinoma;  NMC = non-mucinous carcinoma</w:t>
      </w:r>
    </w:p>
    <w:p w14:paraId="6A7B7548" w14:textId="4AE79CE6" w:rsidR="00AB74B5" w:rsidRPr="00D95C9E" w:rsidRDefault="00AB74B5" w:rsidP="00406671">
      <w:pPr>
        <w:keepNext/>
        <w:keepLines/>
        <w:spacing w:before="0" w:after="320" w:line="360" w:lineRule="auto"/>
        <w:jc w:val="both"/>
        <w:outlineLvl w:val="0"/>
        <w:rPr>
          <w:rFonts w:ascii="Calibri" w:eastAsia="MS Gothic" w:hAnsi="Calibri" w:cs="Times New Roman"/>
          <w:b/>
          <w:bCs/>
          <w:kern w:val="0"/>
          <w:sz w:val="28"/>
          <w:szCs w:val="32"/>
          <w:lang w:val="en-GB"/>
          <w14:ligatures w14:val="none"/>
        </w:rPr>
      </w:pPr>
      <w:r w:rsidRPr="00D95C9E">
        <w:rPr>
          <w:rFonts w:ascii="Calibri" w:eastAsia="MS Gothic" w:hAnsi="Calibri" w:cs="Times New Roman"/>
          <w:b/>
          <w:bCs/>
          <w:kern w:val="0"/>
          <w:sz w:val="28"/>
          <w:szCs w:val="32"/>
          <w:lang w:val="en-GB"/>
          <w14:ligatures w14:val="none"/>
        </w:rPr>
        <w:lastRenderedPageBreak/>
        <w:t>Supplementary figures</w:t>
      </w:r>
    </w:p>
    <w:p w14:paraId="09A43360" w14:textId="55344C9E" w:rsidR="00C4562B" w:rsidRPr="00D95C9E" w:rsidRDefault="007B3D0E" w:rsidP="00C4562B">
      <w:pPr>
        <w:spacing w:before="0" w:after="160" w:line="259" w:lineRule="auto"/>
        <w:rPr>
          <w:rFonts w:ascii="Calibri" w:eastAsia="MS Gothic" w:hAnsi="Calibri" w:cs="Times New Roman"/>
          <w:kern w:val="0"/>
          <w:sz w:val="28"/>
          <w:szCs w:val="32"/>
          <w:lang w:val="en-GB"/>
          <w14:ligatures w14:val="none"/>
        </w:rPr>
      </w:pPr>
      <w:r w:rsidRPr="00D95C9E">
        <w:rPr>
          <w:noProof/>
          <w:lang w:val="en-GB"/>
        </w:rPr>
        <w:drawing>
          <wp:inline distT="0" distB="0" distL="0" distR="0" wp14:anchorId="526C28DB" wp14:editId="74D1C80C">
            <wp:extent cx="5760720" cy="2501900"/>
            <wp:effectExtent l="0" t="0" r="0" b="0"/>
            <wp:docPr id="218812075" name="Afbeelding 1" descr="Afbeelding met tekst, schermopname, Perce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075" name="Afbeelding 1" descr="Afbeelding met tekst, schermopname, Perceel, Lettertype&#10;&#10;Door AI gegenereerde inhoud is mogelijk onjuist."/>
                    <pic:cNvPicPr/>
                  </pic:nvPicPr>
                  <pic:blipFill rotWithShape="1">
                    <a:blip r:embed="rId9"/>
                    <a:srcRect t="6414"/>
                    <a:stretch>
                      <a:fillRect/>
                    </a:stretch>
                  </pic:blipFill>
                  <pic:spPr bwMode="auto">
                    <a:xfrm>
                      <a:off x="0" y="0"/>
                      <a:ext cx="5760720" cy="2501900"/>
                    </a:xfrm>
                    <a:prstGeom prst="rect">
                      <a:avLst/>
                    </a:prstGeom>
                    <a:ln>
                      <a:noFill/>
                    </a:ln>
                    <a:extLst>
                      <a:ext uri="{53640926-AAD7-44D8-BBD7-CCE9431645EC}">
                        <a14:shadowObscured xmlns:a14="http://schemas.microsoft.com/office/drawing/2010/main"/>
                      </a:ext>
                    </a:extLst>
                  </pic:spPr>
                </pic:pic>
              </a:graphicData>
            </a:graphic>
          </wp:inline>
        </w:drawing>
      </w:r>
    </w:p>
    <w:p w14:paraId="199DECF7" w14:textId="265999BB" w:rsidR="00AB74B5" w:rsidRPr="00D95C9E" w:rsidRDefault="00040B61" w:rsidP="00A6030B">
      <w:pPr>
        <w:pStyle w:val="Bijschrift1"/>
        <w:rPr>
          <w:rFonts w:ascii="Calibri" w:hAnsi="Calibri" w:cs="Calibri"/>
          <w:i w:val="0"/>
          <w:iCs w:val="0"/>
          <w:color w:val="auto"/>
          <w:sz w:val="22"/>
          <w:szCs w:val="22"/>
          <w:lang w:val="en-GB"/>
        </w:rPr>
      </w:pPr>
      <w:bookmarkStart w:id="0" w:name="_Ref200014545"/>
      <w:r w:rsidRPr="00D95C9E">
        <w:rPr>
          <w:rFonts w:ascii="Calibri" w:hAnsi="Calibri" w:cs="Calibri"/>
          <w:b/>
          <w:bCs/>
          <w:i w:val="0"/>
          <w:iCs w:val="0"/>
          <w:color w:val="auto"/>
          <w:sz w:val="22"/>
          <w:szCs w:val="22"/>
          <w:lang w:val="en-GB"/>
        </w:rPr>
        <w:t>Supplementary figure S</w:t>
      </w:r>
      <w:r w:rsidRPr="00D95C9E">
        <w:rPr>
          <w:rFonts w:ascii="Calibri" w:hAnsi="Calibri" w:cs="Calibri"/>
          <w:b/>
          <w:bCs/>
          <w:i w:val="0"/>
          <w:iCs w:val="0"/>
          <w:color w:val="auto"/>
          <w:sz w:val="22"/>
          <w:szCs w:val="22"/>
          <w:lang w:val="en-GB"/>
        </w:rPr>
        <w:fldChar w:fldCharType="begin"/>
      </w:r>
      <w:r w:rsidRPr="00D95C9E">
        <w:rPr>
          <w:rFonts w:ascii="Calibri" w:hAnsi="Calibri" w:cs="Calibri"/>
          <w:b/>
          <w:bCs/>
          <w:i w:val="0"/>
          <w:iCs w:val="0"/>
          <w:color w:val="auto"/>
          <w:sz w:val="22"/>
          <w:szCs w:val="22"/>
          <w:lang w:val="en-GB"/>
        </w:rPr>
        <w:instrText xml:space="preserve"> SEQ Supplementary_figure_S \* ARABIC </w:instrText>
      </w:r>
      <w:r w:rsidRPr="00D95C9E">
        <w:rPr>
          <w:rFonts w:ascii="Calibri" w:hAnsi="Calibri" w:cs="Calibri"/>
          <w:b/>
          <w:bCs/>
          <w:i w:val="0"/>
          <w:iCs w:val="0"/>
          <w:color w:val="auto"/>
          <w:sz w:val="22"/>
          <w:szCs w:val="22"/>
          <w:lang w:val="en-GB"/>
        </w:rPr>
        <w:fldChar w:fldCharType="separate"/>
      </w:r>
      <w:r w:rsidRPr="00D95C9E">
        <w:rPr>
          <w:rFonts w:ascii="Calibri" w:hAnsi="Calibri" w:cs="Calibri"/>
          <w:b/>
          <w:bCs/>
          <w:i w:val="0"/>
          <w:iCs w:val="0"/>
          <w:noProof/>
          <w:color w:val="auto"/>
          <w:sz w:val="22"/>
          <w:szCs w:val="22"/>
          <w:lang w:val="en-GB"/>
        </w:rPr>
        <w:t>1</w:t>
      </w:r>
      <w:r w:rsidRPr="00D95C9E">
        <w:rPr>
          <w:rFonts w:ascii="Calibri" w:hAnsi="Calibri" w:cs="Calibri"/>
          <w:b/>
          <w:bCs/>
          <w:i w:val="0"/>
          <w:iCs w:val="0"/>
          <w:color w:val="auto"/>
          <w:sz w:val="22"/>
          <w:szCs w:val="22"/>
          <w:lang w:val="en-GB"/>
        </w:rPr>
        <w:fldChar w:fldCharType="end"/>
      </w:r>
      <w:bookmarkEnd w:id="0"/>
      <w:r w:rsidR="00A6030B" w:rsidRPr="00D95C9E">
        <w:rPr>
          <w:rFonts w:ascii="Calibri" w:hAnsi="Calibri" w:cs="Calibri"/>
          <w:b/>
          <w:bCs/>
          <w:i w:val="0"/>
          <w:iCs w:val="0"/>
          <w:color w:val="auto"/>
          <w:sz w:val="22"/>
          <w:szCs w:val="22"/>
          <w:lang w:val="en-GB"/>
        </w:rPr>
        <w:t>.</w:t>
      </w:r>
      <w:r w:rsidRPr="00D95C9E">
        <w:rPr>
          <w:rFonts w:ascii="Calibri" w:hAnsi="Calibri" w:cs="Calibri"/>
          <w:i w:val="0"/>
          <w:iCs w:val="0"/>
          <w:color w:val="auto"/>
          <w:sz w:val="22"/>
          <w:szCs w:val="22"/>
          <w:lang w:val="en-GB"/>
        </w:rPr>
        <w:t xml:space="preserve"> </w:t>
      </w:r>
      <w:bookmarkStart w:id="1" w:name="_Hlk202670930"/>
      <w:r w:rsidRPr="00D95C9E">
        <w:rPr>
          <w:rFonts w:ascii="Calibri" w:hAnsi="Calibri" w:cs="Calibri"/>
          <w:i w:val="0"/>
          <w:iCs w:val="0"/>
          <w:color w:val="auto"/>
          <w:sz w:val="22"/>
          <w:szCs w:val="22"/>
          <w:lang w:val="en-GB"/>
        </w:rPr>
        <w:t xml:space="preserve">Area chart showing the number of published articles over time stratified by methodology used for mucin expression analysis. Different </w:t>
      </w:r>
      <w:r w:rsidR="0012669A" w:rsidRPr="00D95C9E">
        <w:rPr>
          <w:rFonts w:ascii="Calibri" w:hAnsi="Calibri" w:cs="Calibri"/>
          <w:i w:val="0"/>
          <w:iCs w:val="0"/>
          <w:color w:val="auto"/>
          <w:sz w:val="22"/>
          <w:szCs w:val="22"/>
          <w:lang w:val="en-GB"/>
        </w:rPr>
        <w:t>colours</w:t>
      </w:r>
      <w:r w:rsidRPr="00D95C9E">
        <w:rPr>
          <w:rFonts w:ascii="Calibri" w:hAnsi="Calibri" w:cs="Calibri"/>
          <w:i w:val="0"/>
          <w:iCs w:val="0"/>
          <w:color w:val="auto"/>
          <w:sz w:val="22"/>
          <w:szCs w:val="22"/>
          <w:lang w:val="en-GB"/>
        </w:rPr>
        <w:t xml:space="preserve"> correspond to the methodologies applied: immunohistochemistry (IHC) and molecular assays (e.g., RT-PCR, microarray, FISH).  </w:t>
      </w:r>
      <w:bookmarkEnd w:id="1"/>
    </w:p>
    <w:p w14:paraId="5E7B85C8" w14:textId="77777777" w:rsidR="00ED4E83" w:rsidRPr="00D95C9E" w:rsidRDefault="00ED4E83" w:rsidP="00ED4E83">
      <w:pPr>
        <w:rPr>
          <w:lang w:val="en-GB"/>
        </w:rPr>
      </w:pPr>
    </w:p>
    <w:p w14:paraId="52F2C9EF" w14:textId="1A21FFDF" w:rsidR="004F243F" w:rsidRPr="00D95C9E" w:rsidRDefault="00DE6CBB" w:rsidP="004F243F">
      <w:pPr>
        <w:rPr>
          <w:lang w:val="en-GB"/>
        </w:rPr>
      </w:pPr>
      <w:r w:rsidRPr="00D95C9E">
        <w:rPr>
          <w:noProof/>
          <w:lang w:val="en-GB"/>
        </w:rPr>
        <w:drawing>
          <wp:inline distT="0" distB="0" distL="0" distR="0" wp14:anchorId="704170FA" wp14:editId="7D0F0E22">
            <wp:extent cx="5548771" cy="3232087"/>
            <wp:effectExtent l="0" t="0" r="0" b="6985"/>
            <wp:docPr id="125714784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l="1119" t="2126" r="941" b="2967"/>
                    <a:stretch>
                      <a:fillRect/>
                    </a:stretch>
                  </pic:blipFill>
                  <pic:spPr bwMode="auto">
                    <a:xfrm>
                      <a:off x="0" y="0"/>
                      <a:ext cx="5557855" cy="3237379"/>
                    </a:xfrm>
                    <a:prstGeom prst="rect">
                      <a:avLst/>
                    </a:prstGeom>
                    <a:noFill/>
                    <a:ln>
                      <a:noFill/>
                    </a:ln>
                    <a:extLst>
                      <a:ext uri="{53640926-AAD7-44D8-BBD7-CCE9431645EC}">
                        <a14:shadowObscured xmlns:a14="http://schemas.microsoft.com/office/drawing/2010/main"/>
                      </a:ext>
                    </a:extLst>
                  </pic:spPr>
                </pic:pic>
              </a:graphicData>
            </a:graphic>
          </wp:inline>
        </w:drawing>
      </w:r>
    </w:p>
    <w:p w14:paraId="582B9F47" w14:textId="5A3BEB46" w:rsidR="00AB74B5" w:rsidRPr="00D95C9E" w:rsidRDefault="00AB74B5" w:rsidP="00A6030B">
      <w:pPr>
        <w:spacing w:before="0" w:line="240" w:lineRule="auto"/>
        <w:jc w:val="both"/>
        <w:rPr>
          <w:rFonts w:ascii="Calibri" w:eastAsia="Calibri" w:hAnsi="Calibri" w:cs="Times New Roman"/>
          <w:kern w:val="0"/>
          <w:sz w:val="22"/>
          <w:szCs w:val="22"/>
          <w:lang w:val="en-GB"/>
          <w14:ligatures w14:val="none"/>
        </w:rPr>
      </w:pPr>
      <w:bookmarkStart w:id="2" w:name="_Ref200653651"/>
      <w:r w:rsidRPr="00D95C9E">
        <w:rPr>
          <w:rFonts w:ascii="Calibri" w:eastAsia="Calibri" w:hAnsi="Calibri" w:cs="Times New Roman"/>
          <w:b/>
          <w:bCs/>
          <w:kern w:val="0"/>
          <w:sz w:val="22"/>
          <w:szCs w:val="22"/>
          <w:lang w:val="en-GB"/>
          <w14:ligatures w14:val="none"/>
        </w:rPr>
        <w:t>Supplementary figure S</w:t>
      </w:r>
      <w:bookmarkEnd w:id="2"/>
      <w:r w:rsidR="0031298A" w:rsidRPr="00D95C9E">
        <w:rPr>
          <w:rFonts w:ascii="Calibri" w:eastAsia="Calibri" w:hAnsi="Calibri" w:cs="Times New Roman"/>
          <w:b/>
          <w:bCs/>
          <w:kern w:val="0"/>
          <w:sz w:val="22"/>
          <w:szCs w:val="22"/>
          <w:lang w:val="en-GB"/>
          <w14:ligatures w14:val="none"/>
        </w:rPr>
        <w:t>2</w:t>
      </w:r>
      <w:r w:rsidR="00A6030B" w:rsidRPr="00D95C9E">
        <w:rPr>
          <w:rFonts w:ascii="Calibri" w:eastAsia="Calibri" w:hAnsi="Calibri" w:cs="Times New Roman"/>
          <w:b/>
          <w:bCs/>
          <w:kern w:val="0"/>
          <w:sz w:val="22"/>
          <w:szCs w:val="22"/>
          <w:lang w:val="en-GB"/>
          <w14:ligatures w14:val="none"/>
        </w:rPr>
        <w:t>.</w:t>
      </w:r>
      <w:r w:rsidRPr="00D95C9E">
        <w:rPr>
          <w:rFonts w:ascii="Calibri" w:eastAsia="Calibri" w:hAnsi="Calibri" w:cs="Times New Roman"/>
          <w:kern w:val="0"/>
          <w:sz w:val="22"/>
          <w:szCs w:val="22"/>
          <w:lang w:val="en-GB"/>
          <w14:ligatures w14:val="none"/>
        </w:rPr>
        <w:t xml:space="preserve"> Number of mucins (x-axis) investigated per study</w:t>
      </w:r>
      <w:r w:rsidR="003A4992" w:rsidRPr="00D95C9E">
        <w:rPr>
          <w:rFonts w:ascii="Calibri" w:eastAsia="Calibri" w:hAnsi="Calibri" w:cs="Times New Roman"/>
          <w:kern w:val="0"/>
          <w:sz w:val="22"/>
          <w:szCs w:val="22"/>
          <w:lang w:val="en-GB"/>
          <w14:ligatures w14:val="none"/>
        </w:rPr>
        <w:t xml:space="preserve">. </w:t>
      </w:r>
      <w:r w:rsidR="002342C1" w:rsidRPr="00D95C9E">
        <w:rPr>
          <w:rFonts w:ascii="Calibri" w:eastAsia="Calibri" w:hAnsi="Calibri" w:cs="Times New Roman"/>
          <w:kern w:val="0"/>
          <w:sz w:val="22"/>
          <w:szCs w:val="22"/>
          <w:lang w:val="en-GB"/>
          <w14:ligatures w14:val="none"/>
        </w:rPr>
        <w:t>Blue</w:t>
      </w:r>
      <w:r w:rsidR="00983919" w:rsidRPr="00D95C9E">
        <w:rPr>
          <w:rFonts w:ascii="Calibri" w:eastAsia="Calibri" w:hAnsi="Calibri" w:cs="Times New Roman"/>
          <w:kern w:val="0"/>
          <w:sz w:val="22"/>
          <w:szCs w:val="22"/>
          <w:lang w:val="en-GB"/>
          <w14:ligatures w14:val="none"/>
        </w:rPr>
        <w:t xml:space="preserve"> = number of studies investigating a certain number of mucins in benign lesions (serrated and adenomatous polyps); </w:t>
      </w:r>
      <w:r w:rsidR="002342C1" w:rsidRPr="00D95C9E">
        <w:rPr>
          <w:rFonts w:ascii="Calibri" w:eastAsia="Calibri" w:hAnsi="Calibri" w:cs="Times New Roman"/>
          <w:kern w:val="0"/>
          <w:sz w:val="22"/>
          <w:szCs w:val="22"/>
          <w:lang w:val="en-GB"/>
          <w14:ligatures w14:val="none"/>
        </w:rPr>
        <w:t>orange</w:t>
      </w:r>
      <w:r w:rsidR="003A4992" w:rsidRPr="00D95C9E">
        <w:rPr>
          <w:rFonts w:ascii="Calibri" w:eastAsia="Calibri" w:hAnsi="Calibri" w:cs="Times New Roman"/>
          <w:kern w:val="0"/>
          <w:sz w:val="22"/>
          <w:szCs w:val="22"/>
          <w:lang w:val="en-GB"/>
          <w14:ligatures w14:val="none"/>
        </w:rPr>
        <w:t xml:space="preserve"> = number of studies investigating a certain number of mucins in malignant lesions (CRC, small intestinal adenocarcinoma, rare </w:t>
      </w:r>
      <w:r w:rsidR="0012669A" w:rsidRPr="00D95C9E">
        <w:rPr>
          <w:rFonts w:ascii="Calibri" w:eastAsia="Calibri" w:hAnsi="Calibri" w:cs="Times New Roman"/>
          <w:kern w:val="0"/>
          <w:sz w:val="22"/>
          <w:szCs w:val="22"/>
          <w:lang w:val="en-GB"/>
          <w14:ligatures w14:val="none"/>
        </w:rPr>
        <w:t>tumours</w:t>
      </w:r>
      <w:r w:rsidR="003A4992" w:rsidRPr="00D95C9E">
        <w:rPr>
          <w:rFonts w:ascii="Calibri" w:eastAsia="Calibri" w:hAnsi="Calibri" w:cs="Times New Roman"/>
          <w:kern w:val="0"/>
          <w:sz w:val="22"/>
          <w:szCs w:val="22"/>
          <w:lang w:val="en-GB"/>
          <w14:ligatures w14:val="none"/>
        </w:rPr>
        <w:t xml:space="preserve">); </w:t>
      </w:r>
      <w:r w:rsidR="005160A1" w:rsidRPr="00D95C9E">
        <w:rPr>
          <w:rFonts w:ascii="Calibri" w:eastAsia="Calibri" w:hAnsi="Calibri" w:cs="Times New Roman"/>
          <w:kern w:val="0"/>
          <w:sz w:val="22"/>
          <w:szCs w:val="22"/>
          <w:lang w:val="en-GB"/>
          <w14:ligatures w14:val="none"/>
        </w:rPr>
        <w:t>g</w:t>
      </w:r>
      <w:r w:rsidR="003A4992" w:rsidRPr="00D95C9E">
        <w:rPr>
          <w:rFonts w:ascii="Calibri" w:eastAsia="Calibri" w:hAnsi="Calibri" w:cs="Times New Roman"/>
          <w:kern w:val="0"/>
          <w:sz w:val="22"/>
          <w:szCs w:val="22"/>
          <w:lang w:val="en-GB"/>
          <w14:ligatures w14:val="none"/>
        </w:rPr>
        <w:t xml:space="preserve">reen = sum of benign and malignant lesions. </w:t>
      </w:r>
    </w:p>
    <w:p w14:paraId="6C4DA428" w14:textId="51751C0B" w:rsidR="0031298A" w:rsidRPr="00D95C9E" w:rsidRDefault="00F93F05" w:rsidP="0031298A">
      <w:pPr>
        <w:keepNext/>
        <w:spacing w:before="0" w:after="160" w:line="259" w:lineRule="auto"/>
        <w:rPr>
          <w:rFonts w:ascii="Calibri" w:eastAsia="Calibri" w:hAnsi="Calibri" w:cs="Times New Roman"/>
          <w:color w:val="323232"/>
          <w:kern w:val="0"/>
          <w:sz w:val="22"/>
          <w:szCs w:val="22"/>
          <w:lang w:val="en-GB"/>
          <w14:ligatures w14:val="none"/>
        </w:rPr>
      </w:pPr>
      <w:r w:rsidRPr="00D95C9E">
        <w:rPr>
          <w:noProof/>
          <w:lang w:val="en-GB"/>
        </w:rPr>
        <w:lastRenderedPageBreak/>
        <w:drawing>
          <wp:inline distT="0" distB="0" distL="0" distR="0" wp14:anchorId="14C1A339" wp14:editId="09F34E86">
            <wp:extent cx="5760720" cy="2639060"/>
            <wp:effectExtent l="0" t="0" r="0" b="8890"/>
            <wp:docPr id="730715359" name="Afbeelding 1" descr="Afbeelding met tekst, schermopname, diagram,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15359" name="Afbeelding 1" descr="Afbeelding met tekst, schermopname, diagram, lijn&#10;&#10;Door AI gegenereerde inhoud is mogelijk onjuist."/>
                    <pic:cNvPicPr>
                      <a:picLocks noChangeAspect="1"/>
                    </pic:cNvPicPr>
                  </pic:nvPicPr>
                  <pic:blipFill rotWithShape="1">
                    <a:blip r:embed="rId11" cstate="print">
                      <a:extLst>
                        <a:ext uri="{28A0092B-C50C-407E-A947-70E740481C1C}">
                          <a14:useLocalDpi xmlns:a14="http://schemas.microsoft.com/office/drawing/2010/main" val="0"/>
                        </a:ext>
                      </a:extLst>
                    </a:blip>
                    <a:srcRect t="5010"/>
                    <a:stretch>
                      <a:fillRect/>
                    </a:stretch>
                  </pic:blipFill>
                  <pic:spPr bwMode="auto">
                    <a:xfrm>
                      <a:off x="0" y="0"/>
                      <a:ext cx="5760720" cy="2639060"/>
                    </a:xfrm>
                    <a:prstGeom prst="rect">
                      <a:avLst/>
                    </a:prstGeom>
                    <a:noFill/>
                    <a:ln>
                      <a:noFill/>
                    </a:ln>
                    <a:extLst>
                      <a:ext uri="{53640926-AAD7-44D8-BBD7-CCE9431645EC}">
                        <a14:shadowObscured xmlns:a14="http://schemas.microsoft.com/office/drawing/2010/main"/>
                      </a:ext>
                    </a:extLst>
                  </pic:spPr>
                </pic:pic>
              </a:graphicData>
            </a:graphic>
          </wp:inline>
        </w:drawing>
      </w:r>
    </w:p>
    <w:p w14:paraId="799F8C10" w14:textId="55AF62E6" w:rsidR="0031298A" w:rsidRPr="00D95C9E" w:rsidRDefault="0031298A" w:rsidP="0031298A">
      <w:pPr>
        <w:spacing w:before="0" w:line="240" w:lineRule="auto"/>
        <w:rPr>
          <w:rFonts w:ascii="Calibri" w:eastAsia="Calibri" w:hAnsi="Calibri" w:cs="Times New Roman"/>
          <w:kern w:val="0"/>
          <w:sz w:val="22"/>
          <w:szCs w:val="22"/>
          <w:lang w:val="en-GB"/>
          <w14:ligatures w14:val="none"/>
        </w:rPr>
      </w:pPr>
      <w:r w:rsidRPr="00D95C9E">
        <w:rPr>
          <w:rFonts w:ascii="Calibri" w:eastAsia="Calibri" w:hAnsi="Calibri" w:cs="Times New Roman"/>
          <w:b/>
          <w:bCs/>
          <w:kern w:val="0"/>
          <w:sz w:val="22"/>
          <w:szCs w:val="22"/>
          <w:lang w:val="en-GB"/>
          <w14:ligatures w14:val="none"/>
        </w:rPr>
        <w:t>Supplementary figure S3</w:t>
      </w:r>
      <w:r w:rsidR="00A6030B" w:rsidRPr="00D95C9E">
        <w:rPr>
          <w:rFonts w:ascii="Calibri" w:eastAsia="Calibri" w:hAnsi="Calibri" w:cs="Times New Roman"/>
          <w:b/>
          <w:bCs/>
          <w:kern w:val="0"/>
          <w:sz w:val="22"/>
          <w:szCs w:val="22"/>
          <w:lang w:val="en-GB"/>
          <w14:ligatures w14:val="none"/>
        </w:rPr>
        <w:t>.</w:t>
      </w:r>
      <w:r w:rsidRPr="00D95C9E">
        <w:rPr>
          <w:rFonts w:ascii="Calibri" w:eastAsia="Calibri" w:hAnsi="Calibri" w:cs="Times New Roman"/>
          <w:kern w:val="0"/>
          <w:sz w:val="22"/>
          <w:szCs w:val="22"/>
          <w:lang w:val="en-GB"/>
          <w14:ligatures w14:val="none"/>
        </w:rPr>
        <w:t xml:space="preserve"> Total number of studies investigating </w:t>
      </w:r>
      <w:r w:rsidR="009515A4" w:rsidRPr="00D95C9E">
        <w:rPr>
          <w:rFonts w:ascii="Calibri" w:eastAsia="Calibri" w:hAnsi="Calibri" w:cs="Times New Roman"/>
          <w:kern w:val="0"/>
          <w:sz w:val="22"/>
          <w:szCs w:val="22"/>
          <w:lang w:val="en-GB"/>
          <w14:ligatures w14:val="none"/>
        </w:rPr>
        <w:t xml:space="preserve">a certain </w:t>
      </w:r>
      <w:r w:rsidRPr="00D95C9E">
        <w:rPr>
          <w:rFonts w:ascii="Calibri" w:eastAsia="Calibri" w:hAnsi="Calibri" w:cs="Times New Roman"/>
          <w:kern w:val="0"/>
          <w:sz w:val="22"/>
          <w:szCs w:val="22"/>
          <w:lang w:val="en-GB"/>
          <w14:ligatures w14:val="none"/>
        </w:rPr>
        <w:t>lesion type</w:t>
      </w:r>
      <w:r w:rsidR="007B6838" w:rsidRPr="00D95C9E">
        <w:rPr>
          <w:rFonts w:ascii="Calibri" w:eastAsia="Calibri" w:hAnsi="Calibri" w:cs="Times New Roman"/>
          <w:kern w:val="0"/>
          <w:sz w:val="22"/>
          <w:szCs w:val="22"/>
          <w:lang w:val="en-GB"/>
          <w14:ligatures w14:val="none"/>
        </w:rPr>
        <w:t xml:space="preserve">. CAED = colonic adenocarcinoma with </w:t>
      </w:r>
      <w:proofErr w:type="spellStart"/>
      <w:r w:rsidR="007B6838" w:rsidRPr="00D95C9E">
        <w:rPr>
          <w:rFonts w:ascii="Calibri" w:eastAsia="Calibri" w:hAnsi="Calibri" w:cs="Times New Roman"/>
          <w:kern w:val="0"/>
          <w:sz w:val="22"/>
          <w:szCs w:val="22"/>
          <w:lang w:val="en-GB"/>
          <w14:ligatures w14:val="none"/>
        </w:rPr>
        <w:t>enteroblastic</w:t>
      </w:r>
      <w:proofErr w:type="spellEnd"/>
      <w:r w:rsidR="007B6838" w:rsidRPr="00D95C9E">
        <w:rPr>
          <w:rFonts w:ascii="Calibri" w:eastAsia="Calibri" w:hAnsi="Calibri" w:cs="Times New Roman"/>
          <w:kern w:val="0"/>
          <w:sz w:val="22"/>
          <w:szCs w:val="22"/>
          <w:lang w:val="en-GB"/>
          <w14:ligatures w14:val="none"/>
        </w:rPr>
        <w:t xml:space="preserve"> differentiation</w:t>
      </w:r>
    </w:p>
    <w:p w14:paraId="5EBB7526" w14:textId="77777777" w:rsidR="0031298A" w:rsidRPr="00D95C9E" w:rsidRDefault="0031298A" w:rsidP="0031298A">
      <w:pPr>
        <w:spacing w:before="0" w:line="240" w:lineRule="auto"/>
        <w:rPr>
          <w:rFonts w:ascii="Calibri" w:eastAsia="Calibri" w:hAnsi="Calibri" w:cs="Times New Roman"/>
          <w:i/>
          <w:iCs/>
          <w:color w:val="002E65"/>
          <w:kern w:val="0"/>
          <w:sz w:val="22"/>
          <w:szCs w:val="22"/>
          <w:lang w:val="en-GB"/>
          <w14:ligatures w14:val="none"/>
        </w:rPr>
      </w:pPr>
    </w:p>
    <w:p w14:paraId="0369C84D" w14:textId="01F27FC9" w:rsidR="0031298A" w:rsidRPr="00D95C9E" w:rsidRDefault="00272341" w:rsidP="0031298A">
      <w:pPr>
        <w:keepNext/>
        <w:spacing w:before="0" w:after="160" w:line="259" w:lineRule="auto"/>
        <w:rPr>
          <w:rFonts w:ascii="Calibri" w:eastAsia="Calibri" w:hAnsi="Calibri" w:cs="Times New Roman"/>
          <w:color w:val="323232"/>
          <w:kern w:val="0"/>
          <w:sz w:val="22"/>
          <w:szCs w:val="22"/>
          <w:lang w:val="en-GB"/>
          <w14:ligatures w14:val="none"/>
        </w:rPr>
      </w:pPr>
      <w:r w:rsidRPr="00D95C9E">
        <w:rPr>
          <w:noProof/>
          <w:lang w:val="en-GB"/>
        </w:rPr>
        <w:drawing>
          <wp:inline distT="0" distB="0" distL="0" distR="0" wp14:anchorId="4F1CEDDA" wp14:editId="7D838B80">
            <wp:extent cx="5765121" cy="2588106"/>
            <wp:effectExtent l="0" t="0" r="7620" b="3175"/>
            <wp:docPr id="1607922260" name="Afbeelding 1" descr="Afbeelding met tekst, ka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922260" name="Afbeelding 1" descr="Afbeelding met tekst, kaart&#10;&#10;Door AI gegenereerde inhoud is mogelijk onjuist."/>
                    <pic:cNvPicPr/>
                  </pic:nvPicPr>
                  <pic:blipFill rotWithShape="1">
                    <a:blip r:embed="rId12"/>
                    <a:srcRect l="5689" t="5121" r="1842" b="5427"/>
                    <a:stretch>
                      <a:fillRect/>
                    </a:stretch>
                  </pic:blipFill>
                  <pic:spPr bwMode="auto">
                    <a:xfrm>
                      <a:off x="0" y="0"/>
                      <a:ext cx="5779026" cy="2594348"/>
                    </a:xfrm>
                    <a:prstGeom prst="rect">
                      <a:avLst/>
                    </a:prstGeom>
                    <a:ln>
                      <a:noFill/>
                    </a:ln>
                    <a:extLst>
                      <a:ext uri="{53640926-AAD7-44D8-BBD7-CCE9431645EC}">
                        <a14:shadowObscured xmlns:a14="http://schemas.microsoft.com/office/drawing/2010/main"/>
                      </a:ext>
                    </a:extLst>
                  </pic:spPr>
                </pic:pic>
              </a:graphicData>
            </a:graphic>
          </wp:inline>
        </w:drawing>
      </w:r>
    </w:p>
    <w:p w14:paraId="040CCE22" w14:textId="1B9B49C2" w:rsidR="00776F16" w:rsidRPr="00D95C9E" w:rsidRDefault="0031298A" w:rsidP="00EA21D5">
      <w:pPr>
        <w:spacing w:before="0" w:line="240" w:lineRule="auto"/>
        <w:jc w:val="both"/>
        <w:rPr>
          <w:rFonts w:ascii="Calibri" w:eastAsia="Calibri" w:hAnsi="Calibri" w:cs="Times New Roman"/>
          <w:kern w:val="0"/>
          <w:sz w:val="22"/>
          <w:szCs w:val="22"/>
          <w:lang w:val="en-GB"/>
          <w14:ligatures w14:val="none"/>
        </w:rPr>
      </w:pPr>
      <w:bookmarkStart w:id="3" w:name="_Ref200014687"/>
      <w:r w:rsidRPr="00D95C9E">
        <w:rPr>
          <w:rFonts w:ascii="Calibri" w:eastAsia="Calibri" w:hAnsi="Calibri" w:cs="Times New Roman"/>
          <w:b/>
          <w:bCs/>
          <w:kern w:val="0"/>
          <w:sz w:val="22"/>
          <w:szCs w:val="22"/>
          <w:lang w:val="en-GB"/>
          <w14:ligatures w14:val="none"/>
        </w:rPr>
        <w:t>Supplementary figure S</w:t>
      </w:r>
      <w:bookmarkEnd w:id="3"/>
      <w:r w:rsidRPr="00D95C9E">
        <w:rPr>
          <w:rFonts w:ascii="Calibri" w:eastAsia="Calibri" w:hAnsi="Calibri" w:cs="Times New Roman"/>
          <w:b/>
          <w:bCs/>
          <w:kern w:val="0"/>
          <w:sz w:val="22"/>
          <w:szCs w:val="22"/>
          <w:lang w:val="en-GB"/>
          <w14:ligatures w14:val="none"/>
        </w:rPr>
        <w:t>4</w:t>
      </w:r>
      <w:r w:rsidR="00A6030B" w:rsidRPr="00D95C9E">
        <w:rPr>
          <w:rFonts w:ascii="Calibri" w:eastAsia="Calibri" w:hAnsi="Calibri" w:cs="Times New Roman"/>
          <w:b/>
          <w:bCs/>
          <w:kern w:val="0"/>
          <w:sz w:val="22"/>
          <w:szCs w:val="22"/>
          <w:lang w:val="en-GB"/>
          <w14:ligatures w14:val="none"/>
        </w:rPr>
        <w:t>.</w:t>
      </w:r>
      <w:r w:rsidRPr="00D95C9E">
        <w:rPr>
          <w:rFonts w:ascii="Calibri" w:eastAsia="Calibri" w:hAnsi="Calibri" w:cs="Times New Roman"/>
          <w:kern w:val="0"/>
          <w:sz w:val="22"/>
          <w:szCs w:val="22"/>
          <w:lang w:val="en-GB"/>
          <w14:ligatures w14:val="none"/>
        </w:rPr>
        <w:t xml:space="preserve"> World map showing the frequency distribution of countries where all included studies were conducted. </w:t>
      </w:r>
      <w:r w:rsidR="0012669A" w:rsidRPr="00D95C9E">
        <w:rPr>
          <w:rFonts w:ascii="Calibri" w:eastAsia="Calibri" w:hAnsi="Calibri" w:cs="Times New Roman"/>
          <w:kern w:val="0"/>
          <w:sz w:val="22"/>
          <w:szCs w:val="22"/>
          <w:lang w:val="en-GB"/>
          <w14:ligatures w14:val="none"/>
        </w:rPr>
        <w:t>Colours</w:t>
      </w:r>
      <w:r w:rsidRPr="00D95C9E">
        <w:rPr>
          <w:rFonts w:ascii="Calibri" w:eastAsia="Calibri" w:hAnsi="Calibri" w:cs="Times New Roman"/>
          <w:kern w:val="0"/>
          <w:sz w:val="22"/>
          <w:szCs w:val="22"/>
          <w:lang w:val="en-GB"/>
          <w14:ligatures w14:val="none"/>
        </w:rPr>
        <w:t xml:space="preserve"> represent the number of occurrences per country, with the legend indicating specific counts</w:t>
      </w:r>
    </w:p>
    <w:p w14:paraId="059E71A1" w14:textId="77777777" w:rsidR="00B0783D" w:rsidRPr="00D95C9E" w:rsidRDefault="00B0783D" w:rsidP="00EA21D5">
      <w:pPr>
        <w:spacing w:before="0" w:line="240" w:lineRule="auto"/>
        <w:jc w:val="both"/>
        <w:rPr>
          <w:rFonts w:ascii="Calibri" w:eastAsia="Calibri" w:hAnsi="Calibri" w:cs="Times New Roman"/>
          <w:kern w:val="0"/>
          <w:sz w:val="22"/>
          <w:szCs w:val="22"/>
          <w:lang w:val="en-GB"/>
          <w14:ligatures w14:val="none"/>
        </w:rPr>
      </w:pPr>
    </w:p>
    <w:p w14:paraId="22F9FB69" w14:textId="77777777" w:rsidR="00B0783D" w:rsidRPr="00D95C9E" w:rsidRDefault="00B0783D" w:rsidP="00EA21D5">
      <w:pPr>
        <w:spacing w:before="0" w:line="240" w:lineRule="auto"/>
        <w:jc w:val="both"/>
        <w:rPr>
          <w:rFonts w:ascii="Calibri" w:eastAsia="Calibri" w:hAnsi="Calibri" w:cs="Times New Roman"/>
          <w:kern w:val="0"/>
          <w:sz w:val="22"/>
          <w:szCs w:val="22"/>
          <w:lang w:val="en-GB"/>
          <w14:ligatures w14:val="none"/>
        </w:rPr>
      </w:pPr>
    </w:p>
    <w:p w14:paraId="78CF912D" w14:textId="77777777" w:rsidR="00B0783D" w:rsidRPr="00D95C9E" w:rsidRDefault="00B0783D" w:rsidP="00EA21D5">
      <w:pPr>
        <w:spacing w:before="0" w:line="240" w:lineRule="auto"/>
        <w:jc w:val="both"/>
        <w:rPr>
          <w:rFonts w:ascii="Calibri" w:eastAsia="Calibri" w:hAnsi="Calibri" w:cs="Times New Roman"/>
          <w:kern w:val="0"/>
          <w:sz w:val="22"/>
          <w:szCs w:val="22"/>
          <w:lang w:val="en-GB"/>
          <w14:ligatures w14:val="none"/>
        </w:rPr>
      </w:pPr>
    </w:p>
    <w:p w14:paraId="289605D1" w14:textId="77777777" w:rsidR="00B0783D" w:rsidRPr="00D95C9E" w:rsidRDefault="00B0783D" w:rsidP="00EA21D5">
      <w:pPr>
        <w:spacing w:before="0" w:line="240" w:lineRule="auto"/>
        <w:jc w:val="both"/>
        <w:rPr>
          <w:rFonts w:ascii="Calibri" w:eastAsia="Calibri" w:hAnsi="Calibri" w:cs="Times New Roman"/>
          <w:kern w:val="0"/>
          <w:sz w:val="22"/>
          <w:szCs w:val="22"/>
          <w:lang w:val="en-GB"/>
          <w14:ligatures w14:val="none"/>
        </w:rPr>
      </w:pPr>
    </w:p>
    <w:p w14:paraId="5DBD5A4E" w14:textId="77777777" w:rsidR="00B0783D" w:rsidRPr="00D95C9E" w:rsidRDefault="00B0783D" w:rsidP="00EA21D5">
      <w:pPr>
        <w:spacing w:before="0" w:line="240" w:lineRule="auto"/>
        <w:jc w:val="both"/>
        <w:rPr>
          <w:rFonts w:ascii="Calibri" w:eastAsia="Calibri" w:hAnsi="Calibri" w:cs="Times New Roman"/>
          <w:kern w:val="0"/>
          <w:sz w:val="22"/>
          <w:szCs w:val="22"/>
          <w:lang w:val="en-GB"/>
          <w14:ligatures w14:val="none"/>
        </w:rPr>
      </w:pPr>
    </w:p>
    <w:p w14:paraId="1694C1E7" w14:textId="77777777" w:rsidR="00B0783D" w:rsidRPr="00D95C9E" w:rsidRDefault="00B0783D" w:rsidP="00EA21D5">
      <w:pPr>
        <w:spacing w:before="0" w:line="240" w:lineRule="auto"/>
        <w:jc w:val="both"/>
        <w:rPr>
          <w:rFonts w:ascii="Calibri" w:eastAsia="Calibri" w:hAnsi="Calibri" w:cs="Times New Roman"/>
          <w:kern w:val="0"/>
          <w:sz w:val="22"/>
          <w:szCs w:val="22"/>
          <w:lang w:val="en-GB"/>
          <w14:ligatures w14:val="none"/>
        </w:rPr>
      </w:pPr>
    </w:p>
    <w:p w14:paraId="62E5A2DB"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kern w:val="0"/>
          <w:sz w:val="22"/>
          <w:szCs w:val="22"/>
          <w:lang w:val="en-GB"/>
          <w14:ligatures w14:val="none"/>
        </w:rPr>
        <w:br w:type="page"/>
      </w:r>
    </w:p>
    <w:p w14:paraId="1EA587DF"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noProof/>
          <w:kern w:val="0"/>
          <w:sz w:val="22"/>
          <w:szCs w:val="22"/>
          <w:lang w:val="en-GB"/>
          <w14:ligatures w14:val="none"/>
        </w:rPr>
        <w:lastRenderedPageBreak/>
        <w:drawing>
          <wp:inline distT="0" distB="0" distL="0" distR="0" wp14:anchorId="6E214D07" wp14:editId="0E95042D">
            <wp:extent cx="5760720" cy="4723130"/>
            <wp:effectExtent l="0" t="0" r="0" b="1270"/>
            <wp:docPr id="589232093" name="Afbeelding 1" descr="Afbeelding met schermopnam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32093" name="Afbeelding 1" descr="Afbeelding met schermopname, lijn&#10;&#10;Door AI gegenereerde inhoud is mogelijk onjuis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4723130"/>
                    </a:xfrm>
                    <a:prstGeom prst="rect">
                      <a:avLst/>
                    </a:prstGeom>
                  </pic:spPr>
                </pic:pic>
              </a:graphicData>
            </a:graphic>
          </wp:inline>
        </w:drawing>
      </w:r>
    </w:p>
    <w:p w14:paraId="4F5A4775" w14:textId="48027385"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b/>
          <w:bCs/>
          <w:kern w:val="0"/>
          <w:sz w:val="22"/>
          <w:szCs w:val="22"/>
          <w:lang w:val="en-GB"/>
          <w14:ligatures w14:val="none"/>
        </w:rPr>
        <w:t>Supplementary figure S5.</w:t>
      </w:r>
      <w:r w:rsidRPr="00B0783D">
        <w:rPr>
          <w:rFonts w:ascii="Calibri" w:eastAsia="Calibri" w:hAnsi="Calibri" w:cs="Times New Roman"/>
          <w:kern w:val="0"/>
          <w:sz w:val="22"/>
          <w:szCs w:val="22"/>
          <w:lang w:val="en-GB"/>
          <w14:ligatures w14:val="none"/>
        </w:rPr>
        <w:t xml:space="preserve"> Visualisation of reconstructed Kaplan-Meijer curves (</w:t>
      </w:r>
      <w:r w:rsidRPr="00B0783D">
        <w:rPr>
          <w:rFonts w:ascii="Calibri" w:eastAsia="Calibri" w:hAnsi="Calibri" w:cs="Times New Roman"/>
          <w:b/>
          <w:bCs/>
          <w:kern w:val="0"/>
          <w:sz w:val="22"/>
          <w:szCs w:val="22"/>
          <w:lang w:val="en-GB"/>
          <w14:ligatures w14:val="none"/>
        </w:rPr>
        <w:t>E</w:t>
      </w:r>
      <w:r w:rsidRPr="00B0783D">
        <w:rPr>
          <w:rFonts w:ascii="Calibri" w:eastAsia="Calibri" w:hAnsi="Calibri" w:cs="Times New Roman"/>
          <w:kern w:val="0"/>
          <w:sz w:val="22"/>
          <w:szCs w:val="22"/>
          <w:lang w:val="en-GB"/>
          <w14:ligatures w14:val="none"/>
        </w:rPr>
        <w:t>) of Baldus et al. 2002 for overall survival of high (</w:t>
      </w:r>
      <w:r w:rsidRPr="00B0783D">
        <w:rPr>
          <w:rFonts w:ascii="Calibri" w:eastAsia="Calibri" w:hAnsi="Calibri" w:cs="Times New Roman"/>
          <w:b/>
          <w:bCs/>
          <w:kern w:val="0"/>
          <w:sz w:val="22"/>
          <w:szCs w:val="22"/>
          <w:lang w:val="en-GB"/>
          <w14:ligatures w14:val="none"/>
        </w:rPr>
        <w:t>C,D</w:t>
      </w:r>
      <w:r w:rsidRPr="00B0783D">
        <w:rPr>
          <w:rFonts w:ascii="Calibri" w:eastAsia="Calibri" w:hAnsi="Calibri" w:cs="Times New Roman"/>
          <w:kern w:val="0"/>
          <w:sz w:val="22"/>
          <w:szCs w:val="22"/>
          <w:lang w:val="en-GB"/>
          <w14:ligatures w14:val="none"/>
        </w:rPr>
        <w:t>) MUC1 expression compared to low (</w:t>
      </w:r>
      <w:r w:rsidRPr="00B0783D">
        <w:rPr>
          <w:rFonts w:ascii="Calibri" w:eastAsia="Calibri" w:hAnsi="Calibri" w:cs="Times New Roman"/>
          <w:b/>
          <w:bCs/>
          <w:kern w:val="0"/>
          <w:sz w:val="22"/>
          <w:szCs w:val="22"/>
          <w:lang w:val="en-GB"/>
          <w14:ligatures w14:val="none"/>
        </w:rPr>
        <w:t>A, B</w:t>
      </w:r>
      <w:r w:rsidRPr="00B0783D">
        <w:rPr>
          <w:rFonts w:ascii="Calibri" w:eastAsia="Calibri" w:hAnsi="Calibri" w:cs="Times New Roman"/>
          <w:kern w:val="0"/>
          <w:sz w:val="22"/>
          <w:szCs w:val="22"/>
          <w:lang w:val="en-GB"/>
          <w14:ligatures w14:val="none"/>
        </w:rPr>
        <w:t xml:space="preserve">), based on estimated individual patient data (IPD) using </w:t>
      </w:r>
      <w:proofErr w:type="spellStart"/>
      <w:r w:rsidRPr="00B0783D">
        <w:rPr>
          <w:rFonts w:ascii="Calibri" w:eastAsia="Calibri" w:hAnsi="Calibri" w:cs="Times New Roman"/>
          <w:kern w:val="0"/>
          <w:sz w:val="22"/>
          <w:szCs w:val="22"/>
          <w:lang w:val="en-GB"/>
          <w14:ligatures w14:val="none"/>
        </w:rPr>
        <w:t>IPDfromKM</w:t>
      </w:r>
      <w:proofErr w:type="spellEnd"/>
      <w:r w:rsidRPr="00B0783D">
        <w:rPr>
          <w:rFonts w:ascii="Calibri" w:eastAsia="Calibri" w:hAnsi="Calibri" w:cs="Times New Roman"/>
          <w:kern w:val="0"/>
          <w:sz w:val="22"/>
          <w:szCs w:val="22"/>
          <w:lang w:val="en-GB"/>
          <w14:ligatures w14:val="none"/>
        </w:rPr>
        <w:t>. For each arm, the data points (red dots) from the original Kaplan-Meijer curve are shown (</w:t>
      </w:r>
      <w:r w:rsidRPr="00B0783D">
        <w:rPr>
          <w:rFonts w:ascii="Calibri" w:eastAsia="Calibri" w:hAnsi="Calibri" w:cs="Times New Roman"/>
          <w:b/>
          <w:bCs/>
          <w:kern w:val="0"/>
          <w:sz w:val="22"/>
          <w:szCs w:val="22"/>
          <w:lang w:val="en-GB"/>
          <w14:ligatures w14:val="none"/>
        </w:rPr>
        <w:t>A,C</w:t>
      </w:r>
      <w:r w:rsidRPr="00B0783D">
        <w:rPr>
          <w:rFonts w:ascii="Calibri" w:eastAsia="Calibri" w:hAnsi="Calibri" w:cs="Times New Roman"/>
          <w:kern w:val="0"/>
          <w:sz w:val="22"/>
          <w:szCs w:val="22"/>
          <w:lang w:val="en-GB"/>
          <w14:ligatures w14:val="none"/>
        </w:rPr>
        <w:t>) together with the new fitted curve (black line) and it’s 95% confidence interval (red). Accuracy can be evaluated using the difference between the original data points and the reconstructed Kaplan-Meijer curves (</w:t>
      </w:r>
      <w:r w:rsidRPr="00B0783D">
        <w:rPr>
          <w:rFonts w:ascii="Calibri" w:eastAsia="Calibri" w:hAnsi="Calibri" w:cs="Times New Roman"/>
          <w:b/>
          <w:bCs/>
          <w:kern w:val="0"/>
          <w:sz w:val="22"/>
          <w:szCs w:val="22"/>
          <w:lang w:val="en-GB"/>
          <w14:ligatures w14:val="none"/>
        </w:rPr>
        <w:t>B,D</w:t>
      </w:r>
      <w:r w:rsidRPr="00B0783D">
        <w:rPr>
          <w:rFonts w:ascii="Calibri" w:eastAsia="Calibri" w:hAnsi="Calibri" w:cs="Times New Roman"/>
          <w:kern w:val="0"/>
          <w:sz w:val="22"/>
          <w:szCs w:val="22"/>
          <w:lang w:val="en-GB"/>
          <w14:ligatures w14:val="none"/>
        </w:rPr>
        <w:t xml:space="preserve">). Finally, the univariate analysis is redone using the IPD reporting the estimated </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SE(</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and the p-value of the log-rank test for comparison to the original publication (</w:t>
      </w:r>
      <w:r w:rsidRPr="00B0783D">
        <w:rPr>
          <w:rFonts w:ascii="Calibri" w:eastAsia="Calibri" w:hAnsi="Calibri" w:cs="Times New Roman"/>
          <w:b/>
          <w:bCs/>
          <w:kern w:val="0"/>
          <w:sz w:val="22"/>
          <w:szCs w:val="22"/>
          <w:lang w:val="en-GB"/>
          <w14:ligatures w14:val="none"/>
        </w:rPr>
        <w:t>E,F</w:t>
      </w:r>
      <w:r w:rsidRPr="00B0783D">
        <w:rPr>
          <w:rFonts w:ascii="Calibri" w:eastAsia="Calibri" w:hAnsi="Calibri" w:cs="Times New Roman"/>
          <w:kern w:val="0"/>
          <w:sz w:val="22"/>
          <w:szCs w:val="22"/>
          <w:lang w:val="en-GB"/>
          <w14:ligatures w14:val="none"/>
        </w:rPr>
        <w:t>).</w:t>
      </w:r>
    </w:p>
    <w:p w14:paraId="55743E5A" w14:textId="77777777" w:rsidR="00B0783D" w:rsidRPr="00B0783D" w:rsidRDefault="00B0783D" w:rsidP="00B0783D">
      <w:pPr>
        <w:spacing w:before="0" w:line="240" w:lineRule="auto"/>
        <w:jc w:val="both"/>
        <w:rPr>
          <w:rFonts w:ascii="Calibri" w:eastAsia="Calibri" w:hAnsi="Calibri" w:cs="Times New Roman"/>
          <w:kern w:val="0"/>
          <w:sz w:val="22"/>
          <w:szCs w:val="22"/>
          <w:lang w:val="en-US"/>
          <w14:ligatures w14:val="none"/>
        </w:rPr>
      </w:pPr>
      <w:r w:rsidRPr="00B0783D">
        <w:rPr>
          <w:rFonts w:ascii="Calibri" w:eastAsia="Calibri" w:hAnsi="Calibri" w:cs="Times New Roman"/>
          <w:kern w:val="0"/>
          <w:sz w:val="22"/>
          <w:szCs w:val="22"/>
          <w:lang w:val="en-US"/>
          <w14:ligatures w14:val="none"/>
        </w:rPr>
        <w:br w:type="page"/>
      </w:r>
    </w:p>
    <w:p w14:paraId="6788DD48" w14:textId="77777777" w:rsidR="00B0783D" w:rsidRPr="00B0783D" w:rsidRDefault="00B0783D" w:rsidP="00B0783D">
      <w:pPr>
        <w:spacing w:before="0" w:line="240" w:lineRule="auto"/>
        <w:jc w:val="both"/>
        <w:rPr>
          <w:rFonts w:ascii="Calibri" w:eastAsia="Calibri" w:hAnsi="Calibri" w:cs="Times New Roman"/>
          <w:kern w:val="0"/>
          <w:sz w:val="22"/>
          <w:szCs w:val="22"/>
          <w:lang w:val="en-US"/>
          <w14:ligatures w14:val="none"/>
        </w:rPr>
      </w:pPr>
      <w:r w:rsidRPr="00B0783D">
        <w:rPr>
          <w:rFonts w:ascii="Calibri" w:eastAsia="Calibri" w:hAnsi="Calibri" w:cs="Times New Roman"/>
          <w:noProof/>
          <w:kern w:val="0"/>
          <w:sz w:val="22"/>
          <w:szCs w:val="22"/>
          <w:lang w:val="en-US"/>
          <w14:ligatures w14:val="none"/>
        </w:rPr>
        <w:lastRenderedPageBreak/>
        <w:drawing>
          <wp:inline distT="0" distB="0" distL="0" distR="0" wp14:anchorId="05CDE4EE" wp14:editId="46D422E0">
            <wp:extent cx="5760720" cy="4745990"/>
            <wp:effectExtent l="0" t="0" r="0" b="0"/>
            <wp:docPr id="1779848193" name="Afbeelding 2" descr="Afbeelding me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848193" name="Afbeelding 2" descr="Afbeelding met schermopname&#10;&#10;Door AI gegenereerde inhoud is mogelijk onjuis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4745990"/>
                    </a:xfrm>
                    <a:prstGeom prst="rect">
                      <a:avLst/>
                    </a:prstGeom>
                  </pic:spPr>
                </pic:pic>
              </a:graphicData>
            </a:graphic>
          </wp:inline>
        </w:drawing>
      </w:r>
    </w:p>
    <w:p w14:paraId="089E0427" w14:textId="21168F9B"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b/>
          <w:bCs/>
          <w:kern w:val="0"/>
          <w:sz w:val="22"/>
          <w:szCs w:val="22"/>
          <w:lang w:val="en-GB"/>
          <w14:ligatures w14:val="none"/>
        </w:rPr>
        <w:t>Supplementary figure S6.</w:t>
      </w:r>
      <w:r w:rsidRPr="00B0783D">
        <w:rPr>
          <w:rFonts w:ascii="Calibri" w:eastAsia="Calibri" w:hAnsi="Calibri" w:cs="Times New Roman"/>
          <w:kern w:val="0"/>
          <w:sz w:val="22"/>
          <w:szCs w:val="22"/>
          <w:lang w:val="en-GB"/>
          <w14:ligatures w14:val="none"/>
        </w:rPr>
        <w:t xml:space="preserve"> Visualisation of reconstructed Kaplan-Meijer curves (</w:t>
      </w:r>
      <w:r w:rsidRPr="00B0783D">
        <w:rPr>
          <w:rFonts w:ascii="Calibri" w:eastAsia="Calibri" w:hAnsi="Calibri" w:cs="Times New Roman"/>
          <w:b/>
          <w:bCs/>
          <w:kern w:val="0"/>
          <w:sz w:val="22"/>
          <w:szCs w:val="22"/>
          <w:lang w:val="en-GB"/>
          <w14:ligatures w14:val="none"/>
        </w:rPr>
        <w:t>E</w:t>
      </w:r>
      <w:r w:rsidRPr="00B0783D">
        <w:rPr>
          <w:rFonts w:ascii="Calibri" w:eastAsia="Calibri" w:hAnsi="Calibri" w:cs="Times New Roman"/>
          <w:kern w:val="0"/>
          <w:sz w:val="22"/>
          <w:szCs w:val="22"/>
          <w:lang w:val="en-GB"/>
          <w14:ligatures w14:val="none"/>
        </w:rPr>
        <w:t>) of Baldus et al. 2004 for overall survival of high (</w:t>
      </w:r>
      <w:r w:rsidRPr="00B0783D">
        <w:rPr>
          <w:rFonts w:ascii="Calibri" w:eastAsia="Calibri" w:hAnsi="Calibri" w:cs="Times New Roman"/>
          <w:b/>
          <w:bCs/>
          <w:kern w:val="0"/>
          <w:sz w:val="22"/>
          <w:szCs w:val="22"/>
          <w:lang w:val="en-GB"/>
          <w14:ligatures w14:val="none"/>
        </w:rPr>
        <w:t>C,D</w:t>
      </w:r>
      <w:r w:rsidRPr="00B0783D">
        <w:rPr>
          <w:rFonts w:ascii="Calibri" w:eastAsia="Calibri" w:hAnsi="Calibri" w:cs="Times New Roman"/>
          <w:kern w:val="0"/>
          <w:sz w:val="22"/>
          <w:szCs w:val="22"/>
          <w:lang w:val="en-GB"/>
          <w14:ligatures w14:val="none"/>
        </w:rPr>
        <w:t>) MUC1 expression compared to low (</w:t>
      </w:r>
      <w:r w:rsidRPr="00B0783D">
        <w:rPr>
          <w:rFonts w:ascii="Calibri" w:eastAsia="Calibri" w:hAnsi="Calibri" w:cs="Times New Roman"/>
          <w:b/>
          <w:bCs/>
          <w:kern w:val="0"/>
          <w:sz w:val="22"/>
          <w:szCs w:val="22"/>
          <w:lang w:val="en-GB"/>
          <w14:ligatures w14:val="none"/>
        </w:rPr>
        <w:t>A, B</w:t>
      </w:r>
      <w:r w:rsidRPr="00B0783D">
        <w:rPr>
          <w:rFonts w:ascii="Calibri" w:eastAsia="Calibri" w:hAnsi="Calibri" w:cs="Times New Roman"/>
          <w:kern w:val="0"/>
          <w:sz w:val="22"/>
          <w:szCs w:val="22"/>
          <w:lang w:val="en-GB"/>
          <w14:ligatures w14:val="none"/>
        </w:rPr>
        <w:t xml:space="preserve">), based on estimated individual patient data (IPD) using </w:t>
      </w:r>
      <w:proofErr w:type="spellStart"/>
      <w:r w:rsidRPr="00B0783D">
        <w:rPr>
          <w:rFonts w:ascii="Calibri" w:eastAsia="Calibri" w:hAnsi="Calibri" w:cs="Times New Roman"/>
          <w:kern w:val="0"/>
          <w:sz w:val="22"/>
          <w:szCs w:val="22"/>
          <w:lang w:val="en-GB"/>
          <w14:ligatures w14:val="none"/>
        </w:rPr>
        <w:t>IPDfromKM</w:t>
      </w:r>
      <w:proofErr w:type="spellEnd"/>
      <w:r w:rsidRPr="00B0783D">
        <w:rPr>
          <w:rFonts w:ascii="Calibri" w:eastAsia="Calibri" w:hAnsi="Calibri" w:cs="Times New Roman"/>
          <w:kern w:val="0"/>
          <w:sz w:val="22"/>
          <w:szCs w:val="22"/>
          <w:lang w:val="en-GB"/>
          <w14:ligatures w14:val="none"/>
        </w:rPr>
        <w:t>. For each arm, the data points (red dots) from the original Kaplan-Meijer curve are shown (</w:t>
      </w:r>
      <w:r w:rsidRPr="00B0783D">
        <w:rPr>
          <w:rFonts w:ascii="Calibri" w:eastAsia="Calibri" w:hAnsi="Calibri" w:cs="Times New Roman"/>
          <w:b/>
          <w:bCs/>
          <w:kern w:val="0"/>
          <w:sz w:val="22"/>
          <w:szCs w:val="22"/>
          <w:lang w:val="en-GB"/>
          <w14:ligatures w14:val="none"/>
        </w:rPr>
        <w:t>A,C</w:t>
      </w:r>
      <w:r w:rsidRPr="00B0783D">
        <w:rPr>
          <w:rFonts w:ascii="Calibri" w:eastAsia="Calibri" w:hAnsi="Calibri" w:cs="Times New Roman"/>
          <w:kern w:val="0"/>
          <w:sz w:val="22"/>
          <w:szCs w:val="22"/>
          <w:lang w:val="en-GB"/>
          <w14:ligatures w14:val="none"/>
        </w:rPr>
        <w:t>) together with the new fitted curve (black line) and it’s 95% confidence interval (red). Accuracy can be evaluated using the difference between the original data points and the reconstructed Kaplan-Meijer curves (</w:t>
      </w:r>
      <w:r w:rsidRPr="00B0783D">
        <w:rPr>
          <w:rFonts w:ascii="Calibri" w:eastAsia="Calibri" w:hAnsi="Calibri" w:cs="Times New Roman"/>
          <w:b/>
          <w:bCs/>
          <w:kern w:val="0"/>
          <w:sz w:val="22"/>
          <w:szCs w:val="22"/>
          <w:lang w:val="en-GB"/>
          <w14:ligatures w14:val="none"/>
        </w:rPr>
        <w:t>B,D</w:t>
      </w:r>
      <w:r w:rsidRPr="00B0783D">
        <w:rPr>
          <w:rFonts w:ascii="Calibri" w:eastAsia="Calibri" w:hAnsi="Calibri" w:cs="Times New Roman"/>
          <w:kern w:val="0"/>
          <w:sz w:val="22"/>
          <w:szCs w:val="22"/>
          <w:lang w:val="en-GB"/>
          <w14:ligatures w14:val="none"/>
        </w:rPr>
        <w:t xml:space="preserve">). Finally, the univariate analysis is redone using the IPD reporting the estimated </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SE(</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and the p-value of the log-rank test for comparison to the original publication (</w:t>
      </w:r>
      <w:r w:rsidRPr="00B0783D">
        <w:rPr>
          <w:rFonts w:ascii="Calibri" w:eastAsia="Calibri" w:hAnsi="Calibri" w:cs="Times New Roman"/>
          <w:b/>
          <w:bCs/>
          <w:kern w:val="0"/>
          <w:sz w:val="22"/>
          <w:szCs w:val="22"/>
          <w:lang w:val="en-GB"/>
          <w14:ligatures w14:val="none"/>
        </w:rPr>
        <w:t>E,F</w:t>
      </w:r>
      <w:r w:rsidRPr="00B0783D">
        <w:rPr>
          <w:rFonts w:ascii="Calibri" w:eastAsia="Calibri" w:hAnsi="Calibri" w:cs="Times New Roman"/>
          <w:kern w:val="0"/>
          <w:sz w:val="22"/>
          <w:szCs w:val="22"/>
          <w:lang w:val="en-GB"/>
          <w14:ligatures w14:val="none"/>
        </w:rPr>
        <w:t>).</w:t>
      </w:r>
    </w:p>
    <w:p w14:paraId="3111FC59"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kern w:val="0"/>
          <w:sz w:val="22"/>
          <w:szCs w:val="22"/>
          <w:lang w:val="en-GB"/>
          <w14:ligatures w14:val="none"/>
        </w:rPr>
        <w:br w:type="page"/>
      </w:r>
    </w:p>
    <w:p w14:paraId="1A0AB44E"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noProof/>
          <w:kern w:val="0"/>
          <w:sz w:val="22"/>
          <w:szCs w:val="22"/>
          <w:lang w:val="en-GB"/>
          <w14:ligatures w14:val="none"/>
        </w:rPr>
        <w:lastRenderedPageBreak/>
        <w:drawing>
          <wp:inline distT="0" distB="0" distL="0" distR="0" wp14:anchorId="534ACFDA" wp14:editId="7814CE49">
            <wp:extent cx="5760720" cy="4746625"/>
            <wp:effectExtent l="0" t="0" r="0" b="0"/>
            <wp:docPr id="56348176" name="Afbeelding 3" descr="Afbeelding me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48176" name="Afbeelding 3" descr="Afbeelding met schermopname&#10;&#10;Door AI gegenereerde inhoud is mogelijk onjuis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746625"/>
                    </a:xfrm>
                    <a:prstGeom prst="rect">
                      <a:avLst/>
                    </a:prstGeom>
                  </pic:spPr>
                </pic:pic>
              </a:graphicData>
            </a:graphic>
          </wp:inline>
        </w:drawing>
      </w:r>
    </w:p>
    <w:p w14:paraId="27B3E33D" w14:textId="128F95B1"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b/>
          <w:bCs/>
          <w:kern w:val="0"/>
          <w:sz w:val="22"/>
          <w:szCs w:val="22"/>
          <w:lang w:val="en-GB"/>
          <w14:ligatures w14:val="none"/>
        </w:rPr>
        <w:t>Supplementary figure S7.</w:t>
      </w:r>
      <w:r w:rsidRPr="00B0783D">
        <w:rPr>
          <w:rFonts w:ascii="Calibri" w:eastAsia="Calibri" w:hAnsi="Calibri" w:cs="Times New Roman"/>
          <w:kern w:val="0"/>
          <w:sz w:val="22"/>
          <w:szCs w:val="22"/>
          <w:lang w:val="en-GB"/>
          <w14:ligatures w14:val="none"/>
        </w:rPr>
        <w:t xml:space="preserve"> Visualisation of reconstructed Kaplan-Meijer curves (</w:t>
      </w:r>
      <w:r w:rsidRPr="00B0783D">
        <w:rPr>
          <w:rFonts w:ascii="Calibri" w:eastAsia="Calibri" w:hAnsi="Calibri" w:cs="Times New Roman"/>
          <w:b/>
          <w:bCs/>
          <w:kern w:val="0"/>
          <w:sz w:val="22"/>
          <w:szCs w:val="22"/>
          <w:lang w:val="en-GB"/>
          <w14:ligatures w14:val="none"/>
        </w:rPr>
        <w:t>E</w:t>
      </w:r>
      <w:r w:rsidRPr="00B0783D">
        <w:rPr>
          <w:rFonts w:ascii="Calibri" w:eastAsia="Calibri" w:hAnsi="Calibri" w:cs="Times New Roman"/>
          <w:kern w:val="0"/>
          <w:sz w:val="22"/>
          <w:szCs w:val="22"/>
          <w:lang w:val="en-GB"/>
          <w14:ligatures w14:val="none"/>
        </w:rPr>
        <w:t xml:space="preserve">) of </w:t>
      </w:r>
      <w:proofErr w:type="spellStart"/>
      <w:r w:rsidRPr="00B0783D">
        <w:rPr>
          <w:rFonts w:ascii="Calibri" w:eastAsia="Calibri" w:hAnsi="Calibri" w:cs="Times New Roman"/>
          <w:kern w:val="0"/>
          <w:sz w:val="22"/>
          <w:szCs w:val="22"/>
          <w:lang w:val="en-GB"/>
          <w14:ligatures w14:val="none"/>
        </w:rPr>
        <w:t>Betge</w:t>
      </w:r>
      <w:proofErr w:type="spellEnd"/>
      <w:r w:rsidRPr="00B0783D">
        <w:rPr>
          <w:rFonts w:ascii="Calibri" w:eastAsia="Calibri" w:hAnsi="Calibri" w:cs="Times New Roman"/>
          <w:kern w:val="0"/>
          <w:sz w:val="22"/>
          <w:szCs w:val="22"/>
          <w:lang w:val="en-GB"/>
          <w14:ligatures w14:val="none"/>
        </w:rPr>
        <w:t xml:space="preserve"> et al. 2016 for cancer specific survival of high (</w:t>
      </w:r>
      <w:r w:rsidRPr="00B0783D">
        <w:rPr>
          <w:rFonts w:ascii="Calibri" w:eastAsia="Calibri" w:hAnsi="Calibri" w:cs="Times New Roman"/>
          <w:b/>
          <w:bCs/>
          <w:kern w:val="0"/>
          <w:sz w:val="22"/>
          <w:szCs w:val="22"/>
          <w:lang w:val="en-GB"/>
          <w14:ligatures w14:val="none"/>
        </w:rPr>
        <w:t>C,D</w:t>
      </w:r>
      <w:r w:rsidRPr="00B0783D">
        <w:rPr>
          <w:rFonts w:ascii="Calibri" w:eastAsia="Calibri" w:hAnsi="Calibri" w:cs="Times New Roman"/>
          <w:kern w:val="0"/>
          <w:sz w:val="22"/>
          <w:szCs w:val="22"/>
          <w:lang w:val="en-GB"/>
          <w14:ligatures w14:val="none"/>
        </w:rPr>
        <w:t>) MUC2 expression compared to low (</w:t>
      </w:r>
      <w:r w:rsidRPr="00B0783D">
        <w:rPr>
          <w:rFonts w:ascii="Calibri" w:eastAsia="Calibri" w:hAnsi="Calibri" w:cs="Times New Roman"/>
          <w:b/>
          <w:bCs/>
          <w:kern w:val="0"/>
          <w:sz w:val="22"/>
          <w:szCs w:val="22"/>
          <w:lang w:val="en-GB"/>
          <w14:ligatures w14:val="none"/>
        </w:rPr>
        <w:t>A, B</w:t>
      </w:r>
      <w:r w:rsidRPr="00B0783D">
        <w:rPr>
          <w:rFonts w:ascii="Calibri" w:eastAsia="Calibri" w:hAnsi="Calibri" w:cs="Times New Roman"/>
          <w:kern w:val="0"/>
          <w:sz w:val="22"/>
          <w:szCs w:val="22"/>
          <w:lang w:val="en-GB"/>
          <w14:ligatures w14:val="none"/>
        </w:rPr>
        <w:t xml:space="preserve">), based on estimated individual patient data (IPD) using </w:t>
      </w:r>
      <w:proofErr w:type="spellStart"/>
      <w:r w:rsidRPr="00B0783D">
        <w:rPr>
          <w:rFonts w:ascii="Calibri" w:eastAsia="Calibri" w:hAnsi="Calibri" w:cs="Times New Roman"/>
          <w:kern w:val="0"/>
          <w:sz w:val="22"/>
          <w:szCs w:val="22"/>
          <w:lang w:val="en-GB"/>
          <w14:ligatures w14:val="none"/>
        </w:rPr>
        <w:t>IPDfromKM</w:t>
      </w:r>
      <w:proofErr w:type="spellEnd"/>
      <w:r w:rsidRPr="00B0783D">
        <w:rPr>
          <w:rFonts w:ascii="Calibri" w:eastAsia="Calibri" w:hAnsi="Calibri" w:cs="Times New Roman"/>
          <w:kern w:val="0"/>
          <w:sz w:val="22"/>
          <w:szCs w:val="22"/>
          <w:lang w:val="en-GB"/>
          <w14:ligatures w14:val="none"/>
        </w:rPr>
        <w:t>. For each arm, the data points (red dots) from the original Kaplan-Meijer curve are shown (</w:t>
      </w:r>
      <w:r w:rsidRPr="00B0783D">
        <w:rPr>
          <w:rFonts w:ascii="Calibri" w:eastAsia="Calibri" w:hAnsi="Calibri" w:cs="Times New Roman"/>
          <w:b/>
          <w:bCs/>
          <w:kern w:val="0"/>
          <w:sz w:val="22"/>
          <w:szCs w:val="22"/>
          <w:lang w:val="en-GB"/>
          <w14:ligatures w14:val="none"/>
        </w:rPr>
        <w:t>A,C</w:t>
      </w:r>
      <w:r w:rsidRPr="00B0783D">
        <w:rPr>
          <w:rFonts w:ascii="Calibri" w:eastAsia="Calibri" w:hAnsi="Calibri" w:cs="Times New Roman"/>
          <w:kern w:val="0"/>
          <w:sz w:val="22"/>
          <w:szCs w:val="22"/>
          <w:lang w:val="en-GB"/>
          <w14:ligatures w14:val="none"/>
        </w:rPr>
        <w:t>) together with the new fitted curve (black line) and it’s 95% confidence interval (red). Accuracy can be evaluated using the difference between the original data points and the reconstructed Kaplan-Meijer curves (</w:t>
      </w:r>
      <w:r w:rsidRPr="00B0783D">
        <w:rPr>
          <w:rFonts w:ascii="Calibri" w:eastAsia="Calibri" w:hAnsi="Calibri" w:cs="Times New Roman"/>
          <w:b/>
          <w:bCs/>
          <w:kern w:val="0"/>
          <w:sz w:val="22"/>
          <w:szCs w:val="22"/>
          <w:lang w:val="en-GB"/>
          <w14:ligatures w14:val="none"/>
        </w:rPr>
        <w:t>B,D</w:t>
      </w:r>
      <w:r w:rsidRPr="00B0783D">
        <w:rPr>
          <w:rFonts w:ascii="Calibri" w:eastAsia="Calibri" w:hAnsi="Calibri" w:cs="Times New Roman"/>
          <w:kern w:val="0"/>
          <w:sz w:val="22"/>
          <w:szCs w:val="22"/>
          <w:lang w:val="en-GB"/>
          <w14:ligatures w14:val="none"/>
        </w:rPr>
        <w:t xml:space="preserve">). Finally, the univariate analysis is redone using the IPD reporting the estimated </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SE(</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and the p-value of the log-rank test for comparison to the original publication (</w:t>
      </w:r>
      <w:r w:rsidRPr="00B0783D">
        <w:rPr>
          <w:rFonts w:ascii="Calibri" w:eastAsia="Calibri" w:hAnsi="Calibri" w:cs="Times New Roman"/>
          <w:b/>
          <w:bCs/>
          <w:kern w:val="0"/>
          <w:sz w:val="22"/>
          <w:szCs w:val="22"/>
          <w:lang w:val="en-GB"/>
          <w14:ligatures w14:val="none"/>
        </w:rPr>
        <w:t>E,F</w:t>
      </w:r>
      <w:r w:rsidRPr="00B0783D">
        <w:rPr>
          <w:rFonts w:ascii="Calibri" w:eastAsia="Calibri" w:hAnsi="Calibri" w:cs="Times New Roman"/>
          <w:kern w:val="0"/>
          <w:sz w:val="22"/>
          <w:szCs w:val="22"/>
          <w:lang w:val="en-GB"/>
          <w14:ligatures w14:val="none"/>
        </w:rPr>
        <w:t>).</w:t>
      </w:r>
    </w:p>
    <w:p w14:paraId="3B2158E7"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kern w:val="0"/>
          <w:sz w:val="22"/>
          <w:szCs w:val="22"/>
          <w:lang w:val="en-GB"/>
          <w14:ligatures w14:val="none"/>
        </w:rPr>
        <w:br w:type="page"/>
      </w:r>
    </w:p>
    <w:p w14:paraId="095C632C"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noProof/>
          <w:kern w:val="0"/>
          <w:sz w:val="22"/>
          <w:szCs w:val="22"/>
          <w:lang w:val="en-GB"/>
          <w14:ligatures w14:val="none"/>
        </w:rPr>
        <w:lastRenderedPageBreak/>
        <w:drawing>
          <wp:inline distT="0" distB="0" distL="0" distR="0" wp14:anchorId="513ABC88" wp14:editId="555F8A8B">
            <wp:extent cx="5760720" cy="4716145"/>
            <wp:effectExtent l="0" t="0" r="0" b="8255"/>
            <wp:docPr id="20391541" name="Afbeelding 4" descr="Afbeelding me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541" name="Afbeelding 4" descr="Afbeelding met schermopname&#10;&#10;Door AI gegenereerde inhoud is mogelijk onjuis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4716145"/>
                    </a:xfrm>
                    <a:prstGeom prst="rect">
                      <a:avLst/>
                    </a:prstGeom>
                  </pic:spPr>
                </pic:pic>
              </a:graphicData>
            </a:graphic>
          </wp:inline>
        </w:drawing>
      </w:r>
    </w:p>
    <w:p w14:paraId="38554CE0" w14:textId="569AFAAD"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b/>
          <w:bCs/>
          <w:kern w:val="0"/>
          <w:sz w:val="22"/>
          <w:szCs w:val="22"/>
          <w:lang w:val="en-GB"/>
          <w14:ligatures w14:val="none"/>
        </w:rPr>
        <w:t>Supplementary figure S8.</w:t>
      </w:r>
      <w:r w:rsidRPr="00B0783D">
        <w:rPr>
          <w:rFonts w:ascii="Calibri" w:eastAsia="Calibri" w:hAnsi="Calibri" w:cs="Times New Roman"/>
          <w:kern w:val="0"/>
          <w:sz w:val="22"/>
          <w:szCs w:val="22"/>
          <w:lang w:val="en-GB"/>
          <w14:ligatures w14:val="none"/>
        </w:rPr>
        <w:t xml:space="preserve"> Visualisation of reconstructed Kaplan-Meijer curves (</w:t>
      </w:r>
      <w:r w:rsidRPr="00B0783D">
        <w:rPr>
          <w:rFonts w:ascii="Calibri" w:eastAsia="Calibri" w:hAnsi="Calibri" w:cs="Times New Roman"/>
          <w:b/>
          <w:bCs/>
          <w:kern w:val="0"/>
          <w:sz w:val="22"/>
          <w:szCs w:val="22"/>
          <w:lang w:val="en-GB"/>
          <w14:ligatures w14:val="none"/>
        </w:rPr>
        <w:t>E</w:t>
      </w:r>
      <w:r w:rsidRPr="00B0783D">
        <w:rPr>
          <w:rFonts w:ascii="Calibri" w:eastAsia="Calibri" w:hAnsi="Calibri" w:cs="Times New Roman"/>
          <w:kern w:val="0"/>
          <w:sz w:val="22"/>
          <w:szCs w:val="22"/>
          <w:lang w:val="en-GB"/>
          <w14:ligatures w14:val="none"/>
        </w:rPr>
        <w:t>) of Duncan et al. 2007 for cancer specific survival of high (</w:t>
      </w:r>
      <w:r w:rsidRPr="00B0783D">
        <w:rPr>
          <w:rFonts w:ascii="Calibri" w:eastAsia="Calibri" w:hAnsi="Calibri" w:cs="Times New Roman"/>
          <w:b/>
          <w:bCs/>
          <w:kern w:val="0"/>
          <w:sz w:val="22"/>
          <w:szCs w:val="22"/>
          <w:lang w:val="en-GB"/>
          <w14:ligatures w14:val="none"/>
        </w:rPr>
        <w:t>C,D</w:t>
      </w:r>
      <w:r w:rsidRPr="00B0783D">
        <w:rPr>
          <w:rFonts w:ascii="Calibri" w:eastAsia="Calibri" w:hAnsi="Calibri" w:cs="Times New Roman"/>
          <w:kern w:val="0"/>
          <w:sz w:val="22"/>
          <w:szCs w:val="22"/>
          <w:lang w:val="en-GB"/>
          <w14:ligatures w14:val="none"/>
        </w:rPr>
        <w:t>) MUC1 expression compared to low (</w:t>
      </w:r>
      <w:r w:rsidRPr="00B0783D">
        <w:rPr>
          <w:rFonts w:ascii="Calibri" w:eastAsia="Calibri" w:hAnsi="Calibri" w:cs="Times New Roman"/>
          <w:b/>
          <w:bCs/>
          <w:kern w:val="0"/>
          <w:sz w:val="22"/>
          <w:szCs w:val="22"/>
          <w:lang w:val="en-GB"/>
          <w14:ligatures w14:val="none"/>
        </w:rPr>
        <w:t>A, B</w:t>
      </w:r>
      <w:r w:rsidRPr="00B0783D">
        <w:rPr>
          <w:rFonts w:ascii="Calibri" w:eastAsia="Calibri" w:hAnsi="Calibri" w:cs="Times New Roman"/>
          <w:kern w:val="0"/>
          <w:sz w:val="22"/>
          <w:szCs w:val="22"/>
          <w:lang w:val="en-GB"/>
          <w14:ligatures w14:val="none"/>
        </w:rPr>
        <w:t xml:space="preserve">), based on estimated individual patient data (IPD) using </w:t>
      </w:r>
      <w:proofErr w:type="spellStart"/>
      <w:r w:rsidRPr="00B0783D">
        <w:rPr>
          <w:rFonts w:ascii="Calibri" w:eastAsia="Calibri" w:hAnsi="Calibri" w:cs="Times New Roman"/>
          <w:kern w:val="0"/>
          <w:sz w:val="22"/>
          <w:szCs w:val="22"/>
          <w:lang w:val="en-GB"/>
          <w14:ligatures w14:val="none"/>
        </w:rPr>
        <w:t>IPDfromKM</w:t>
      </w:r>
      <w:proofErr w:type="spellEnd"/>
      <w:r w:rsidRPr="00B0783D">
        <w:rPr>
          <w:rFonts w:ascii="Calibri" w:eastAsia="Calibri" w:hAnsi="Calibri" w:cs="Times New Roman"/>
          <w:kern w:val="0"/>
          <w:sz w:val="22"/>
          <w:szCs w:val="22"/>
          <w:lang w:val="en-GB"/>
          <w14:ligatures w14:val="none"/>
        </w:rPr>
        <w:t>. For each arm, the data points (red dots) from the original Kaplan-Meijer curve are shown (</w:t>
      </w:r>
      <w:r w:rsidRPr="00B0783D">
        <w:rPr>
          <w:rFonts w:ascii="Calibri" w:eastAsia="Calibri" w:hAnsi="Calibri" w:cs="Times New Roman"/>
          <w:b/>
          <w:bCs/>
          <w:kern w:val="0"/>
          <w:sz w:val="22"/>
          <w:szCs w:val="22"/>
          <w:lang w:val="en-GB"/>
          <w14:ligatures w14:val="none"/>
        </w:rPr>
        <w:t>A,C</w:t>
      </w:r>
      <w:r w:rsidRPr="00B0783D">
        <w:rPr>
          <w:rFonts w:ascii="Calibri" w:eastAsia="Calibri" w:hAnsi="Calibri" w:cs="Times New Roman"/>
          <w:kern w:val="0"/>
          <w:sz w:val="22"/>
          <w:szCs w:val="22"/>
          <w:lang w:val="en-GB"/>
          <w14:ligatures w14:val="none"/>
        </w:rPr>
        <w:t>) together with the new fitted curve (black line) and it’s 95% confidence interval (red). Accuracy can be evaluated using the difference between the original data points and the reconstructed Kaplan-Meijer curves (</w:t>
      </w:r>
      <w:r w:rsidRPr="00B0783D">
        <w:rPr>
          <w:rFonts w:ascii="Calibri" w:eastAsia="Calibri" w:hAnsi="Calibri" w:cs="Times New Roman"/>
          <w:b/>
          <w:bCs/>
          <w:kern w:val="0"/>
          <w:sz w:val="22"/>
          <w:szCs w:val="22"/>
          <w:lang w:val="en-GB"/>
          <w14:ligatures w14:val="none"/>
        </w:rPr>
        <w:t>B,D</w:t>
      </w:r>
      <w:r w:rsidRPr="00B0783D">
        <w:rPr>
          <w:rFonts w:ascii="Calibri" w:eastAsia="Calibri" w:hAnsi="Calibri" w:cs="Times New Roman"/>
          <w:kern w:val="0"/>
          <w:sz w:val="22"/>
          <w:szCs w:val="22"/>
          <w:lang w:val="en-GB"/>
          <w14:ligatures w14:val="none"/>
        </w:rPr>
        <w:t xml:space="preserve">). Finally, the univariate analysis is redone using the IPD reporting the estimated </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SE(</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and the p-value of the log-rank test for comparison to the original publication (</w:t>
      </w:r>
      <w:r w:rsidRPr="00B0783D">
        <w:rPr>
          <w:rFonts w:ascii="Calibri" w:eastAsia="Calibri" w:hAnsi="Calibri" w:cs="Times New Roman"/>
          <w:b/>
          <w:bCs/>
          <w:kern w:val="0"/>
          <w:sz w:val="22"/>
          <w:szCs w:val="22"/>
          <w:lang w:val="en-GB"/>
          <w14:ligatures w14:val="none"/>
        </w:rPr>
        <w:t>E,F</w:t>
      </w:r>
      <w:r w:rsidRPr="00B0783D">
        <w:rPr>
          <w:rFonts w:ascii="Calibri" w:eastAsia="Calibri" w:hAnsi="Calibri" w:cs="Times New Roman"/>
          <w:kern w:val="0"/>
          <w:sz w:val="22"/>
          <w:szCs w:val="22"/>
          <w:lang w:val="en-GB"/>
          <w14:ligatures w14:val="none"/>
        </w:rPr>
        <w:t>).</w:t>
      </w:r>
    </w:p>
    <w:p w14:paraId="3B730890"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kern w:val="0"/>
          <w:sz w:val="22"/>
          <w:szCs w:val="22"/>
          <w:lang w:val="en-GB"/>
          <w14:ligatures w14:val="none"/>
        </w:rPr>
        <w:br w:type="page"/>
      </w:r>
    </w:p>
    <w:p w14:paraId="471C5853"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noProof/>
          <w:kern w:val="0"/>
          <w:sz w:val="22"/>
          <w:szCs w:val="22"/>
          <w:lang w:val="en-GB"/>
          <w14:ligatures w14:val="none"/>
        </w:rPr>
        <w:lastRenderedPageBreak/>
        <w:drawing>
          <wp:inline distT="0" distB="0" distL="0" distR="0" wp14:anchorId="4D52C7DE" wp14:editId="7BCA7386">
            <wp:extent cx="5760720" cy="4718050"/>
            <wp:effectExtent l="0" t="0" r="0" b="6350"/>
            <wp:docPr id="263919249" name="Afbeelding 5" descr="Afbeelding met schermopname, nach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19249" name="Afbeelding 5" descr="Afbeelding met schermopname, nacht&#10;&#10;Door AI gegenereerde inhoud is mogelijk onjuis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4718050"/>
                    </a:xfrm>
                    <a:prstGeom prst="rect">
                      <a:avLst/>
                    </a:prstGeom>
                  </pic:spPr>
                </pic:pic>
              </a:graphicData>
            </a:graphic>
          </wp:inline>
        </w:drawing>
      </w:r>
    </w:p>
    <w:p w14:paraId="25754417" w14:textId="418D6E02"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b/>
          <w:bCs/>
          <w:kern w:val="0"/>
          <w:sz w:val="22"/>
          <w:szCs w:val="22"/>
          <w:lang w:val="en-GB"/>
          <w14:ligatures w14:val="none"/>
        </w:rPr>
        <w:t>Supplementary figure S9.</w:t>
      </w:r>
      <w:r w:rsidRPr="00B0783D">
        <w:rPr>
          <w:rFonts w:ascii="Calibri" w:eastAsia="Calibri" w:hAnsi="Calibri" w:cs="Times New Roman"/>
          <w:kern w:val="0"/>
          <w:sz w:val="22"/>
          <w:szCs w:val="22"/>
          <w:lang w:val="en-GB"/>
          <w14:ligatures w14:val="none"/>
        </w:rPr>
        <w:t xml:space="preserve"> Visualisation of reconstructed Kaplan-Meijer curves (</w:t>
      </w:r>
      <w:r w:rsidRPr="00B0783D">
        <w:rPr>
          <w:rFonts w:ascii="Calibri" w:eastAsia="Calibri" w:hAnsi="Calibri" w:cs="Times New Roman"/>
          <w:b/>
          <w:bCs/>
          <w:kern w:val="0"/>
          <w:sz w:val="22"/>
          <w:szCs w:val="22"/>
          <w:lang w:val="en-GB"/>
          <w14:ligatures w14:val="none"/>
        </w:rPr>
        <w:t>E</w:t>
      </w:r>
      <w:r w:rsidRPr="00B0783D">
        <w:rPr>
          <w:rFonts w:ascii="Calibri" w:eastAsia="Calibri" w:hAnsi="Calibri" w:cs="Times New Roman"/>
          <w:kern w:val="0"/>
          <w:sz w:val="22"/>
          <w:szCs w:val="22"/>
          <w:lang w:val="en-GB"/>
          <w14:ligatures w14:val="none"/>
        </w:rPr>
        <w:t xml:space="preserve">) of </w:t>
      </w:r>
      <w:proofErr w:type="spellStart"/>
      <w:r w:rsidRPr="00B0783D">
        <w:rPr>
          <w:rFonts w:ascii="Calibri" w:eastAsia="Calibri" w:hAnsi="Calibri" w:cs="Times New Roman"/>
          <w:kern w:val="0"/>
          <w:sz w:val="22"/>
          <w:szCs w:val="22"/>
          <w:lang w:val="en-GB"/>
          <w14:ligatures w14:val="none"/>
        </w:rPr>
        <w:t>Elzagheid</w:t>
      </w:r>
      <w:proofErr w:type="spellEnd"/>
      <w:r w:rsidRPr="00B0783D">
        <w:rPr>
          <w:rFonts w:ascii="Calibri" w:eastAsia="Calibri" w:hAnsi="Calibri" w:cs="Times New Roman"/>
          <w:kern w:val="0"/>
          <w:sz w:val="22"/>
          <w:szCs w:val="22"/>
          <w:lang w:val="en-GB"/>
          <w14:ligatures w14:val="none"/>
        </w:rPr>
        <w:t xml:space="preserve"> et al. 2013 for cancer specific survival of high (</w:t>
      </w:r>
      <w:r w:rsidRPr="00B0783D">
        <w:rPr>
          <w:rFonts w:ascii="Calibri" w:eastAsia="Calibri" w:hAnsi="Calibri" w:cs="Times New Roman"/>
          <w:b/>
          <w:bCs/>
          <w:kern w:val="0"/>
          <w:sz w:val="22"/>
          <w:szCs w:val="22"/>
          <w:lang w:val="en-GB"/>
          <w14:ligatures w14:val="none"/>
        </w:rPr>
        <w:t>C,D</w:t>
      </w:r>
      <w:r w:rsidRPr="00B0783D">
        <w:rPr>
          <w:rFonts w:ascii="Calibri" w:eastAsia="Calibri" w:hAnsi="Calibri" w:cs="Times New Roman"/>
          <w:kern w:val="0"/>
          <w:sz w:val="22"/>
          <w:szCs w:val="22"/>
          <w:lang w:val="en-GB"/>
          <w14:ligatures w14:val="none"/>
        </w:rPr>
        <w:t>) MUC2 expression compared to low (</w:t>
      </w:r>
      <w:r w:rsidRPr="00B0783D">
        <w:rPr>
          <w:rFonts w:ascii="Calibri" w:eastAsia="Calibri" w:hAnsi="Calibri" w:cs="Times New Roman"/>
          <w:b/>
          <w:bCs/>
          <w:kern w:val="0"/>
          <w:sz w:val="22"/>
          <w:szCs w:val="22"/>
          <w:lang w:val="en-GB"/>
          <w14:ligatures w14:val="none"/>
        </w:rPr>
        <w:t>A, B</w:t>
      </w:r>
      <w:r w:rsidRPr="00B0783D">
        <w:rPr>
          <w:rFonts w:ascii="Calibri" w:eastAsia="Calibri" w:hAnsi="Calibri" w:cs="Times New Roman"/>
          <w:kern w:val="0"/>
          <w:sz w:val="22"/>
          <w:szCs w:val="22"/>
          <w:lang w:val="en-GB"/>
          <w14:ligatures w14:val="none"/>
        </w:rPr>
        <w:t xml:space="preserve">), based on estimated individual patient data (IPD) using </w:t>
      </w:r>
      <w:proofErr w:type="spellStart"/>
      <w:r w:rsidRPr="00B0783D">
        <w:rPr>
          <w:rFonts w:ascii="Calibri" w:eastAsia="Calibri" w:hAnsi="Calibri" w:cs="Times New Roman"/>
          <w:kern w:val="0"/>
          <w:sz w:val="22"/>
          <w:szCs w:val="22"/>
          <w:lang w:val="en-GB"/>
          <w14:ligatures w14:val="none"/>
        </w:rPr>
        <w:t>IPDfromKM</w:t>
      </w:r>
      <w:proofErr w:type="spellEnd"/>
      <w:r w:rsidRPr="00B0783D">
        <w:rPr>
          <w:rFonts w:ascii="Calibri" w:eastAsia="Calibri" w:hAnsi="Calibri" w:cs="Times New Roman"/>
          <w:kern w:val="0"/>
          <w:sz w:val="22"/>
          <w:szCs w:val="22"/>
          <w:lang w:val="en-GB"/>
          <w14:ligatures w14:val="none"/>
        </w:rPr>
        <w:t>. For each arm, the data points (red dots) from the original Kaplan-Meijer curve are shown (</w:t>
      </w:r>
      <w:r w:rsidRPr="00B0783D">
        <w:rPr>
          <w:rFonts w:ascii="Calibri" w:eastAsia="Calibri" w:hAnsi="Calibri" w:cs="Times New Roman"/>
          <w:b/>
          <w:bCs/>
          <w:kern w:val="0"/>
          <w:sz w:val="22"/>
          <w:szCs w:val="22"/>
          <w:lang w:val="en-GB"/>
          <w14:ligatures w14:val="none"/>
        </w:rPr>
        <w:t>A,C</w:t>
      </w:r>
      <w:r w:rsidRPr="00B0783D">
        <w:rPr>
          <w:rFonts w:ascii="Calibri" w:eastAsia="Calibri" w:hAnsi="Calibri" w:cs="Times New Roman"/>
          <w:kern w:val="0"/>
          <w:sz w:val="22"/>
          <w:szCs w:val="22"/>
          <w:lang w:val="en-GB"/>
          <w14:ligatures w14:val="none"/>
        </w:rPr>
        <w:t>) together with the new fitted curve (black line) and it’s 95% confidence interval (red). Accuracy can be evaluated using the difference between the original data points and the reconstructed Kaplan-Meijer curves (</w:t>
      </w:r>
      <w:r w:rsidRPr="00B0783D">
        <w:rPr>
          <w:rFonts w:ascii="Calibri" w:eastAsia="Calibri" w:hAnsi="Calibri" w:cs="Times New Roman"/>
          <w:b/>
          <w:bCs/>
          <w:kern w:val="0"/>
          <w:sz w:val="22"/>
          <w:szCs w:val="22"/>
          <w:lang w:val="en-GB"/>
          <w14:ligatures w14:val="none"/>
        </w:rPr>
        <w:t>B,D</w:t>
      </w:r>
      <w:r w:rsidRPr="00B0783D">
        <w:rPr>
          <w:rFonts w:ascii="Calibri" w:eastAsia="Calibri" w:hAnsi="Calibri" w:cs="Times New Roman"/>
          <w:kern w:val="0"/>
          <w:sz w:val="22"/>
          <w:szCs w:val="22"/>
          <w:lang w:val="en-GB"/>
          <w14:ligatures w14:val="none"/>
        </w:rPr>
        <w:t xml:space="preserve">). Finally, the univariate analysis is redone using the IPD reporting the estimated </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SE(</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and the p-value of the log-rank test for comparison to the original publication (</w:t>
      </w:r>
      <w:r w:rsidRPr="00B0783D">
        <w:rPr>
          <w:rFonts w:ascii="Calibri" w:eastAsia="Calibri" w:hAnsi="Calibri" w:cs="Times New Roman"/>
          <w:b/>
          <w:bCs/>
          <w:kern w:val="0"/>
          <w:sz w:val="22"/>
          <w:szCs w:val="22"/>
          <w:lang w:val="en-GB"/>
          <w14:ligatures w14:val="none"/>
        </w:rPr>
        <w:t>E,F</w:t>
      </w:r>
      <w:r w:rsidRPr="00B0783D">
        <w:rPr>
          <w:rFonts w:ascii="Calibri" w:eastAsia="Calibri" w:hAnsi="Calibri" w:cs="Times New Roman"/>
          <w:kern w:val="0"/>
          <w:sz w:val="22"/>
          <w:szCs w:val="22"/>
          <w:lang w:val="en-GB"/>
          <w14:ligatures w14:val="none"/>
        </w:rPr>
        <w:t>).</w:t>
      </w:r>
    </w:p>
    <w:p w14:paraId="1EC1FB54"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kern w:val="0"/>
          <w:sz w:val="22"/>
          <w:szCs w:val="22"/>
          <w:lang w:val="en-GB"/>
          <w14:ligatures w14:val="none"/>
        </w:rPr>
        <w:br w:type="page"/>
      </w:r>
    </w:p>
    <w:p w14:paraId="12D3783F"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noProof/>
          <w:kern w:val="0"/>
          <w:sz w:val="22"/>
          <w:szCs w:val="22"/>
          <w:lang w:val="en-GB"/>
          <w14:ligatures w14:val="none"/>
        </w:rPr>
        <w:lastRenderedPageBreak/>
        <w:drawing>
          <wp:inline distT="0" distB="0" distL="0" distR="0" wp14:anchorId="20BEE0C1" wp14:editId="55C1165E">
            <wp:extent cx="5760720" cy="4697730"/>
            <wp:effectExtent l="0" t="0" r="0" b="7620"/>
            <wp:docPr id="937903902" name="Afbeelding 6" descr="Afbeelding me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903902" name="Afbeelding 6" descr="Afbeelding met schermopname&#10;&#10;Door AI gegenereerde inhoud is mogelijk onjuis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4697730"/>
                    </a:xfrm>
                    <a:prstGeom prst="rect">
                      <a:avLst/>
                    </a:prstGeom>
                  </pic:spPr>
                </pic:pic>
              </a:graphicData>
            </a:graphic>
          </wp:inline>
        </w:drawing>
      </w:r>
    </w:p>
    <w:p w14:paraId="55B8BB3D" w14:textId="69C21B3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b/>
          <w:bCs/>
          <w:kern w:val="0"/>
          <w:sz w:val="22"/>
          <w:szCs w:val="22"/>
          <w:lang w:val="en-GB"/>
          <w14:ligatures w14:val="none"/>
        </w:rPr>
        <w:t>Supplementary figure S10.</w:t>
      </w:r>
      <w:r w:rsidRPr="00B0783D">
        <w:rPr>
          <w:rFonts w:ascii="Calibri" w:eastAsia="Calibri" w:hAnsi="Calibri" w:cs="Times New Roman"/>
          <w:kern w:val="0"/>
          <w:sz w:val="22"/>
          <w:szCs w:val="22"/>
          <w:lang w:val="en-GB"/>
          <w14:ligatures w14:val="none"/>
        </w:rPr>
        <w:t xml:space="preserve"> Visualisation of reconstructed Kaplan-Meijer curves (</w:t>
      </w:r>
      <w:r w:rsidRPr="00B0783D">
        <w:rPr>
          <w:rFonts w:ascii="Calibri" w:eastAsia="Calibri" w:hAnsi="Calibri" w:cs="Times New Roman"/>
          <w:b/>
          <w:bCs/>
          <w:kern w:val="0"/>
          <w:sz w:val="22"/>
          <w:szCs w:val="22"/>
          <w:lang w:val="en-GB"/>
          <w14:ligatures w14:val="none"/>
        </w:rPr>
        <w:t>E</w:t>
      </w:r>
      <w:r w:rsidRPr="00B0783D">
        <w:rPr>
          <w:rFonts w:ascii="Calibri" w:eastAsia="Calibri" w:hAnsi="Calibri" w:cs="Times New Roman"/>
          <w:kern w:val="0"/>
          <w:sz w:val="22"/>
          <w:szCs w:val="22"/>
          <w:lang w:val="en-GB"/>
          <w14:ligatures w14:val="none"/>
        </w:rPr>
        <w:t xml:space="preserve">) of </w:t>
      </w:r>
      <w:proofErr w:type="spellStart"/>
      <w:r w:rsidRPr="00B0783D">
        <w:rPr>
          <w:rFonts w:ascii="Calibri" w:eastAsia="Calibri" w:hAnsi="Calibri" w:cs="Times New Roman"/>
          <w:kern w:val="0"/>
          <w:sz w:val="22"/>
          <w:szCs w:val="22"/>
          <w:lang w:val="en-GB"/>
          <w14:ligatures w14:val="none"/>
        </w:rPr>
        <w:t>Hazgui</w:t>
      </w:r>
      <w:proofErr w:type="spellEnd"/>
      <w:r w:rsidRPr="00B0783D">
        <w:rPr>
          <w:rFonts w:ascii="Calibri" w:eastAsia="Calibri" w:hAnsi="Calibri" w:cs="Times New Roman"/>
          <w:kern w:val="0"/>
          <w:sz w:val="22"/>
          <w:szCs w:val="22"/>
          <w:lang w:val="en-GB"/>
          <w14:ligatures w14:val="none"/>
        </w:rPr>
        <w:t xml:space="preserve"> et al. 2002 for overall survival of high (</w:t>
      </w:r>
      <w:r w:rsidRPr="00B0783D">
        <w:rPr>
          <w:rFonts w:ascii="Calibri" w:eastAsia="Calibri" w:hAnsi="Calibri" w:cs="Times New Roman"/>
          <w:b/>
          <w:bCs/>
          <w:kern w:val="0"/>
          <w:sz w:val="22"/>
          <w:szCs w:val="22"/>
          <w:lang w:val="en-GB"/>
          <w14:ligatures w14:val="none"/>
        </w:rPr>
        <w:t>C,D</w:t>
      </w:r>
      <w:r w:rsidRPr="00B0783D">
        <w:rPr>
          <w:rFonts w:ascii="Calibri" w:eastAsia="Calibri" w:hAnsi="Calibri" w:cs="Times New Roman"/>
          <w:kern w:val="0"/>
          <w:sz w:val="22"/>
          <w:szCs w:val="22"/>
          <w:lang w:val="en-GB"/>
          <w14:ligatures w14:val="none"/>
        </w:rPr>
        <w:t>) MUC5AC expression compared to low (</w:t>
      </w:r>
      <w:r w:rsidRPr="00B0783D">
        <w:rPr>
          <w:rFonts w:ascii="Calibri" w:eastAsia="Calibri" w:hAnsi="Calibri" w:cs="Times New Roman"/>
          <w:b/>
          <w:bCs/>
          <w:kern w:val="0"/>
          <w:sz w:val="22"/>
          <w:szCs w:val="22"/>
          <w:lang w:val="en-GB"/>
          <w14:ligatures w14:val="none"/>
        </w:rPr>
        <w:t>A, B</w:t>
      </w:r>
      <w:r w:rsidRPr="00B0783D">
        <w:rPr>
          <w:rFonts w:ascii="Calibri" w:eastAsia="Calibri" w:hAnsi="Calibri" w:cs="Times New Roman"/>
          <w:kern w:val="0"/>
          <w:sz w:val="22"/>
          <w:szCs w:val="22"/>
          <w:lang w:val="en-GB"/>
          <w14:ligatures w14:val="none"/>
        </w:rPr>
        <w:t xml:space="preserve">), based on estimated individual patient data (IPD) using </w:t>
      </w:r>
      <w:proofErr w:type="spellStart"/>
      <w:r w:rsidRPr="00B0783D">
        <w:rPr>
          <w:rFonts w:ascii="Calibri" w:eastAsia="Calibri" w:hAnsi="Calibri" w:cs="Times New Roman"/>
          <w:kern w:val="0"/>
          <w:sz w:val="22"/>
          <w:szCs w:val="22"/>
          <w:lang w:val="en-GB"/>
          <w14:ligatures w14:val="none"/>
        </w:rPr>
        <w:t>IPDfromKM</w:t>
      </w:r>
      <w:proofErr w:type="spellEnd"/>
      <w:r w:rsidRPr="00B0783D">
        <w:rPr>
          <w:rFonts w:ascii="Calibri" w:eastAsia="Calibri" w:hAnsi="Calibri" w:cs="Times New Roman"/>
          <w:kern w:val="0"/>
          <w:sz w:val="22"/>
          <w:szCs w:val="22"/>
          <w:lang w:val="en-GB"/>
          <w14:ligatures w14:val="none"/>
        </w:rPr>
        <w:t>. For each arm, the data points (red dots) from the original Kaplan-Meijer curve are shown (</w:t>
      </w:r>
      <w:r w:rsidRPr="00B0783D">
        <w:rPr>
          <w:rFonts w:ascii="Calibri" w:eastAsia="Calibri" w:hAnsi="Calibri" w:cs="Times New Roman"/>
          <w:b/>
          <w:bCs/>
          <w:kern w:val="0"/>
          <w:sz w:val="22"/>
          <w:szCs w:val="22"/>
          <w:lang w:val="en-GB"/>
          <w14:ligatures w14:val="none"/>
        </w:rPr>
        <w:t>A,C</w:t>
      </w:r>
      <w:r w:rsidRPr="00B0783D">
        <w:rPr>
          <w:rFonts w:ascii="Calibri" w:eastAsia="Calibri" w:hAnsi="Calibri" w:cs="Times New Roman"/>
          <w:kern w:val="0"/>
          <w:sz w:val="22"/>
          <w:szCs w:val="22"/>
          <w:lang w:val="en-GB"/>
          <w14:ligatures w14:val="none"/>
        </w:rPr>
        <w:t>) together with the new fitted curve (black line) and it’s 95% confidence interval (red). Accuracy can be evaluated using the difference between the original data points and the reconstructed Kaplan-Meijer curves (</w:t>
      </w:r>
      <w:r w:rsidRPr="00B0783D">
        <w:rPr>
          <w:rFonts w:ascii="Calibri" w:eastAsia="Calibri" w:hAnsi="Calibri" w:cs="Times New Roman"/>
          <w:b/>
          <w:bCs/>
          <w:kern w:val="0"/>
          <w:sz w:val="22"/>
          <w:szCs w:val="22"/>
          <w:lang w:val="en-GB"/>
          <w14:ligatures w14:val="none"/>
        </w:rPr>
        <w:t>B,D</w:t>
      </w:r>
      <w:r w:rsidRPr="00B0783D">
        <w:rPr>
          <w:rFonts w:ascii="Calibri" w:eastAsia="Calibri" w:hAnsi="Calibri" w:cs="Times New Roman"/>
          <w:kern w:val="0"/>
          <w:sz w:val="22"/>
          <w:szCs w:val="22"/>
          <w:lang w:val="en-GB"/>
          <w14:ligatures w14:val="none"/>
        </w:rPr>
        <w:t xml:space="preserve">). Finally, the univariate analysis is redone using the IPD reporting the estimated </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SE(</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and the p-value of the log-rank test for comparison to the original publication (</w:t>
      </w:r>
      <w:r w:rsidRPr="00B0783D">
        <w:rPr>
          <w:rFonts w:ascii="Calibri" w:eastAsia="Calibri" w:hAnsi="Calibri" w:cs="Times New Roman"/>
          <w:b/>
          <w:bCs/>
          <w:kern w:val="0"/>
          <w:sz w:val="22"/>
          <w:szCs w:val="22"/>
          <w:lang w:val="en-GB"/>
          <w14:ligatures w14:val="none"/>
        </w:rPr>
        <w:t>E,F</w:t>
      </w:r>
      <w:r w:rsidRPr="00B0783D">
        <w:rPr>
          <w:rFonts w:ascii="Calibri" w:eastAsia="Calibri" w:hAnsi="Calibri" w:cs="Times New Roman"/>
          <w:kern w:val="0"/>
          <w:sz w:val="22"/>
          <w:szCs w:val="22"/>
          <w:lang w:val="en-GB"/>
          <w14:ligatures w14:val="none"/>
        </w:rPr>
        <w:t>).</w:t>
      </w:r>
    </w:p>
    <w:p w14:paraId="2AF3EF66"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kern w:val="0"/>
          <w:sz w:val="22"/>
          <w:szCs w:val="22"/>
          <w:lang w:val="en-GB"/>
          <w14:ligatures w14:val="none"/>
        </w:rPr>
        <w:br w:type="page"/>
      </w:r>
    </w:p>
    <w:p w14:paraId="6B33E688"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noProof/>
          <w:kern w:val="0"/>
          <w:sz w:val="22"/>
          <w:szCs w:val="22"/>
          <w:lang w:val="en-GB"/>
          <w14:ligatures w14:val="none"/>
        </w:rPr>
        <w:lastRenderedPageBreak/>
        <w:drawing>
          <wp:inline distT="0" distB="0" distL="0" distR="0" wp14:anchorId="6B83EE36" wp14:editId="3F567432">
            <wp:extent cx="5760720" cy="4723765"/>
            <wp:effectExtent l="0" t="0" r="0" b="635"/>
            <wp:docPr id="1842014304" name="Afbeelding 7" descr="Afbeelding met schermopname, ruimt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14304" name="Afbeelding 7" descr="Afbeelding met schermopname, ruimte, lijn&#10;&#10;Door AI gegenereerde inhoud is mogelijk onjuis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720" cy="4723765"/>
                    </a:xfrm>
                    <a:prstGeom prst="rect">
                      <a:avLst/>
                    </a:prstGeom>
                  </pic:spPr>
                </pic:pic>
              </a:graphicData>
            </a:graphic>
          </wp:inline>
        </w:drawing>
      </w:r>
    </w:p>
    <w:p w14:paraId="411FDE60" w14:textId="6F29D39F"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b/>
          <w:bCs/>
          <w:kern w:val="0"/>
          <w:sz w:val="22"/>
          <w:szCs w:val="22"/>
          <w:lang w:val="en-GB"/>
          <w14:ligatures w14:val="none"/>
        </w:rPr>
        <w:t>Supplementary figure S11.</w:t>
      </w:r>
      <w:r w:rsidRPr="00B0783D">
        <w:rPr>
          <w:rFonts w:ascii="Calibri" w:eastAsia="Calibri" w:hAnsi="Calibri" w:cs="Times New Roman"/>
          <w:kern w:val="0"/>
          <w:sz w:val="22"/>
          <w:szCs w:val="22"/>
          <w:lang w:val="en-GB"/>
          <w14:ligatures w14:val="none"/>
        </w:rPr>
        <w:t xml:space="preserve"> Visualisation of reconstructed Kaplan-Meijer curves (</w:t>
      </w:r>
      <w:r w:rsidRPr="00B0783D">
        <w:rPr>
          <w:rFonts w:ascii="Calibri" w:eastAsia="Calibri" w:hAnsi="Calibri" w:cs="Times New Roman"/>
          <w:b/>
          <w:bCs/>
          <w:kern w:val="0"/>
          <w:sz w:val="22"/>
          <w:szCs w:val="22"/>
          <w:lang w:val="en-GB"/>
          <w14:ligatures w14:val="none"/>
        </w:rPr>
        <w:t>E</w:t>
      </w:r>
      <w:r w:rsidRPr="00B0783D">
        <w:rPr>
          <w:rFonts w:ascii="Calibri" w:eastAsia="Calibri" w:hAnsi="Calibri" w:cs="Times New Roman"/>
          <w:kern w:val="0"/>
          <w:sz w:val="22"/>
          <w:szCs w:val="22"/>
          <w:lang w:val="en-GB"/>
          <w14:ligatures w14:val="none"/>
        </w:rPr>
        <w:t>) of Kang et al. 2011 for overall survival of high (</w:t>
      </w:r>
      <w:r w:rsidRPr="00B0783D">
        <w:rPr>
          <w:rFonts w:ascii="Calibri" w:eastAsia="Calibri" w:hAnsi="Calibri" w:cs="Times New Roman"/>
          <w:b/>
          <w:bCs/>
          <w:kern w:val="0"/>
          <w:sz w:val="22"/>
          <w:szCs w:val="22"/>
          <w:lang w:val="en-GB"/>
          <w14:ligatures w14:val="none"/>
        </w:rPr>
        <w:t>C,D</w:t>
      </w:r>
      <w:r w:rsidRPr="00B0783D">
        <w:rPr>
          <w:rFonts w:ascii="Calibri" w:eastAsia="Calibri" w:hAnsi="Calibri" w:cs="Times New Roman"/>
          <w:kern w:val="0"/>
          <w:sz w:val="22"/>
          <w:szCs w:val="22"/>
          <w:lang w:val="en-GB"/>
          <w14:ligatures w14:val="none"/>
        </w:rPr>
        <w:t>) MUC2 expression compared to low (</w:t>
      </w:r>
      <w:r w:rsidRPr="00B0783D">
        <w:rPr>
          <w:rFonts w:ascii="Calibri" w:eastAsia="Calibri" w:hAnsi="Calibri" w:cs="Times New Roman"/>
          <w:b/>
          <w:bCs/>
          <w:kern w:val="0"/>
          <w:sz w:val="22"/>
          <w:szCs w:val="22"/>
          <w:lang w:val="en-GB"/>
          <w14:ligatures w14:val="none"/>
        </w:rPr>
        <w:t>A, B</w:t>
      </w:r>
      <w:r w:rsidRPr="00B0783D">
        <w:rPr>
          <w:rFonts w:ascii="Calibri" w:eastAsia="Calibri" w:hAnsi="Calibri" w:cs="Times New Roman"/>
          <w:kern w:val="0"/>
          <w:sz w:val="22"/>
          <w:szCs w:val="22"/>
          <w:lang w:val="en-GB"/>
          <w14:ligatures w14:val="none"/>
        </w:rPr>
        <w:t xml:space="preserve">), based on estimated individual patient data (IPD) using </w:t>
      </w:r>
      <w:proofErr w:type="spellStart"/>
      <w:r w:rsidRPr="00B0783D">
        <w:rPr>
          <w:rFonts w:ascii="Calibri" w:eastAsia="Calibri" w:hAnsi="Calibri" w:cs="Times New Roman"/>
          <w:kern w:val="0"/>
          <w:sz w:val="22"/>
          <w:szCs w:val="22"/>
          <w:lang w:val="en-GB"/>
          <w14:ligatures w14:val="none"/>
        </w:rPr>
        <w:t>IPDfromKM</w:t>
      </w:r>
      <w:proofErr w:type="spellEnd"/>
      <w:r w:rsidRPr="00B0783D">
        <w:rPr>
          <w:rFonts w:ascii="Calibri" w:eastAsia="Calibri" w:hAnsi="Calibri" w:cs="Times New Roman"/>
          <w:kern w:val="0"/>
          <w:sz w:val="22"/>
          <w:szCs w:val="22"/>
          <w:lang w:val="en-GB"/>
          <w14:ligatures w14:val="none"/>
        </w:rPr>
        <w:t>. For each arm, the data points (red dots) from the original Kaplan-Meijer curve are shown (</w:t>
      </w:r>
      <w:r w:rsidRPr="00B0783D">
        <w:rPr>
          <w:rFonts w:ascii="Calibri" w:eastAsia="Calibri" w:hAnsi="Calibri" w:cs="Times New Roman"/>
          <w:b/>
          <w:bCs/>
          <w:kern w:val="0"/>
          <w:sz w:val="22"/>
          <w:szCs w:val="22"/>
          <w:lang w:val="en-GB"/>
          <w14:ligatures w14:val="none"/>
        </w:rPr>
        <w:t>A,C</w:t>
      </w:r>
      <w:r w:rsidRPr="00B0783D">
        <w:rPr>
          <w:rFonts w:ascii="Calibri" w:eastAsia="Calibri" w:hAnsi="Calibri" w:cs="Times New Roman"/>
          <w:kern w:val="0"/>
          <w:sz w:val="22"/>
          <w:szCs w:val="22"/>
          <w:lang w:val="en-GB"/>
          <w14:ligatures w14:val="none"/>
        </w:rPr>
        <w:t>) together with the new fitted curve (black line) and it’s 95% confidence interval (red). Accuracy can be evaluated using the difference between the original data points and the reconstructed Kaplan-Meijer curves (</w:t>
      </w:r>
      <w:r w:rsidRPr="00B0783D">
        <w:rPr>
          <w:rFonts w:ascii="Calibri" w:eastAsia="Calibri" w:hAnsi="Calibri" w:cs="Times New Roman"/>
          <w:b/>
          <w:bCs/>
          <w:kern w:val="0"/>
          <w:sz w:val="22"/>
          <w:szCs w:val="22"/>
          <w:lang w:val="en-GB"/>
          <w14:ligatures w14:val="none"/>
        </w:rPr>
        <w:t>B,D</w:t>
      </w:r>
      <w:r w:rsidRPr="00B0783D">
        <w:rPr>
          <w:rFonts w:ascii="Calibri" w:eastAsia="Calibri" w:hAnsi="Calibri" w:cs="Times New Roman"/>
          <w:kern w:val="0"/>
          <w:sz w:val="22"/>
          <w:szCs w:val="22"/>
          <w:lang w:val="en-GB"/>
          <w14:ligatures w14:val="none"/>
        </w:rPr>
        <w:t xml:space="preserve">). Finally, the univariate analysis is redone using the IPD reporting the estimated </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SE(</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and the p-value of the log-rank test for comparison to the original publication (</w:t>
      </w:r>
      <w:r w:rsidRPr="00B0783D">
        <w:rPr>
          <w:rFonts w:ascii="Calibri" w:eastAsia="Calibri" w:hAnsi="Calibri" w:cs="Times New Roman"/>
          <w:b/>
          <w:bCs/>
          <w:kern w:val="0"/>
          <w:sz w:val="22"/>
          <w:szCs w:val="22"/>
          <w:lang w:val="en-GB"/>
          <w14:ligatures w14:val="none"/>
        </w:rPr>
        <w:t>E,F</w:t>
      </w:r>
      <w:r w:rsidRPr="00B0783D">
        <w:rPr>
          <w:rFonts w:ascii="Calibri" w:eastAsia="Calibri" w:hAnsi="Calibri" w:cs="Times New Roman"/>
          <w:kern w:val="0"/>
          <w:sz w:val="22"/>
          <w:szCs w:val="22"/>
          <w:lang w:val="en-GB"/>
          <w14:ligatures w14:val="none"/>
        </w:rPr>
        <w:t>).</w:t>
      </w:r>
    </w:p>
    <w:p w14:paraId="7EA2E329"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kern w:val="0"/>
          <w:sz w:val="22"/>
          <w:szCs w:val="22"/>
          <w:lang w:val="en-GB"/>
          <w14:ligatures w14:val="none"/>
        </w:rPr>
        <w:br w:type="page"/>
      </w:r>
    </w:p>
    <w:p w14:paraId="49F19760"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noProof/>
          <w:kern w:val="0"/>
          <w:sz w:val="22"/>
          <w:szCs w:val="22"/>
          <w:lang w:val="en-GB"/>
          <w14:ligatures w14:val="none"/>
        </w:rPr>
        <w:lastRenderedPageBreak/>
        <w:drawing>
          <wp:inline distT="0" distB="0" distL="0" distR="0" wp14:anchorId="72B46F43" wp14:editId="0F1D5A06">
            <wp:extent cx="5760720" cy="4726940"/>
            <wp:effectExtent l="0" t="0" r="0" b="0"/>
            <wp:docPr id="1786959991" name="Afbeelding 8" descr="Afbeelding me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959991" name="Afbeelding 8" descr="Afbeelding met schermopname&#10;&#10;Door AI gegenereerde inhoud is mogelijk onjuis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4726940"/>
                    </a:xfrm>
                    <a:prstGeom prst="rect">
                      <a:avLst/>
                    </a:prstGeom>
                  </pic:spPr>
                </pic:pic>
              </a:graphicData>
            </a:graphic>
          </wp:inline>
        </w:drawing>
      </w:r>
    </w:p>
    <w:p w14:paraId="544924E7" w14:textId="32A87558"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b/>
          <w:bCs/>
          <w:kern w:val="0"/>
          <w:sz w:val="22"/>
          <w:szCs w:val="22"/>
          <w:lang w:val="en-GB"/>
          <w14:ligatures w14:val="none"/>
        </w:rPr>
        <w:t>Supplementary figure S12.</w:t>
      </w:r>
      <w:r w:rsidRPr="00B0783D">
        <w:rPr>
          <w:rFonts w:ascii="Calibri" w:eastAsia="Calibri" w:hAnsi="Calibri" w:cs="Times New Roman"/>
          <w:kern w:val="0"/>
          <w:sz w:val="22"/>
          <w:szCs w:val="22"/>
          <w:lang w:val="en-GB"/>
          <w14:ligatures w14:val="none"/>
        </w:rPr>
        <w:t xml:space="preserve"> Visualisation of reconstructed Kaplan-Meijer curves (</w:t>
      </w:r>
      <w:r w:rsidRPr="00B0783D">
        <w:rPr>
          <w:rFonts w:ascii="Calibri" w:eastAsia="Calibri" w:hAnsi="Calibri" w:cs="Times New Roman"/>
          <w:b/>
          <w:bCs/>
          <w:kern w:val="0"/>
          <w:sz w:val="22"/>
          <w:szCs w:val="22"/>
          <w:lang w:val="en-GB"/>
          <w14:ligatures w14:val="none"/>
        </w:rPr>
        <w:t>E</w:t>
      </w:r>
      <w:r w:rsidRPr="00B0783D">
        <w:rPr>
          <w:rFonts w:ascii="Calibri" w:eastAsia="Calibri" w:hAnsi="Calibri" w:cs="Times New Roman"/>
          <w:kern w:val="0"/>
          <w:sz w:val="22"/>
          <w:szCs w:val="22"/>
          <w:lang w:val="en-GB"/>
          <w14:ligatures w14:val="none"/>
        </w:rPr>
        <w:t>) of Kocer et al. 2002 for overall survival of high (</w:t>
      </w:r>
      <w:r w:rsidRPr="00B0783D">
        <w:rPr>
          <w:rFonts w:ascii="Calibri" w:eastAsia="Calibri" w:hAnsi="Calibri" w:cs="Times New Roman"/>
          <w:b/>
          <w:bCs/>
          <w:kern w:val="0"/>
          <w:sz w:val="22"/>
          <w:szCs w:val="22"/>
          <w:lang w:val="en-GB"/>
          <w14:ligatures w14:val="none"/>
        </w:rPr>
        <w:t>C,D</w:t>
      </w:r>
      <w:r w:rsidRPr="00B0783D">
        <w:rPr>
          <w:rFonts w:ascii="Calibri" w:eastAsia="Calibri" w:hAnsi="Calibri" w:cs="Times New Roman"/>
          <w:kern w:val="0"/>
          <w:sz w:val="22"/>
          <w:szCs w:val="22"/>
          <w:lang w:val="en-GB"/>
          <w14:ligatures w14:val="none"/>
        </w:rPr>
        <w:t>) MUC5AC expression compared to low (</w:t>
      </w:r>
      <w:r w:rsidRPr="00B0783D">
        <w:rPr>
          <w:rFonts w:ascii="Calibri" w:eastAsia="Calibri" w:hAnsi="Calibri" w:cs="Times New Roman"/>
          <w:b/>
          <w:bCs/>
          <w:kern w:val="0"/>
          <w:sz w:val="22"/>
          <w:szCs w:val="22"/>
          <w:lang w:val="en-GB"/>
          <w14:ligatures w14:val="none"/>
        </w:rPr>
        <w:t>A, B</w:t>
      </w:r>
      <w:r w:rsidRPr="00B0783D">
        <w:rPr>
          <w:rFonts w:ascii="Calibri" w:eastAsia="Calibri" w:hAnsi="Calibri" w:cs="Times New Roman"/>
          <w:kern w:val="0"/>
          <w:sz w:val="22"/>
          <w:szCs w:val="22"/>
          <w:lang w:val="en-GB"/>
          <w14:ligatures w14:val="none"/>
        </w:rPr>
        <w:t xml:space="preserve">), based on estimated individual patient data (IPD) using </w:t>
      </w:r>
      <w:proofErr w:type="spellStart"/>
      <w:r w:rsidRPr="00B0783D">
        <w:rPr>
          <w:rFonts w:ascii="Calibri" w:eastAsia="Calibri" w:hAnsi="Calibri" w:cs="Times New Roman"/>
          <w:kern w:val="0"/>
          <w:sz w:val="22"/>
          <w:szCs w:val="22"/>
          <w:lang w:val="en-GB"/>
          <w14:ligatures w14:val="none"/>
        </w:rPr>
        <w:t>IPDfromKM</w:t>
      </w:r>
      <w:proofErr w:type="spellEnd"/>
      <w:r w:rsidRPr="00B0783D">
        <w:rPr>
          <w:rFonts w:ascii="Calibri" w:eastAsia="Calibri" w:hAnsi="Calibri" w:cs="Times New Roman"/>
          <w:kern w:val="0"/>
          <w:sz w:val="22"/>
          <w:szCs w:val="22"/>
          <w:lang w:val="en-GB"/>
          <w14:ligatures w14:val="none"/>
        </w:rPr>
        <w:t>. For each arm, the data points (red dots) from the original Kaplan-Meijer curve are shown (</w:t>
      </w:r>
      <w:r w:rsidRPr="00B0783D">
        <w:rPr>
          <w:rFonts w:ascii="Calibri" w:eastAsia="Calibri" w:hAnsi="Calibri" w:cs="Times New Roman"/>
          <w:b/>
          <w:bCs/>
          <w:kern w:val="0"/>
          <w:sz w:val="22"/>
          <w:szCs w:val="22"/>
          <w:lang w:val="en-GB"/>
          <w14:ligatures w14:val="none"/>
        </w:rPr>
        <w:t>A,C</w:t>
      </w:r>
      <w:r w:rsidRPr="00B0783D">
        <w:rPr>
          <w:rFonts w:ascii="Calibri" w:eastAsia="Calibri" w:hAnsi="Calibri" w:cs="Times New Roman"/>
          <w:kern w:val="0"/>
          <w:sz w:val="22"/>
          <w:szCs w:val="22"/>
          <w:lang w:val="en-GB"/>
          <w14:ligatures w14:val="none"/>
        </w:rPr>
        <w:t>) together with the new fitted curve (black line) and it’s 95% confidence interval (red). Accuracy can be evaluated using the difference between the original data points and the reconstructed Kaplan-Meijer curves (</w:t>
      </w:r>
      <w:r w:rsidRPr="00B0783D">
        <w:rPr>
          <w:rFonts w:ascii="Calibri" w:eastAsia="Calibri" w:hAnsi="Calibri" w:cs="Times New Roman"/>
          <w:b/>
          <w:bCs/>
          <w:kern w:val="0"/>
          <w:sz w:val="22"/>
          <w:szCs w:val="22"/>
          <w:lang w:val="en-GB"/>
          <w14:ligatures w14:val="none"/>
        </w:rPr>
        <w:t>B,D</w:t>
      </w:r>
      <w:r w:rsidRPr="00B0783D">
        <w:rPr>
          <w:rFonts w:ascii="Calibri" w:eastAsia="Calibri" w:hAnsi="Calibri" w:cs="Times New Roman"/>
          <w:kern w:val="0"/>
          <w:sz w:val="22"/>
          <w:szCs w:val="22"/>
          <w:lang w:val="en-GB"/>
          <w14:ligatures w14:val="none"/>
        </w:rPr>
        <w:t xml:space="preserve">). Finally, the univariate analysis is redone using the IPD reporting the estimated </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SE(</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and the p-value of the log-rank test for comparison to the original publication (</w:t>
      </w:r>
      <w:r w:rsidRPr="00B0783D">
        <w:rPr>
          <w:rFonts w:ascii="Calibri" w:eastAsia="Calibri" w:hAnsi="Calibri" w:cs="Times New Roman"/>
          <w:b/>
          <w:bCs/>
          <w:kern w:val="0"/>
          <w:sz w:val="22"/>
          <w:szCs w:val="22"/>
          <w:lang w:val="en-GB"/>
          <w14:ligatures w14:val="none"/>
        </w:rPr>
        <w:t>E,F</w:t>
      </w:r>
      <w:r w:rsidRPr="00B0783D">
        <w:rPr>
          <w:rFonts w:ascii="Calibri" w:eastAsia="Calibri" w:hAnsi="Calibri" w:cs="Times New Roman"/>
          <w:kern w:val="0"/>
          <w:sz w:val="22"/>
          <w:szCs w:val="22"/>
          <w:lang w:val="en-GB"/>
          <w14:ligatures w14:val="none"/>
        </w:rPr>
        <w:t>).</w:t>
      </w:r>
    </w:p>
    <w:p w14:paraId="15198265"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kern w:val="0"/>
          <w:sz w:val="22"/>
          <w:szCs w:val="22"/>
          <w:lang w:val="en-GB"/>
          <w14:ligatures w14:val="none"/>
        </w:rPr>
        <w:br w:type="page"/>
      </w:r>
    </w:p>
    <w:p w14:paraId="0EAC1351" w14:textId="77777777"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noProof/>
          <w:kern w:val="0"/>
          <w:sz w:val="22"/>
          <w:szCs w:val="22"/>
          <w:lang w:val="en-GB"/>
          <w14:ligatures w14:val="none"/>
        </w:rPr>
        <w:lastRenderedPageBreak/>
        <w:drawing>
          <wp:inline distT="0" distB="0" distL="0" distR="0" wp14:anchorId="7413553E" wp14:editId="24BA2D27">
            <wp:extent cx="5760720" cy="4729480"/>
            <wp:effectExtent l="0" t="0" r="0" b="0"/>
            <wp:docPr id="855554953" name="Afbeelding 9" descr="Afbeelding met schermopname, ruimte, duistern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554953" name="Afbeelding 9" descr="Afbeelding met schermopname, ruimte, duisternis&#10;&#10;Door AI gegenereerde inhoud is mogelijk onjuis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4729480"/>
                    </a:xfrm>
                    <a:prstGeom prst="rect">
                      <a:avLst/>
                    </a:prstGeom>
                  </pic:spPr>
                </pic:pic>
              </a:graphicData>
            </a:graphic>
          </wp:inline>
        </w:drawing>
      </w:r>
    </w:p>
    <w:p w14:paraId="7A6DCDDC" w14:textId="03AA911B" w:rsidR="00B0783D" w:rsidRPr="00B0783D" w:rsidRDefault="00B0783D" w:rsidP="00B0783D">
      <w:pPr>
        <w:spacing w:before="0" w:line="240" w:lineRule="auto"/>
        <w:jc w:val="both"/>
        <w:rPr>
          <w:rFonts w:ascii="Calibri" w:eastAsia="Calibri" w:hAnsi="Calibri" w:cs="Times New Roman"/>
          <w:kern w:val="0"/>
          <w:sz w:val="22"/>
          <w:szCs w:val="22"/>
          <w:lang w:val="en-GB"/>
          <w14:ligatures w14:val="none"/>
        </w:rPr>
      </w:pPr>
      <w:r w:rsidRPr="00B0783D">
        <w:rPr>
          <w:rFonts w:ascii="Calibri" w:eastAsia="Calibri" w:hAnsi="Calibri" w:cs="Times New Roman"/>
          <w:b/>
          <w:bCs/>
          <w:kern w:val="0"/>
          <w:sz w:val="22"/>
          <w:szCs w:val="22"/>
          <w:lang w:val="en-GB"/>
          <w14:ligatures w14:val="none"/>
        </w:rPr>
        <w:t>Supplementary figure S13.</w:t>
      </w:r>
      <w:r w:rsidRPr="00B0783D">
        <w:rPr>
          <w:rFonts w:ascii="Calibri" w:eastAsia="Calibri" w:hAnsi="Calibri" w:cs="Times New Roman"/>
          <w:kern w:val="0"/>
          <w:sz w:val="22"/>
          <w:szCs w:val="22"/>
          <w:lang w:val="en-GB"/>
          <w14:ligatures w14:val="none"/>
        </w:rPr>
        <w:t xml:space="preserve"> Visualisation of reconstructed Kaplan-Meijer curves (</w:t>
      </w:r>
      <w:r w:rsidRPr="00B0783D">
        <w:rPr>
          <w:rFonts w:ascii="Calibri" w:eastAsia="Calibri" w:hAnsi="Calibri" w:cs="Times New Roman"/>
          <w:b/>
          <w:bCs/>
          <w:kern w:val="0"/>
          <w:sz w:val="22"/>
          <w:szCs w:val="22"/>
          <w:lang w:val="en-GB"/>
          <w14:ligatures w14:val="none"/>
        </w:rPr>
        <w:t>E</w:t>
      </w:r>
      <w:r w:rsidRPr="00B0783D">
        <w:rPr>
          <w:rFonts w:ascii="Calibri" w:eastAsia="Calibri" w:hAnsi="Calibri" w:cs="Times New Roman"/>
          <w:kern w:val="0"/>
          <w:sz w:val="22"/>
          <w:szCs w:val="22"/>
          <w:lang w:val="en-GB"/>
          <w14:ligatures w14:val="none"/>
        </w:rPr>
        <w:t>) of Zhang et al. 2008 for cancer specific survival of high (</w:t>
      </w:r>
      <w:r w:rsidRPr="00B0783D">
        <w:rPr>
          <w:rFonts w:ascii="Calibri" w:eastAsia="Calibri" w:hAnsi="Calibri" w:cs="Times New Roman"/>
          <w:b/>
          <w:bCs/>
          <w:kern w:val="0"/>
          <w:sz w:val="22"/>
          <w:szCs w:val="22"/>
          <w:lang w:val="en-GB"/>
          <w14:ligatures w14:val="none"/>
        </w:rPr>
        <w:t>C,D</w:t>
      </w:r>
      <w:r w:rsidRPr="00B0783D">
        <w:rPr>
          <w:rFonts w:ascii="Calibri" w:eastAsia="Calibri" w:hAnsi="Calibri" w:cs="Times New Roman"/>
          <w:kern w:val="0"/>
          <w:sz w:val="22"/>
          <w:szCs w:val="22"/>
          <w:lang w:val="en-GB"/>
          <w14:ligatures w14:val="none"/>
        </w:rPr>
        <w:t>) MUC1 expression compared to low (</w:t>
      </w:r>
      <w:r w:rsidRPr="00B0783D">
        <w:rPr>
          <w:rFonts w:ascii="Calibri" w:eastAsia="Calibri" w:hAnsi="Calibri" w:cs="Times New Roman"/>
          <w:b/>
          <w:bCs/>
          <w:kern w:val="0"/>
          <w:sz w:val="22"/>
          <w:szCs w:val="22"/>
          <w:lang w:val="en-GB"/>
          <w14:ligatures w14:val="none"/>
        </w:rPr>
        <w:t>A, B</w:t>
      </w:r>
      <w:r w:rsidRPr="00B0783D">
        <w:rPr>
          <w:rFonts w:ascii="Calibri" w:eastAsia="Calibri" w:hAnsi="Calibri" w:cs="Times New Roman"/>
          <w:kern w:val="0"/>
          <w:sz w:val="22"/>
          <w:szCs w:val="22"/>
          <w:lang w:val="en-GB"/>
          <w14:ligatures w14:val="none"/>
        </w:rPr>
        <w:t xml:space="preserve">), based on estimated individual patient data (IPD) using </w:t>
      </w:r>
      <w:proofErr w:type="spellStart"/>
      <w:r w:rsidRPr="00B0783D">
        <w:rPr>
          <w:rFonts w:ascii="Calibri" w:eastAsia="Calibri" w:hAnsi="Calibri" w:cs="Times New Roman"/>
          <w:kern w:val="0"/>
          <w:sz w:val="22"/>
          <w:szCs w:val="22"/>
          <w:lang w:val="en-GB"/>
          <w14:ligatures w14:val="none"/>
        </w:rPr>
        <w:t>IPDfromKM</w:t>
      </w:r>
      <w:proofErr w:type="spellEnd"/>
      <w:r w:rsidRPr="00B0783D">
        <w:rPr>
          <w:rFonts w:ascii="Calibri" w:eastAsia="Calibri" w:hAnsi="Calibri" w:cs="Times New Roman"/>
          <w:kern w:val="0"/>
          <w:sz w:val="22"/>
          <w:szCs w:val="22"/>
          <w:lang w:val="en-GB"/>
          <w14:ligatures w14:val="none"/>
        </w:rPr>
        <w:t>. For each arm, the data points (red dots) from the original Kaplan-Meijer curve are shown (</w:t>
      </w:r>
      <w:r w:rsidRPr="00B0783D">
        <w:rPr>
          <w:rFonts w:ascii="Calibri" w:eastAsia="Calibri" w:hAnsi="Calibri" w:cs="Times New Roman"/>
          <w:b/>
          <w:bCs/>
          <w:kern w:val="0"/>
          <w:sz w:val="22"/>
          <w:szCs w:val="22"/>
          <w:lang w:val="en-GB"/>
          <w14:ligatures w14:val="none"/>
        </w:rPr>
        <w:t>A,C</w:t>
      </w:r>
      <w:r w:rsidRPr="00B0783D">
        <w:rPr>
          <w:rFonts w:ascii="Calibri" w:eastAsia="Calibri" w:hAnsi="Calibri" w:cs="Times New Roman"/>
          <w:kern w:val="0"/>
          <w:sz w:val="22"/>
          <w:szCs w:val="22"/>
          <w:lang w:val="en-GB"/>
          <w14:ligatures w14:val="none"/>
        </w:rPr>
        <w:t>) together with the new fitted curve (black line) and it’s 95% confidence interval (red). Accuracy can be evaluated using the difference between the original data points and the reconstructed Kaplan-Meijer curves (</w:t>
      </w:r>
      <w:r w:rsidRPr="00B0783D">
        <w:rPr>
          <w:rFonts w:ascii="Calibri" w:eastAsia="Calibri" w:hAnsi="Calibri" w:cs="Times New Roman"/>
          <w:b/>
          <w:bCs/>
          <w:kern w:val="0"/>
          <w:sz w:val="22"/>
          <w:szCs w:val="22"/>
          <w:lang w:val="en-GB"/>
          <w14:ligatures w14:val="none"/>
        </w:rPr>
        <w:t>B,D</w:t>
      </w:r>
      <w:r w:rsidRPr="00B0783D">
        <w:rPr>
          <w:rFonts w:ascii="Calibri" w:eastAsia="Calibri" w:hAnsi="Calibri" w:cs="Times New Roman"/>
          <w:kern w:val="0"/>
          <w:sz w:val="22"/>
          <w:szCs w:val="22"/>
          <w:lang w:val="en-GB"/>
          <w14:ligatures w14:val="none"/>
        </w:rPr>
        <w:t xml:space="preserve">). Finally, the univariate analysis is redone using the IPD reporting the estimated </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SE(</w:t>
      </w:r>
      <w:proofErr w:type="spellStart"/>
      <w:r w:rsidRPr="00B0783D">
        <w:rPr>
          <w:rFonts w:ascii="Calibri" w:eastAsia="Calibri" w:hAnsi="Calibri" w:cs="Times New Roman"/>
          <w:kern w:val="0"/>
          <w:sz w:val="22"/>
          <w:szCs w:val="22"/>
          <w:lang w:val="en-GB"/>
          <w14:ligatures w14:val="none"/>
        </w:rPr>
        <w:t>logHR</w:t>
      </w:r>
      <w:proofErr w:type="spellEnd"/>
      <w:r w:rsidRPr="00B0783D">
        <w:rPr>
          <w:rFonts w:ascii="Calibri" w:eastAsia="Calibri" w:hAnsi="Calibri" w:cs="Times New Roman"/>
          <w:kern w:val="0"/>
          <w:sz w:val="22"/>
          <w:szCs w:val="22"/>
          <w:lang w:val="en-GB"/>
          <w14:ligatures w14:val="none"/>
        </w:rPr>
        <w:t>) and the p-value of the log-rank test for comparison to the original publication (</w:t>
      </w:r>
      <w:r w:rsidRPr="00B0783D">
        <w:rPr>
          <w:rFonts w:ascii="Calibri" w:eastAsia="Calibri" w:hAnsi="Calibri" w:cs="Times New Roman"/>
          <w:b/>
          <w:bCs/>
          <w:kern w:val="0"/>
          <w:sz w:val="22"/>
          <w:szCs w:val="22"/>
          <w:lang w:val="en-GB"/>
          <w14:ligatures w14:val="none"/>
        </w:rPr>
        <w:t>E,F</w:t>
      </w:r>
      <w:r w:rsidRPr="00B0783D">
        <w:rPr>
          <w:rFonts w:ascii="Calibri" w:eastAsia="Calibri" w:hAnsi="Calibri" w:cs="Times New Roman"/>
          <w:kern w:val="0"/>
          <w:sz w:val="22"/>
          <w:szCs w:val="22"/>
          <w:lang w:val="en-GB"/>
          <w14:ligatures w14:val="none"/>
        </w:rPr>
        <w:t>).</w:t>
      </w:r>
    </w:p>
    <w:p w14:paraId="617F5D0B" w14:textId="77777777" w:rsidR="00B0783D" w:rsidRPr="00B0783D" w:rsidRDefault="00B0783D" w:rsidP="00B0783D">
      <w:pPr>
        <w:spacing w:before="0" w:line="240" w:lineRule="auto"/>
        <w:jc w:val="both"/>
        <w:rPr>
          <w:rFonts w:ascii="Calibri" w:eastAsia="Calibri" w:hAnsi="Calibri" w:cs="Times New Roman"/>
          <w:kern w:val="0"/>
          <w:sz w:val="22"/>
          <w:szCs w:val="22"/>
          <w:lang w:val="en-US"/>
          <w14:ligatures w14:val="none"/>
        </w:rPr>
      </w:pPr>
      <w:r w:rsidRPr="00B0783D">
        <w:rPr>
          <w:rFonts w:ascii="Calibri" w:eastAsia="Calibri" w:hAnsi="Calibri" w:cs="Times New Roman"/>
          <w:kern w:val="0"/>
          <w:sz w:val="22"/>
          <w:szCs w:val="22"/>
          <w:lang w:val="en-US"/>
          <w14:ligatures w14:val="none"/>
        </w:rPr>
        <w:fldChar w:fldCharType="begin"/>
      </w:r>
      <w:r w:rsidRPr="00B0783D">
        <w:rPr>
          <w:rFonts w:ascii="Calibri" w:eastAsia="Calibri" w:hAnsi="Calibri" w:cs="Times New Roman"/>
          <w:kern w:val="0"/>
          <w:sz w:val="22"/>
          <w:szCs w:val="22"/>
          <w:lang w:val="en-US"/>
          <w14:ligatures w14:val="none"/>
        </w:rPr>
        <w:instrText xml:space="preserve"> ADDIN EN.REFLIST </w:instrText>
      </w:r>
      <w:r w:rsidRPr="00B0783D">
        <w:rPr>
          <w:rFonts w:ascii="Calibri" w:eastAsia="Calibri" w:hAnsi="Calibri" w:cs="Times New Roman"/>
          <w:kern w:val="0"/>
          <w:sz w:val="22"/>
          <w:szCs w:val="22"/>
          <w:lang w:val="en-US"/>
          <w14:ligatures w14:val="none"/>
        </w:rPr>
        <w:fldChar w:fldCharType="separate"/>
      </w:r>
      <w:r w:rsidRPr="00B0783D">
        <w:rPr>
          <w:rFonts w:ascii="Calibri" w:eastAsia="Calibri" w:hAnsi="Calibri" w:cs="Times New Roman"/>
          <w:kern w:val="0"/>
          <w:sz w:val="22"/>
          <w:szCs w:val="22"/>
          <w:lang w:val="en-GB"/>
          <w14:ligatures w14:val="none"/>
        </w:rPr>
        <w:fldChar w:fldCharType="end"/>
      </w:r>
    </w:p>
    <w:p w14:paraId="0D8C8B03" w14:textId="77777777" w:rsidR="00B0783D" w:rsidRPr="00D95C9E" w:rsidRDefault="00B0783D" w:rsidP="00EA21D5">
      <w:pPr>
        <w:spacing w:before="0" w:line="240" w:lineRule="auto"/>
        <w:jc w:val="both"/>
        <w:rPr>
          <w:rFonts w:ascii="Calibri" w:eastAsia="Calibri" w:hAnsi="Calibri" w:cs="Times New Roman"/>
          <w:kern w:val="0"/>
          <w:sz w:val="22"/>
          <w:szCs w:val="22"/>
          <w:lang w:val="en-US"/>
          <w14:ligatures w14:val="none"/>
        </w:rPr>
      </w:pPr>
    </w:p>
    <w:p w14:paraId="65F7F592" w14:textId="77777777" w:rsidR="00776F16" w:rsidRPr="00D95C9E" w:rsidRDefault="00776F16" w:rsidP="00EA21D5">
      <w:pPr>
        <w:spacing w:before="0" w:line="240" w:lineRule="auto"/>
        <w:jc w:val="both"/>
        <w:rPr>
          <w:rFonts w:ascii="Calibri" w:eastAsia="Calibri" w:hAnsi="Calibri" w:cs="Times New Roman"/>
          <w:kern w:val="0"/>
          <w:sz w:val="22"/>
          <w:szCs w:val="22"/>
          <w:lang w:val="en-GB"/>
          <w14:ligatures w14:val="none"/>
        </w:rPr>
      </w:pPr>
    </w:p>
    <w:p w14:paraId="6D8CF805" w14:textId="00E44E75" w:rsidR="00A14AB3" w:rsidRPr="00EA21D5" w:rsidRDefault="00776F16" w:rsidP="000D3A22">
      <w:pPr>
        <w:rPr>
          <w:rFonts w:ascii="Calibri" w:eastAsia="Calibri" w:hAnsi="Calibri" w:cs="Times New Roman"/>
          <w:kern w:val="0"/>
          <w:sz w:val="22"/>
          <w:szCs w:val="22"/>
          <w:lang w:val="en-US"/>
          <w14:ligatures w14:val="none"/>
        </w:rPr>
      </w:pPr>
      <w:r w:rsidRPr="00D95C9E">
        <w:rPr>
          <w:rFonts w:ascii="Calibri" w:eastAsia="Calibri" w:hAnsi="Calibri" w:cs="Times New Roman"/>
          <w:sz w:val="22"/>
          <w:lang w:val="en-US"/>
          <w14:ligatures w14:val="none"/>
        </w:rPr>
        <w:fldChar w:fldCharType="begin"/>
      </w:r>
      <w:r w:rsidRPr="00D95C9E">
        <w:rPr>
          <w:rFonts w:ascii="Calibri" w:eastAsia="Calibri" w:hAnsi="Calibri" w:cs="Times New Roman"/>
          <w:sz w:val="22"/>
          <w:lang w:val="en-US"/>
          <w14:ligatures w14:val="none"/>
        </w:rPr>
        <w:instrText xml:space="preserve"> ADDIN EN.REFLIST </w:instrText>
      </w:r>
      <w:r w:rsidRPr="00D95C9E">
        <w:rPr>
          <w:rFonts w:ascii="Calibri" w:eastAsia="Calibri" w:hAnsi="Calibri" w:cs="Times New Roman"/>
          <w:sz w:val="22"/>
          <w:lang w:val="en-US"/>
          <w14:ligatures w14:val="none"/>
        </w:rPr>
        <w:fldChar w:fldCharType="separate"/>
      </w:r>
      <w:r w:rsidRPr="00D95C9E">
        <w:rPr>
          <w:rFonts w:ascii="Calibri" w:eastAsia="Calibri" w:hAnsi="Calibri" w:cs="Times New Roman"/>
          <w:kern w:val="0"/>
          <w:sz w:val="22"/>
          <w:szCs w:val="22"/>
          <w:lang w:val="en-US"/>
          <w14:ligatures w14:val="none"/>
        </w:rPr>
        <w:fldChar w:fldCharType="end"/>
      </w:r>
    </w:p>
    <w:sectPr w:rsidR="00A14AB3" w:rsidRPr="00EA21D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94BF4" w14:textId="77777777" w:rsidR="00A0609E" w:rsidRDefault="00A0609E">
      <w:pPr>
        <w:spacing w:before="0" w:after="0" w:line="240" w:lineRule="auto"/>
      </w:pPr>
      <w:r>
        <w:separator/>
      </w:r>
    </w:p>
  </w:endnote>
  <w:endnote w:type="continuationSeparator" w:id="0">
    <w:p w14:paraId="0B4F3B7D" w14:textId="77777777" w:rsidR="00A0609E" w:rsidRDefault="00A0609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56CAA" w14:textId="77777777" w:rsidR="00A0609E" w:rsidRDefault="00A0609E">
      <w:pPr>
        <w:spacing w:before="0" w:after="0" w:line="240" w:lineRule="auto"/>
      </w:pPr>
      <w:r>
        <w:separator/>
      </w:r>
    </w:p>
  </w:footnote>
  <w:footnote w:type="continuationSeparator" w:id="0">
    <w:p w14:paraId="1FB56172" w14:textId="77777777" w:rsidR="00A0609E" w:rsidRDefault="00A0609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A5733" w14:textId="77777777" w:rsidR="00894F93" w:rsidRDefault="004F243F" w:rsidP="008E0C7E">
    <w:pPr>
      <w:pStyle w:val="Koptekst1"/>
      <w:rPr>
        <w:lang w:val="nl-BE"/>
      </w:rPr>
    </w:pPr>
    <w:r>
      <w:tab/>
    </w:r>
    <w:r>
      <w:tab/>
    </w:r>
  </w:p>
  <w:p w14:paraId="32A0131C" w14:textId="77777777" w:rsidR="00894F93" w:rsidRPr="001207D2" w:rsidRDefault="004F243F">
    <w:pPr>
      <w:pStyle w:val="Koptekst1"/>
      <w:rPr>
        <w:lang w:val="nl-BE"/>
      </w:rPr>
    </w:pPr>
    <w:r>
      <w:rPr>
        <w:lang w:val="nl-B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4A65"/>
    <w:multiLevelType w:val="hybridMultilevel"/>
    <w:tmpl w:val="76028F88"/>
    <w:lvl w:ilvl="0" w:tplc="08130011">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C431BF0"/>
    <w:multiLevelType w:val="hybridMultilevel"/>
    <w:tmpl w:val="F0548BB8"/>
    <w:lvl w:ilvl="0" w:tplc="8B4A0E10">
      <w:start w:val="21"/>
      <w:numFmt w:val="bullet"/>
      <w:lvlText w:val="-"/>
      <w:lvlJc w:val="left"/>
      <w:pPr>
        <w:ind w:left="410" w:hanging="360"/>
      </w:pPr>
      <w:rPr>
        <w:rFonts w:ascii="Calibri" w:eastAsia="Times New Roman" w:hAnsi="Calibri" w:cs="Calibri" w:hint="default"/>
      </w:rPr>
    </w:lvl>
    <w:lvl w:ilvl="1" w:tplc="08130003" w:tentative="1">
      <w:start w:val="1"/>
      <w:numFmt w:val="bullet"/>
      <w:lvlText w:val="o"/>
      <w:lvlJc w:val="left"/>
      <w:pPr>
        <w:ind w:left="1130" w:hanging="360"/>
      </w:pPr>
      <w:rPr>
        <w:rFonts w:ascii="Courier New" w:hAnsi="Courier New" w:cs="Courier New" w:hint="default"/>
      </w:rPr>
    </w:lvl>
    <w:lvl w:ilvl="2" w:tplc="08130005" w:tentative="1">
      <w:start w:val="1"/>
      <w:numFmt w:val="bullet"/>
      <w:lvlText w:val=""/>
      <w:lvlJc w:val="left"/>
      <w:pPr>
        <w:ind w:left="1850" w:hanging="360"/>
      </w:pPr>
      <w:rPr>
        <w:rFonts w:ascii="Wingdings" w:hAnsi="Wingdings" w:hint="default"/>
      </w:rPr>
    </w:lvl>
    <w:lvl w:ilvl="3" w:tplc="08130001" w:tentative="1">
      <w:start w:val="1"/>
      <w:numFmt w:val="bullet"/>
      <w:lvlText w:val=""/>
      <w:lvlJc w:val="left"/>
      <w:pPr>
        <w:ind w:left="2570" w:hanging="360"/>
      </w:pPr>
      <w:rPr>
        <w:rFonts w:ascii="Symbol" w:hAnsi="Symbol" w:hint="default"/>
      </w:rPr>
    </w:lvl>
    <w:lvl w:ilvl="4" w:tplc="08130003" w:tentative="1">
      <w:start w:val="1"/>
      <w:numFmt w:val="bullet"/>
      <w:lvlText w:val="o"/>
      <w:lvlJc w:val="left"/>
      <w:pPr>
        <w:ind w:left="3290" w:hanging="360"/>
      </w:pPr>
      <w:rPr>
        <w:rFonts w:ascii="Courier New" w:hAnsi="Courier New" w:cs="Courier New" w:hint="default"/>
      </w:rPr>
    </w:lvl>
    <w:lvl w:ilvl="5" w:tplc="08130005" w:tentative="1">
      <w:start w:val="1"/>
      <w:numFmt w:val="bullet"/>
      <w:lvlText w:val=""/>
      <w:lvlJc w:val="left"/>
      <w:pPr>
        <w:ind w:left="4010" w:hanging="360"/>
      </w:pPr>
      <w:rPr>
        <w:rFonts w:ascii="Wingdings" w:hAnsi="Wingdings" w:hint="default"/>
      </w:rPr>
    </w:lvl>
    <w:lvl w:ilvl="6" w:tplc="08130001" w:tentative="1">
      <w:start w:val="1"/>
      <w:numFmt w:val="bullet"/>
      <w:lvlText w:val=""/>
      <w:lvlJc w:val="left"/>
      <w:pPr>
        <w:ind w:left="4730" w:hanging="360"/>
      </w:pPr>
      <w:rPr>
        <w:rFonts w:ascii="Symbol" w:hAnsi="Symbol" w:hint="default"/>
      </w:rPr>
    </w:lvl>
    <w:lvl w:ilvl="7" w:tplc="08130003" w:tentative="1">
      <w:start w:val="1"/>
      <w:numFmt w:val="bullet"/>
      <w:lvlText w:val="o"/>
      <w:lvlJc w:val="left"/>
      <w:pPr>
        <w:ind w:left="5450" w:hanging="360"/>
      </w:pPr>
      <w:rPr>
        <w:rFonts w:ascii="Courier New" w:hAnsi="Courier New" w:cs="Courier New" w:hint="default"/>
      </w:rPr>
    </w:lvl>
    <w:lvl w:ilvl="8" w:tplc="08130005" w:tentative="1">
      <w:start w:val="1"/>
      <w:numFmt w:val="bullet"/>
      <w:lvlText w:val=""/>
      <w:lvlJc w:val="left"/>
      <w:pPr>
        <w:ind w:left="6170" w:hanging="360"/>
      </w:pPr>
      <w:rPr>
        <w:rFonts w:ascii="Wingdings" w:hAnsi="Wingdings" w:hint="default"/>
      </w:rPr>
    </w:lvl>
  </w:abstractNum>
  <w:abstractNum w:abstractNumId="2" w15:restartNumberingAfterBreak="0">
    <w:nsid w:val="0E453CF6"/>
    <w:multiLevelType w:val="hybridMultilevel"/>
    <w:tmpl w:val="A1282DD0"/>
    <w:lvl w:ilvl="0" w:tplc="95A6ABA4">
      <w:start w:val="1"/>
      <w:numFmt w:val="decimal"/>
      <w:lvlText w:val="%1)"/>
      <w:lvlJc w:val="left"/>
      <w:pPr>
        <w:ind w:left="1068" w:hanging="360"/>
      </w:pPr>
    </w:lvl>
    <w:lvl w:ilvl="1" w:tplc="3E5228A4">
      <w:start w:val="1"/>
      <w:numFmt w:val="lowerLetter"/>
      <w:lvlText w:val="%2."/>
      <w:lvlJc w:val="left"/>
      <w:pPr>
        <w:ind w:left="1788" w:hanging="360"/>
      </w:pPr>
    </w:lvl>
    <w:lvl w:ilvl="2" w:tplc="88F23010">
      <w:start w:val="1"/>
      <w:numFmt w:val="lowerRoman"/>
      <w:lvlText w:val="%3."/>
      <w:lvlJc w:val="right"/>
      <w:pPr>
        <w:ind w:left="2508" w:hanging="180"/>
      </w:pPr>
    </w:lvl>
    <w:lvl w:ilvl="3" w:tplc="6562BF82">
      <w:start w:val="1"/>
      <w:numFmt w:val="decimal"/>
      <w:lvlText w:val="%4."/>
      <w:lvlJc w:val="left"/>
      <w:pPr>
        <w:ind w:left="3228" w:hanging="360"/>
      </w:pPr>
    </w:lvl>
    <w:lvl w:ilvl="4" w:tplc="7BA01BE0">
      <w:start w:val="1"/>
      <w:numFmt w:val="lowerLetter"/>
      <w:lvlText w:val="%5."/>
      <w:lvlJc w:val="left"/>
      <w:pPr>
        <w:ind w:left="3948" w:hanging="360"/>
      </w:pPr>
    </w:lvl>
    <w:lvl w:ilvl="5" w:tplc="C7721B96">
      <w:start w:val="1"/>
      <w:numFmt w:val="lowerRoman"/>
      <w:lvlText w:val="%6."/>
      <w:lvlJc w:val="right"/>
      <w:pPr>
        <w:ind w:left="4668" w:hanging="180"/>
      </w:pPr>
    </w:lvl>
    <w:lvl w:ilvl="6" w:tplc="98F69B2A">
      <w:start w:val="1"/>
      <w:numFmt w:val="decimal"/>
      <w:lvlText w:val="%7."/>
      <w:lvlJc w:val="left"/>
      <w:pPr>
        <w:ind w:left="5388" w:hanging="360"/>
      </w:pPr>
    </w:lvl>
    <w:lvl w:ilvl="7" w:tplc="447238EA">
      <w:start w:val="1"/>
      <w:numFmt w:val="lowerLetter"/>
      <w:lvlText w:val="%8."/>
      <w:lvlJc w:val="left"/>
      <w:pPr>
        <w:ind w:left="6108" w:hanging="360"/>
      </w:pPr>
    </w:lvl>
    <w:lvl w:ilvl="8" w:tplc="C6041B88">
      <w:start w:val="1"/>
      <w:numFmt w:val="lowerRoman"/>
      <w:lvlText w:val="%9."/>
      <w:lvlJc w:val="right"/>
      <w:pPr>
        <w:ind w:left="6828" w:hanging="180"/>
      </w:pPr>
    </w:lvl>
  </w:abstractNum>
  <w:abstractNum w:abstractNumId="3" w15:restartNumberingAfterBreak="0">
    <w:nsid w:val="147A44EA"/>
    <w:multiLevelType w:val="hybridMultilevel"/>
    <w:tmpl w:val="43E06D90"/>
    <w:lvl w:ilvl="0" w:tplc="08130015">
      <w:start w:val="1"/>
      <w:numFmt w:val="upperLetter"/>
      <w:lvlText w:val="%1."/>
      <w:lvlJc w:val="left"/>
      <w:pPr>
        <w:ind w:left="928" w:hanging="360"/>
      </w:pPr>
      <w:rPr>
        <w:rFonts w:hint="default"/>
      </w:rPr>
    </w:lvl>
    <w:lvl w:ilvl="1" w:tplc="08130019" w:tentative="1">
      <w:start w:val="1"/>
      <w:numFmt w:val="lowerLetter"/>
      <w:lvlText w:val="%2."/>
      <w:lvlJc w:val="left"/>
      <w:pPr>
        <w:ind w:left="1932" w:hanging="360"/>
      </w:pPr>
    </w:lvl>
    <w:lvl w:ilvl="2" w:tplc="0813001B" w:tentative="1">
      <w:start w:val="1"/>
      <w:numFmt w:val="lowerRoman"/>
      <w:lvlText w:val="%3."/>
      <w:lvlJc w:val="right"/>
      <w:pPr>
        <w:ind w:left="2652" w:hanging="180"/>
      </w:pPr>
    </w:lvl>
    <w:lvl w:ilvl="3" w:tplc="0813000F">
      <w:start w:val="1"/>
      <w:numFmt w:val="decimal"/>
      <w:lvlText w:val="%4."/>
      <w:lvlJc w:val="left"/>
      <w:pPr>
        <w:ind w:left="3372" w:hanging="360"/>
      </w:pPr>
    </w:lvl>
    <w:lvl w:ilvl="4" w:tplc="08130019" w:tentative="1">
      <w:start w:val="1"/>
      <w:numFmt w:val="lowerLetter"/>
      <w:lvlText w:val="%5."/>
      <w:lvlJc w:val="left"/>
      <w:pPr>
        <w:ind w:left="4092" w:hanging="360"/>
      </w:pPr>
    </w:lvl>
    <w:lvl w:ilvl="5" w:tplc="0813001B" w:tentative="1">
      <w:start w:val="1"/>
      <w:numFmt w:val="lowerRoman"/>
      <w:lvlText w:val="%6."/>
      <w:lvlJc w:val="right"/>
      <w:pPr>
        <w:ind w:left="4812" w:hanging="180"/>
      </w:pPr>
    </w:lvl>
    <w:lvl w:ilvl="6" w:tplc="0813000F" w:tentative="1">
      <w:start w:val="1"/>
      <w:numFmt w:val="decimal"/>
      <w:lvlText w:val="%7."/>
      <w:lvlJc w:val="left"/>
      <w:pPr>
        <w:ind w:left="5532" w:hanging="360"/>
      </w:pPr>
    </w:lvl>
    <w:lvl w:ilvl="7" w:tplc="08130019" w:tentative="1">
      <w:start w:val="1"/>
      <w:numFmt w:val="lowerLetter"/>
      <w:lvlText w:val="%8."/>
      <w:lvlJc w:val="left"/>
      <w:pPr>
        <w:ind w:left="6252" w:hanging="360"/>
      </w:pPr>
    </w:lvl>
    <w:lvl w:ilvl="8" w:tplc="0813001B" w:tentative="1">
      <w:start w:val="1"/>
      <w:numFmt w:val="lowerRoman"/>
      <w:lvlText w:val="%9."/>
      <w:lvlJc w:val="right"/>
      <w:pPr>
        <w:ind w:left="6972" w:hanging="180"/>
      </w:pPr>
    </w:lvl>
  </w:abstractNum>
  <w:abstractNum w:abstractNumId="4" w15:restartNumberingAfterBreak="0">
    <w:nsid w:val="19772FA2"/>
    <w:multiLevelType w:val="hybridMultilevel"/>
    <w:tmpl w:val="3FF4D512"/>
    <w:lvl w:ilvl="0" w:tplc="241CADDC">
      <w:numFmt w:val="bullet"/>
      <w:lvlText w:val="-"/>
      <w:lvlJc w:val="left"/>
      <w:pPr>
        <w:ind w:left="460" w:hanging="360"/>
      </w:pPr>
      <w:rPr>
        <w:rFonts w:ascii="Arial" w:eastAsiaTheme="minorHAnsi" w:hAnsi="Arial" w:cs="Arial" w:hint="default"/>
      </w:rPr>
    </w:lvl>
    <w:lvl w:ilvl="1" w:tplc="08130003" w:tentative="1">
      <w:start w:val="1"/>
      <w:numFmt w:val="bullet"/>
      <w:lvlText w:val="o"/>
      <w:lvlJc w:val="left"/>
      <w:pPr>
        <w:ind w:left="1180" w:hanging="360"/>
      </w:pPr>
      <w:rPr>
        <w:rFonts w:ascii="Courier New" w:hAnsi="Courier New" w:cs="Courier New" w:hint="default"/>
      </w:rPr>
    </w:lvl>
    <w:lvl w:ilvl="2" w:tplc="08130005" w:tentative="1">
      <w:start w:val="1"/>
      <w:numFmt w:val="bullet"/>
      <w:lvlText w:val=""/>
      <w:lvlJc w:val="left"/>
      <w:pPr>
        <w:ind w:left="1900" w:hanging="360"/>
      </w:pPr>
      <w:rPr>
        <w:rFonts w:ascii="Wingdings" w:hAnsi="Wingdings" w:hint="default"/>
      </w:rPr>
    </w:lvl>
    <w:lvl w:ilvl="3" w:tplc="08130001" w:tentative="1">
      <w:start w:val="1"/>
      <w:numFmt w:val="bullet"/>
      <w:lvlText w:val=""/>
      <w:lvlJc w:val="left"/>
      <w:pPr>
        <w:ind w:left="2620" w:hanging="360"/>
      </w:pPr>
      <w:rPr>
        <w:rFonts w:ascii="Symbol" w:hAnsi="Symbol" w:hint="default"/>
      </w:rPr>
    </w:lvl>
    <w:lvl w:ilvl="4" w:tplc="08130003" w:tentative="1">
      <w:start w:val="1"/>
      <w:numFmt w:val="bullet"/>
      <w:lvlText w:val="o"/>
      <w:lvlJc w:val="left"/>
      <w:pPr>
        <w:ind w:left="3340" w:hanging="360"/>
      </w:pPr>
      <w:rPr>
        <w:rFonts w:ascii="Courier New" w:hAnsi="Courier New" w:cs="Courier New" w:hint="default"/>
      </w:rPr>
    </w:lvl>
    <w:lvl w:ilvl="5" w:tplc="08130005" w:tentative="1">
      <w:start w:val="1"/>
      <w:numFmt w:val="bullet"/>
      <w:lvlText w:val=""/>
      <w:lvlJc w:val="left"/>
      <w:pPr>
        <w:ind w:left="4060" w:hanging="360"/>
      </w:pPr>
      <w:rPr>
        <w:rFonts w:ascii="Wingdings" w:hAnsi="Wingdings" w:hint="default"/>
      </w:rPr>
    </w:lvl>
    <w:lvl w:ilvl="6" w:tplc="08130001" w:tentative="1">
      <w:start w:val="1"/>
      <w:numFmt w:val="bullet"/>
      <w:lvlText w:val=""/>
      <w:lvlJc w:val="left"/>
      <w:pPr>
        <w:ind w:left="4780" w:hanging="360"/>
      </w:pPr>
      <w:rPr>
        <w:rFonts w:ascii="Symbol" w:hAnsi="Symbol" w:hint="default"/>
      </w:rPr>
    </w:lvl>
    <w:lvl w:ilvl="7" w:tplc="08130003" w:tentative="1">
      <w:start w:val="1"/>
      <w:numFmt w:val="bullet"/>
      <w:lvlText w:val="o"/>
      <w:lvlJc w:val="left"/>
      <w:pPr>
        <w:ind w:left="5500" w:hanging="360"/>
      </w:pPr>
      <w:rPr>
        <w:rFonts w:ascii="Courier New" w:hAnsi="Courier New" w:cs="Courier New" w:hint="default"/>
      </w:rPr>
    </w:lvl>
    <w:lvl w:ilvl="8" w:tplc="08130005" w:tentative="1">
      <w:start w:val="1"/>
      <w:numFmt w:val="bullet"/>
      <w:lvlText w:val=""/>
      <w:lvlJc w:val="left"/>
      <w:pPr>
        <w:ind w:left="6220" w:hanging="360"/>
      </w:pPr>
      <w:rPr>
        <w:rFonts w:ascii="Wingdings" w:hAnsi="Wingdings" w:hint="default"/>
      </w:rPr>
    </w:lvl>
  </w:abstractNum>
  <w:abstractNum w:abstractNumId="5" w15:restartNumberingAfterBreak="0">
    <w:nsid w:val="1C535CCC"/>
    <w:multiLevelType w:val="hybridMultilevel"/>
    <w:tmpl w:val="EF3C980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3B35333"/>
    <w:multiLevelType w:val="multilevel"/>
    <w:tmpl w:val="37FAD5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b w:val="0"/>
        <w:bCs w:val="0"/>
        <w:sz w:val="24"/>
        <w:szCs w:val="32"/>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A041842"/>
    <w:multiLevelType w:val="hybridMultilevel"/>
    <w:tmpl w:val="A652200A"/>
    <w:lvl w:ilvl="0" w:tplc="395830A6">
      <w:start w:val="1"/>
      <w:numFmt w:val="bullet"/>
      <w:lvlText w:val="-"/>
      <w:lvlJc w:val="left"/>
      <w:pPr>
        <w:ind w:left="1065" w:hanging="360"/>
      </w:pPr>
      <w:rPr>
        <w:rFonts w:ascii="Calibri" w:eastAsiaTheme="minorHAnsi" w:hAnsi="Calibri" w:cs="Calibri" w:hint="default"/>
      </w:rPr>
    </w:lvl>
    <w:lvl w:ilvl="1" w:tplc="08130003">
      <w:start w:val="1"/>
      <w:numFmt w:val="bullet"/>
      <w:lvlText w:val="o"/>
      <w:lvlJc w:val="left"/>
      <w:pPr>
        <w:ind w:left="1785" w:hanging="360"/>
      </w:pPr>
      <w:rPr>
        <w:rFonts w:ascii="Courier New" w:hAnsi="Courier New" w:cs="Courier New" w:hint="default"/>
      </w:rPr>
    </w:lvl>
    <w:lvl w:ilvl="2" w:tplc="08130005" w:tentative="1">
      <w:start w:val="1"/>
      <w:numFmt w:val="bullet"/>
      <w:lvlText w:val=""/>
      <w:lvlJc w:val="left"/>
      <w:pPr>
        <w:ind w:left="2505" w:hanging="360"/>
      </w:pPr>
      <w:rPr>
        <w:rFonts w:ascii="Wingdings" w:hAnsi="Wingdings" w:hint="default"/>
      </w:rPr>
    </w:lvl>
    <w:lvl w:ilvl="3" w:tplc="08130001" w:tentative="1">
      <w:start w:val="1"/>
      <w:numFmt w:val="bullet"/>
      <w:lvlText w:val=""/>
      <w:lvlJc w:val="left"/>
      <w:pPr>
        <w:ind w:left="3225" w:hanging="360"/>
      </w:pPr>
      <w:rPr>
        <w:rFonts w:ascii="Symbol" w:hAnsi="Symbol" w:hint="default"/>
      </w:rPr>
    </w:lvl>
    <w:lvl w:ilvl="4" w:tplc="08130003" w:tentative="1">
      <w:start w:val="1"/>
      <w:numFmt w:val="bullet"/>
      <w:lvlText w:val="o"/>
      <w:lvlJc w:val="left"/>
      <w:pPr>
        <w:ind w:left="3945" w:hanging="360"/>
      </w:pPr>
      <w:rPr>
        <w:rFonts w:ascii="Courier New" w:hAnsi="Courier New" w:cs="Courier New" w:hint="default"/>
      </w:rPr>
    </w:lvl>
    <w:lvl w:ilvl="5" w:tplc="08130005" w:tentative="1">
      <w:start w:val="1"/>
      <w:numFmt w:val="bullet"/>
      <w:lvlText w:val=""/>
      <w:lvlJc w:val="left"/>
      <w:pPr>
        <w:ind w:left="4665" w:hanging="360"/>
      </w:pPr>
      <w:rPr>
        <w:rFonts w:ascii="Wingdings" w:hAnsi="Wingdings" w:hint="default"/>
      </w:rPr>
    </w:lvl>
    <w:lvl w:ilvl="6" w:tplc="08130001" w:tentative="1">
      <w:start w:val="1"/>
      <w:numFmt w:val="bullet"/>
      <w:lvlText w:val=""/>
      <w:lvlJc w:val="left"/>
      <w:pPr>
        <w:ind w:left="5385" w:hanging="360"/>
      </w:pPr>
      <w:rPr>
        <w:rFonts w:ascii="Symbol" w:hAnsi="Symbol" w:hint="default"/>
      </w:rPr>
    </w:lvl>
    <w:lvl w:ilvl="7" w:tplc="08130003" w:tentative="1">
      <w:start w:val="1"/>
      <w:numFmt w:val="bullet"/>
      <w:lvlText w:val="o"/>
      <w:lvlJc w:val="left"/>
      <w:pPr>
        <w:ind w:left="6105" w:hanging="360"/>
      </w:pPr>
      <w:rPr>
        <w:rFonts w:ascii="Courier New" w:hAnsi="Courier New" w:cs="Courier New" w:hint="default"/>
      </w:rPr>
    </w:lvl>
    <w:lvl w:ilvl="8" w:tplc="08130005" w:tentative="1">
      <w:start w:val="1"/>
      <w:numFmt w:val="bullet"/>
      <w:lvlText w:val=""/>
      <w:lvlJc w:val="left"/>
      <w:pPr>
        <w:ind w:left="6825" w:hanging="360"/>
      </w:pPr>
      <w:rPr>
        <w:rFonts w:ascii="Wingdings" w:hAnsi="Wingdings" w:hint="default"/>
      </w:rPr>
    </w:lvl>
  </w:abstractNum>
  <w:abstractNum w:abstractNumId="8" w15:restartNumberingAfterBreak="0">
    <w:nsid w:val="2A5A6A48"/>
    <w:multiLevelType w:val="hybridMultilevel"/>
    <w:tmpl w:val="6A9A2C1E"/>
    <w:lvl w:ilvl="0" w:tplc="95A6ABA4">
      <w:start w:val="1"/>
      <w:numFmt w:val="decimal"/>
      <w:lvlText w:val="%1)"/>
      <w:lvlJc w:val="left"/>
      <w:pPr>
        <w:ind w:left="1068" w:hanging="360"/>
      </w:pPr>
      <w:rPr>
        <w:rFonts w:hint="default"/>
      </w:rPr>
    </w:lvl>
    <w:lvl w:ilvl="1" w:tplc="08130019">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9" w15:restartNumberingAfterBreak="0">
    <w:nsid w:val="2D891A43"/>
    <w:multiLevelType w:val="hybridMultilevel"/>
    <w:tmpl w:val="6DD63EEC"/>
    <w:lvl w:ilvl="0" w:tplc="08130011">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4EB6882"/>
    <w:multiLevelType w:val="hybridMultilevel"/>
    <w:tmpl w:val="1B68DF52"/>
    <w:lvl w:ilvl="0" w:tplc="D0B07430">
      <w:start w:val="1"/>
      <w:numFmt w:val="bullet"/>
      <w:lvlText w:val=""/>
      <w:lvlJc w:val="left"/>
      <w:pPr>
        <w:ind w:left="1440" w:hanging="360"/>
      </w:pPr>
      <w:rPr>
        <w:rFonts w:ascii="Symbol" w:hAnsi="Symbol"/>
      </w:rPr>
    </w:lvl>
    <w:lvl w:ilvl="1" w:tplc="F6746F30">
      <w:start w:val="1"/>
      <w:numFmt w:val="bullet"/>
      <w:lvlText w:val=""/>
      <w:lvlJc w:val="left"/>
      <w:pPr>
        <w:ind w:left="1440" w:hanging="360"/>
      </w:pPr>
      <w:rPr>
        <w:rFonts w:ascii="Symbol" w:hAnsi="Symbol"/>
      </w:rPr>
    </w:lvl>
    <w:lvl w:ilvl="2" w:tplc="F5B24F14">
      <w:start w:val="1"/>
      <w:numFmt w:val="bullet"/>
      <w:lvlText w:val=""/>
      <w:lvlJc w:val="left"/>
      <w:pPr>
        <w:ind w:left="1440" w:hanging="360"/>
      </w:pPr>
      <w:rPr>
        <w:rFonts w:ascii="Symbol" w:hAnsi="Symbol"/>
      </w:rPr>
    </w:lvl>
    <w:lvl w:ilvl="3" w:tplc="1F02EB2E">
      <w:start w:val="1"/>
      <w:numFmt w:val="bullet"/>
      <w:lvlText w:val=""/>
      <w:lvlJc w:val="left"/>
      <w:pPr>
        <w:ind w:left="1440" w:hanging="360"/>
      </w:pPr>
      <w:rPr>
        <w:rFonts w:ascii="Symbol" w:hAnsi="Symbol"/>
      </w:rPr>
    </w:lvl>
    <w:lvl w:ilvl="4" w:tplc="F940D324">
      <w:start w:val="1"/>
      <w:numFmt w:val="bullet"/>
      <w:lvlText w:val=""/>
      <w:lvlJc w:val="left"/>
      <w:pPr>
        <w:ind w:left="1440" w:hanging="360"/>
      </w:pPr>
      <w:rPr>
        <w:rFonts w:ascii="Symbol" w:hAnsi="Symbol"/>
      </w:rPr>
    </w:lvl>
    <w:lvl w:ilvl="5" w:tplc="9BF6D368">
      <w:start w:val="1"/>
      <w:numFmt w:val="bullet"/>
      <w:lvlText w:val=""/>
      <w:lvlJc w:val="left"/>
      <w:pPr>
        <w:ind w:left="1440" w:hanging="360"/>
      </w:pPr>
      <w:rPr>
        <w:rFonts w:ascii="Symbol" w:hAnsi="Symbol"/>
      </w:rPr>
    </w:lvl>
    <w:lvl w:ilvl="6" w:tplc="CDB664F0">
      <w:start w:val="1"/>
      <w:numFmt w:val="bullet"/>
      <w:lvlText w:val=""/>
      <w:lvlJc w:val="left"/>
      <w:pPr>
        <w:ind w:left="1440" w:hanging="360"/>
      </w:pPr>
      <w:rPr>
        <w:rFonts w:ascii="Symbol" w:hAnsi="Symbol"/>
      </w:rPr>
    </w:lvl>
    <w:lvl w:ilvl="7" w:tplc="B54E0DD4">
      <w:start w:val="1"/>
      <w:numFmt w:val="bullet"/>
      <w:lvlText w:val=""/>
      <w:lvlJc w:val="left"/>
      <w:pPr>
        <w:ind w:left="1440" w:hanging="360"/>
      </w:pPr>
      <w:rPr>
        <w:rFonts w:ascii="Symbol" w:hAnsi="Symbol"/>
      </w:rPr>
    </w:lvl>
    <w:lvl w:ilvl="8" w:tplc="D1788C9E">
      <w:start w:val="1"/>
      <w:numFmt w:val="bullet"/>
      <w:lvlText w:val=""/>
      <w:lvlJc w:val="left"/>
      <w:pPr>
        <w:ind w:left="1440" w:hanging="360"/>
      </w:pPr>
      <w:rPr>
        <w:rFonts w:ascii="Symbol" w:hAnsi="Symbol"/>
      </w:rPr>
    </w:lvl>
  </w:abstractNum>
  <w:abstractNum w:abstractNumId="11" w15:restartNumberingAfterBreak="0">
    <w:nsid w:val="463E7EB5"/>
    <w:multiLevelType w:val="hybridMultilevel"/>
    <w:tmpl w:val="7728B9B0"/>
    <w:lvl w:ilvl="0" w:tplc="08130011">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4A253B8B"/>
    <w:multiLevelType w:val="hybridMultilevel"/>
    <w:tmpl w:val="1FF07EFC"/>
    <w:lvl w:ilvl="0" w:tplc="08130011">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DB13BF5"/>
    <w:multiLevelType w:val="hybridMultilevel"/>
    <w:tmpl w:val="B790889C"/>
    <w:lvl w:ilvl="0" w:tplc="08130011">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668A5194">
      <w:start w:val="1"/>
      <w:numFmt w:val="decimal"/>
      <w:lvlText w:val="%4)"/>
      <w:lvlJc w:val="left"/>
      <w:pPr>
        <w:ind w:left="2880" w:hanging="360"/>
      </w:pPr>
      <w:rPr>
        <w:rFonts w:asciiTheme="minorHAnsi" w:eastAsiaTheme="majorEastAsia" w:hAnsiTheme="minorHAnsi" w:cstheme="minorHAnsi"/>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584D5042"/>
    <w:multiLevelType w:val="hybridMultilevel"/>
    <w:tmpl w:val="EF30BCCC"/>
    <w:lvl w:ilvl="0" w:tplc="CC8A873E">
      <w:start w:val="4"/>
      <w:numFmt w:val="bullet"/>
      <w:lvlText w:val=""/>
      <w:lvlJc w:val="left"/>
      <w:pPr>
        <w:ind w:left="720" w:hanging="360"/>
      </w:pPr>
      <w:rPr>
        <w:rFonts w:ascii="Symbol" w:eastAsiaTheme="majorEastAsia" w:hAnsi="Symbol" w:cstheme="majorBidi" w:hint="default"/>
        <w:sz w:val="2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5DEC65B6"/>
    <w:multiLevelType w:val="hybridMultilevel"/>
    <w:tmpl w:val="6F9C11CC"/>
    <w:lvl w:ilvl="0" w:tplc="08130011">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02100DE"/>
    <w:multiLevelType w:val="hybridMultilevel"/>
    <w:tmpl w:val="4296CF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79FB54AB"/>
    <w:multiLevelType w:val="hybridMultilevel"/>
    <w:tmpl w:val="BAF86B24"/>
    <w:lvl w:ilvl="0" w:tplc="9A1C8AAA">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EB775E5"/>
    <w:multiLevelType w:val="hybridMultilevel"/>
    <w:tmpl w:val="69D6D410"/>
    <w:lvl w:ilvl="0" w:tplc="9F9E20CA">
      <w:numFmt w:val="bullet"/>
      <w:lvlText w:val="-"/>
      <w:lvlJc w:val="left"/>
      <w:pPr>
        <w:ind w:left="460" w:hanging="360"/>
      </w:pPr>
      <w:rPr>
        <w:rFonts w:ascii="Arial" w:eastAsiaTheme="minorHAnsi" w:hAnsi="Arial" w:cs="Arial" w:hint="default"/>
      </w:rPr>
    </w:lvl>
    <w:lvl w:ilvl="1" w:tplc="08130003" w:tentative="1">
      <w:start w:val="1"/>
      <w:numFmt w:val="bullet"/>
      <w:lvlText w:val="o"/>
      <w:lvlJc w:val="left"/>
      <w:pPr>
        <w:ind w:left="1180" w:hanging="360"/>
      </w:pPr>
      <w:rPr>
        <w:rFonts w:ascii="Courier New" w:hAnsi="Courier New" w:cs="Courier New" w:hint="default"/>
      </w:rPr>
    </w:lvl>
    <w:lvl w:ilvl="2" w:tplc="08130005" w:tentative="1">
      <w:start w:val="1"/>
      <w:numFmt w:val="bullet"/>
      <w:lvlText w:val=""/>
      <w:lvlJc w:val="left"/>
      <w:pPr>
        <w:ind w:left="1900" w:hanging="360"/>
      </w:pPr>
      <w:rPr>
        <w:rFonts w:ascii="Wingdings" w:hAnsi="Wingdings" w:hint="default"/>
      </w:rPr>
    </w:lvl>
    <w:lvl w:ilvl="3" w:tplc="08130001" w:tentative="1">
      <w:start w:val="1"/>
      <w:numFmt w:val="bullet"/>
      <w:lvlText w:val=""/>
      <w:lvlJc w:val="left"/>
      <w:pPr>
        <w:ind w:left="2620" w:hanging="360"/>
      </w:pPr>
      <w:rPr>
        <w:rFonts w:ascii="Symbol" w:hAnsi="Symbol" w:hint="default"/>
      </w:rPr>
    </w:lvl>
    <w:lvl w:ilvl="4" w:tplc="08130003" w:tentative="1">
      <w:start w:val="1"/>
      <w:numFmt w:val="bullet"/>
      <w:lvlText w:val="o"/>
      <w:lvlJc w:val="left"/>
      <w:pPr>
        <w:ind w:left="3340" w:hanging="360"/>
      </w:pPr>
      <w:rPr>
        <w:rFonts w:ascii="Courier New" w:hAnsi="Courier New" w:cs="Courier New" w:hint="default"/>
      </w:rPr>
    </w:lvl>
    <w:lvl w:ilvl="5" w:tplc="08130005" w:tentative="1">
      <w:start w:val="1"/>
      <w:numFmt w:val="bullet"/>
      <w:lvlText w:val=""/>
      <w:lvlJc w:val="left"/>
      <w:pPr>
        <w:ind w:left="4060" w:hanging="360"/>
      </w:pPr>
      <w:rPr>
        <w:rFonts w:ascii="Wingdings" w:hAnsi="Wingdings" w:hint="default"/>
      </w:rPr>
    </w:lvl>
    <w:lvl w:ilvl="6" w:tplc="08130001" w:tentative="1">
      <w:start w:val="1"/>
      <w:numFmt w:val="bullet"/>
      <w:lvlText w:val=""/>
      <w:lvlJc w:val="left"/>
      <w:pPr>
        <w:ind w:left="4780" w:hanging="360"/>
      </w:pPr>
      <w:rPr>
        <w:rFonts w:ascii="Symbol" w:hAnsi="Symbol" w:hint="default"/>
      </w:rPr>
    </w:lvl>
    <w:lvl w:ilvl="7" w:tplc="08130003" w:tentative="1">
      <w:start w:val="1"/>
      <w:numFmt w:val="bullet"/>
      <w:lvlText w:val="o"/>
      <w:lvlJc w:val="left"/>
      <w:pPr>
        <w:ind w:left="5500" w:hanging="360"/>
      </w:pPr>
      <w:rPr>
        <w:rFonts w:ascii="Courier New" w:hAnsi="Courier New" w:cs="Courier New" w:hint="default"/>
      </w:rPr>
    </w:lvl>
    <w:lvl w:ilvl="8" w:tplc="08130005" w:tentative="1">
      <w:start w:val="1"/>
      <w:numFmt w:val="bullet"/>
      <w:lvlText w:val=""/>
      <w:lvlJc w:val="left"/>
      <w:pPr>
        <w:ind w:left="6220" w:hanging="360"/>
      </w:pPr>
      <w:rPr>
        <w:rFonts w:ascii="Wingdings" w:hAnsi="Wingdings" w:hint="default"/>
      </w:rPr>
    </w:lvl>
  </w:abstractNum>
  <w:abstractNum w:abstractNumId="19" w15:restartNumberingAfterBreak="0">
    <w:nsid w:val="7F053FD2"/>
    <w:multiLevelType w:val="multilevel"/>
    <w:tmpl w:val="4C04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8715">
    <w:abstractNumId w:val="6"/>
  </w:num>
  <w:num w:numId="2" w16cid:durableId="151264958">
    <w:abstractNumId w:val="3"/>
  </w:num>
  <w:num w:numId="3" w16cid:durableId="1725524720">
    <w:abstractNumId w:val="5"/>
  </w:num>
  <w:num w:numId="4" w16cid:durableId="643392553">
    <w:abstractNumId w:val="2"/>
  </w:num>
  <w:num w:numId="5" w16cid:durableId="1423910048">
    <w:abstractNumId w:val="9"/>
  </w:num>
  <w:num w:numId="6" w16cid:durableId="253321380">
    <w:abstractNumId w:val="8"/>
  </w:num>
  <w:num w:numId="7" w16cid:durableId="1224750791">
    <w:abstractNumId w:val="15"/>
  </w:num>
  <w:num w:numId="8" w16cid:durableId="957956798">
    <w:abstractNumId w:val="11"/>
  </w:num>
  <w:num w:numId="9" w16cid:durableId="801070517">
    <w:abstractNumId w:val="0"/>
  </w:num>
  <w:num w:numId="10" w16cid:durableId="1517114366">
    <w:abstractNumId w:val="12"/>
  </w:num>
  <w:num w:numId="11" w16cid:durableId="627664475">
    <w:abstractNumId w:val="13"/>
  </w:num>
  <w:num w:numId="12" w16cid:durableId="155918380">
    <w:abstractNumId w:val="17"/>
  </w:num>
  <w:num w:numId="13" w16cid:durableId="1981229425">
    <w:abstractNumId w:val="7"/>
  </w:num>
  <w:num w:numId="14" w16cid:durableId="151214086">
    <w:abstractNumId w:val="10"/>
  </w:num>
  <w:num w:numId="15" w16cid:durableId="20092870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87134801">
    <w:abstractNumId w:val="1"/>
  </w:num>
  <w:num w:numId="17" w16cid:durableId="5838323">
    <w:abstractNumId w:val="19"/>
  </w:num>
  <w:num w:numId="18" w16cid:durableId="1153985845">
    <w:abstractNumId w:val="14"/>
  </w:num>
  <w:num w:numId="19" w16cid:durableId="150030545">
    <w:abstractNumId w:val="18"/>
  </w:num>
  <w:num w:numId="20" w16cid:durableId="770052186">
    <w:abstractNumId w:val="4"/>
  </w:num>
  <w:num w:numId="21" w16cid:durableId="5052433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superscript 2 &lt;/Style&gt;&lt;LeftDelim&gt;{&lt;/LeftDelim&gt;&lt;RightDelim&gt;}&lt;/RightDelim&gt;&lt;FontName&gt;Apto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xpvpz0drawwa2erdtl5eafxae2ewrxwse5a&quot;&gt;My EndNote Library&lt;record-ids&gt;&lt;item&gt;246&lt;/item&gt;&lt;/record-ids&gt;&lt;/item&gt;&lt;/Libraries&gt;"/>
  </w:docVars>
  <w:rsids>
    <w:rsidRoot w:val="00AB74B5"/>
    <w:rsid w:val="0000301A"/>
    <w:rsid w:val="00032FA5"/>
    <w:rsid w:val="00040B61"/>
    <w:rsid w:val="00052BAE"/>
    <w:rsid w:val="0005351F"/>
    <w:rsid w:val="00053FD7"/>
    <w:rsid w:val="00082E07"/>
    <w:rsid w:val="000A5187"/>
    <w:rsid w:val="000B380D"/>
    <w:rsid w:val="000C275E"/>
    <w:rsid w:val="000D2EA6"/>
    <w:rsid w:val="000D3A22"/>
    <w:rsid w:val="000D5BD9"/>
    <w:rsid w:val="000F51DE"/>
    <w:rsid w:val="00110E78"/>
    <w:rsid w:val="0012669A"/>
    <w:rsid w:val="001470E7"/>
    <w:rsid w:val="00162CBA"/>
    <w:rsid w:val="001753A2"/>
    <w:rsid w:val="001754FE"/>
    <w:rsid w:val="00190943"/>
    <w:rsid w:val="001B6938"/>
    <w:rsid w:val="001F1225"/>
    <w:rsid w:val="001F282A"/>
    <w:rsid w:val="001F36FD"/>
    <w:rsid w:val="001F5F09"/>
    <w:rsid w:val="00203098"/>
    <w:rsid w:val="00223F25"/>
    <w:rsid w:val="002342C1"/>
    <w:rsid w:val="00236E69"/>
    <w:rsid w:val="0024349B"/>
    <w:rsid w:val="00253FCE"/>
    <w:rsid w:val="00260FE3"/>
    <w:rsid w:val="00272341"/>
    <w:rsid w:val="0027263C"/>
    <w:rsid w:val="002872A1"/>
    <w:rsid w:val="00294108"/>
    <w:rsid w:val="002A01AC"/>
    <w:rsid w:val="002A0689"/>
    <w:rsid w:val="002A1FA5"/>
    <w:rsid w:val="002B5A94"/>
    <w:rsid w:val="002C5FE8"/>
    <w:rsid w:val="002D6570"/>
    <w:rsid w:val="002E0409"/>
    <w:rsid w:val="002E7A84"/>
    <w:rsid w:val="002F49A5"/>
    <w:rsid w:val="003114CA"/>
    <w:rsid w:val="0031298A"/>
    <w:rsid w:val="00316854"/>
    <w:rsid w:val="003223CF"/>
    <w:rsid w:val="00332409"/>
    <w:rsid w:val="003328EC"/>
    <w:rsid w:val="0034385B"/>
    <w:rsid w:val="00343D32"/>
    <w:rsid w:val="003460E1"/>
    <w:rsid w:val="00354976"/>
    <w:rsid w:val="00354F0A"/>
    <w:rsid w:val="0036141C"/>
    <w:rsid w:val="00365FC0"/>
    <w:rsid w:val="0036605C"/>
    <w:rsid w:val="0037252F"/>
    <w:rsid w:val="003751C2"/>
    <w:rsid w:val="003908AA"/>
    <w:rsid w:val="003A226D"/>
    <w:rsid w:val="003A4992"/>
    <w:rsid w:val="003D36B8"/>
    <w:rsid w:val="003E4998"/>
    <w:rsid w:val="0040472D"/>
    <w:rsid w:val="00406671"/>
    <w:rsid w:val="004074EF"/>
    <w:rsid w:val="00415303"/>
    <w:rsid w:val="00420E54"/>
    <w:rsid w:val="00421B9C"/>
    <w:rsid w:val="00447791"/>
    <w:rsid w:val="00454024"/>
    <w:rsid w:val="004568D0"/>
    <w:rsid w:val="00492A3A"/>
    <w:rsid w:val="004940A0"/>
    <w:rsid w:val="004A2D43"/>
    <w:rsid w:val="004A545B"/>
    <w:rsid w:val="004C019E"/>
    <w:rsid w:val="004C6476"/>
    <w:rsid w:val="004D4574"/>
    <w:rsid w:val="004E08F2"/>
    <w:rsid w:val="004F243F"/>
    <w:rsid w:val="00502710"/>
    <w:rsid w:val="005160A1"/>
    <w:rsid w:val="00516537"/>
    <w:rsid w:val="00521933"/>
    <w:rsid w:val="005270C4"/>
    <w:rsid w:val="0054087B"/>
    <w:rsid w:val="00542534"/>
    <w:rsid w:val="00562F48"/>
    <w:rsid w:val="00565D33"/>
    <w:rsid w:val="0056681F"/>
    <w:rsid w:val="00573F98"/>
    <w:rsid w:val="0057495C"/>
    <w:rsid w:val="0057796A"/>
    <w:rsid w:val="00584768"/>
    <w:rsid w:val="005A2F73"/>
    <w:rsid w:val="005A742A"/>
    <w:rsid w:val="005C28BB"/>
    <w:rsid w:val="005C7673"/>
    <w:rsid w:val="005F34A7"/>
    <w:rsid w:val="005F7A1F"/>
    <w:rsid w:val="00615478"/>
    <w:rsid w:val="0061594C"/>
    <w:rsid w:val="00623467"/>
    <w:rsid w:val="00625347"/>
    <w:rsid w:val="0064490A"/>
    <w:rsid w:val="00645AA3"/>
    <w:rsid w:val="00645B6E"/>
    <w:rsid w:val="00662A10"/>
    <w:rsid w:val="00663003"/>
    <w:rsid w:val="006635DF"/>
    <w:rsid w:val="00663C8F"/>
    <w:rsid w:val="006A0C2C"/>
    <w:rsid w:val="006B0B38"/>
    <w:rsid w:val="006B320B"/>
    <w:rsid w:val="006C2067"/>
    <w:rsid w:val="006D0949"/>
    <w:rsid w:val="006F46AE"/>
    <w:rsid w:val="0070334C"/>
    <w:rsid w:val="00705A4E"/>
    <w:rsid w:val="00707C37"/>
    <w:rsid w:val="00712363"/>
    <w:rsid w:val="00717CCC"/>
    <w:rsid w:val="00726923"/>
    <w:rsid w:val="00730800"/>
    <w:rsid w:val="00756662"/>
    <w:rsid w:val="00757FD0"/>
    <w:rsid w:val="00763302"/>
    <w:rsid w:val="00767E81"/>
    <w:rsid w:val="0077328E"/>
    <w:rsid w:val="00773F68"/>
    <w:rsid w:val="00776F16"/>
    <w:rsid w:val="007862B7"/>
    <w:rsid w:val="00786484"/>
    <w:rsid w:val="007B165B"/>
    <w:rsid w:val="007B3D0E"/>
    <w:rsid w:val="007B6838"/>
    <w:rsid w:val="007C0226"/>
    <w:rsid w:val="007D7305"/>
    <w:rsid w:val="007D7DD8"/>
    <w:rsid w:val="007E45EE"/>
    <w:rsid w:val="007E576F"/>
    <w:rsid w:val="007F2127"/>
    <w:rsid w:val="007F35E4"/>
    <w:rsid w:val="00802EE7"/>
    <w:rsid w:val="008163E4"/>
    <w:rsid w:val="008178B6"/>
    <w:rsid w:val="008271E4"/>
    <w:rsid w:val="00830D4C"/>
    <w:rsid w:val="008501FE"/>
    <w:rsid w:val="00851CA6"/>
    <w:rsid w:val="0086774C"/>
    <w:rsid w:val="00873B9F"/>
    <w:rsid w:val="008779B6"/>
    <w:rsid w:val="00885D42"/>
    <w:rsid w:val="00894F93"/>
    <w:rsid w:val="008C2905"/>
    <w:rsid w:val="008C35C7"/>
    <w:rsid w:val="008C4A50"/>
    <w:rsid w:val="008C6719"/>
    <w:rsid w:val="008D3B65"/>
    <w:rsid w:val="008D7C1A"/>
    <w:rsid w:val="008E01CE"/>
    <w:rsid w:val="008E1AA7"/>
    <w:rsid w:val="008E5B30"/>
    <w:rsid w:val="008F52EE"/>
    <w:rsid w:val="00900BE2"/>
    <w:rsid w:val="00903B04"/>
    <w:rsid w:val="00907FF6"/>
    <w:rsid w:val="009102BD"/>
    <w:rsid w:val="00912237"/>
    <w:rsid w:val="009140C1"/>
    <w:rsid w:val="00916371"/>
    <w:rsid w:val="009312B9"/>
    <w:rsid w:val="009335AF"/>
    <w:rsid w:val="0094741C"/>
    <w:rsid w:val="009515A4"/>
    <w:rsid w:val="00964A67"/>
    <w:rsid w:val="00976AB7"/>
    <w:rsid w:val="00983919"/>
    <w:rsid w:val="00985AE0"/>
    <w:rsid w:val="00987B4B"/>
    <w:rsid w:val="009C1662"/>
    <w:rsid w:val="009D764C"/>
    <w:rsid w:val="009E4405"/>
    <w:rsid w:val="00A00D59"/>
    <w:rsid w:val="00A026EC"/>
    <w:rsid w:val="00A026F0"/>
    <w:rsid w:val="00A0609E"/>
    <w:rsid w:val="00A10250"/>
    <w:rsid w:val="00A12918"/>
    <w:rsid w:val="00A14AB3"/>
    <w:rsid w:val="00A32597"/>
    <w:rsid w:val="00A37D70"/>
    <w:rsid w:val="00A44516"/>
    <w:rsid w:val="00A52290"/>
    <w:rsid w:val="00A52D2B"/>
    <w:rsid w:val="00A57C23"/>
    <w:rsid w:val="00A6030B"/>
    <w:rsid w:val="00A76075"/>
    <w:rsid w:val="00A807D1"/>
    <w:rsid w:val="00A8711A"/>
    <w:rsid w:val="00A93F4B"/>
    <w:rsid w:val="00AA2E7D"/>
    <w:rsid w:val="00AA3667"/>
    <w:rsid w:val="00AA6098"/>
    <w:rsid w:val="00AA676C"/>
    <w:rsid w:val="00AB74B5"/>
    <w:rsid w:val="00AB7610"/>
    <w:rsid w:val="00AC053E"/>
    <w:rsid w:val="00AF7C9F"/>
    <w:rsid w:val="00B02A55"/>
    <w:rsid w:val="00B0783D"/>
    <w:rsid w:val="00B11B9E"/>
    <w:rsid w:val="00B4449D"/>
    <w:rsid w:val="00B55509"/>
    <w:rsid w:val="00B77C4F"/>
    <w:rsid w:val="00B83AB8"/>
    <w:rsid w:val="00B87D09"/>
    <w:rsid w:val="00B944E5"/>
    <w:rsid w:val="00BA336C"/>
    <w:rsid w:val="00BB10B9"/>
    <w:rsid w:val="00BB7268"/>
    <w:rsid w:val="00BB7848"/>
    <w:rsid w:val="00BC1316"/>
    <w:rsid w:val="00BC62C9"/>
    <w:rsid w:val="00BF7E03"/>
    <w:rsid w:val="00C02BF4"/>
    <w:rsid w:val="00C11431"/>
    <w:rsid w:val="00C273BC"/>
    <w:rsid w:val="00C30F3A"/>
    <w:rsid w:val="00C321EB"/>
    <w:rsid w:val="00C334F1"/>
    <w:rsid w:val="00C34912"/>
    <w:rsid w:val="00C36A9C"/>
    <w:rsid w:val="00C36C60"/>
    <w:rsid w:val="00C4562B"/>
    <w:rsid w:val="00C47989"/>
    <w:rsid w:val="00C56369"/>
    <w:rsid w:val="00C62E18"/>
    <w:rsid w:val="00C651BB"/>
    <w:rsid w:val="00C676FF"/>
    <w:rsid w:val="00C878CA"/>
    <w:rsid w:val="00C90C5A"/>
    <w:rsid w:val="00C9122A"/>
    <w:rsid w:val="00C92020"/>
    <w:rsid w:val="00C92DC5"/>
    <w:rsid w:val="00CA3849"/>
    <w:rsid w:val="00CB0C5C"/>
    <w:rsid w:val="00CB7405"/>
    <w:rsid w:val="00CC0537"/>
    <w:rsid w:val="00CD1DD3"/>
    <w:rsid w:val="00CD5DAF"/>
    <w:rsid w:val="00CD662E"/>
    <w:rsid w:val="00CD77A1"/>
    <w:rsid w:val="00CE7F70"/>
    <w:rsid w:val="00D0133F"/>
    <w:rsid w:val="00D044EA"/>
    <w:rsid w:val="00D233E7"/>
    <w:rsid w:val="00D2665B"/>
    <w:rsid w:val="00D31FBA"/>
    <w:rsid w:val="00D548EF"/>
    <w:rsid w:val="00D549A8"/>
    <w:rsid w:val="00D55120"/>
    <w:rsid w:val="00D70088"/>
    <w:rsid w:val="00D77176"/>
    <w:rsid w:val="00D77588"/>
    <w:rsid w:val="00D8199F"/>
    <w:rsid w:val="00D92E39"/>
    <w:rsid w:val="00D93A00"/>
    <w:rsid w:val="00D95C9E"/>
    <w:rsid w:val="00DB2F9F"/>
    <w:rsid w:val="00DB47EA"/>
    <w:rsid w:val="00DB49CE"/>
    <w:rsid w:val="00DC66C2"/>
    <w:rsid w:val="00DD07D9"/>
    <w:rsid w:val="00DD2CE0"/>
    <w:rsid w:val="00DD4B8D"/>
    <w:rsid w:val="00DD7916"/>
    <w:rsid w:val="00DE417F"/>
    <w:rsid w:val="00DE6CBB"/>
    <w:rsid w:val="00DE6FB5"/>
    <w:rsid w:val="00DF2060"/>
    <w:rsid w:val="00DF7DDF"/>
    <w:rsid w:val="00E021EC"/>
    <w:rsid w:val="00E03EF7"/>
    <w:rsid w:val="00E10D7E"/>
    <w:rsid w:val="00E44A1D"/>
    <w:rsid w:val="00E532E2"/>
    <w:rsid w:val="00E6596E"/>
    <w:rsid w:val="00E701B7"/>
    <w:rsid w:val="00E7040F"/>
    <w:rsid w:val="00E76C4C"/>
    <w:rsid w:val="00E90C29"/>
    <w:rsid w:val="00E947A0"/>
    <w:rsid w:val="00EA21D5"/>
    <w:rsid w:val="00EB0857"/>
    <w:rsid w:val="00EB6229"/>
    <w:rsid w:val="00EC14D1"/>
    <w:rsid w:val="00ED4E83"/>
    <w:rsid w:val="00ED548E"/>
    <w:rsid w:val="00ED6AA3"/>
    <w:rsid w:val="00EE106E"/>
    <w:rsid w:val="00EE2B9F"/>
    <w:rsid w:val="00EE64D0"/>
    <w:rsid w:val="00EF42A5"/>
    <w:rsid w:val="00EF4B27"/>
    <w:rsid w:val="00F01E2F"/>
    <w:rsid w:val="00F060C8"/>
    <w:rsid w:val="00F20567"/>
    <w:rsid w:val="00F21101"/>
    <w:rsid w:val="00F31CC5"/>
    <w:rsid w:val="00F32DFC"/>
    <w:rsid w:val="00F4287B"/>
    <w:rsid w:val="00F5444D"/>
    <w:rsid w:val="00F775B6"/>
    <w:rsid w:val="00F813CE"/>
    <w:rsid w:val="00F90672"/>
    <w:rsid w:val="00F93F05"/>
    <w:rsid w:val="00F95E45"/>
    <w:rsid w:val="00FA5255"/>
    <w:rsid w:val="00FB1E4C"/>
    <w:rsid w:val="00FB41D5"/>
    <w:rsid w:val="00FC6EB6"/>
    <w:rsid w:val="00FC7E71"/>
    <w:rsid w:val="00FD269F"/>
    <w:rsid w:val="00FD4FD5"/>
    <w:rsid w:val="00FF0604"/>
    <w:rsid w:val="00FF461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A03C3"/>
  <w15:chartTrackingRefBased/>
  <w15:docId w15:val="{21D73BB4-39DE-4A67-865C-AD498F557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nl-BE" w:eastAsia="en-US" w:bidi="ar-SA"/>
        <w14:ligatures w14:val="standardContextual"/>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742A"/>
  </w:style>
  <w:style w:type="paragraph" w:styleId="Kop1">
    <w:name w:val="heading 1"/>
    <w:next w:val="Standaard"/>
    <w:link w:val="Kop1Char"/>
    <w:uiPriority w:val="9"/>
    <w:qFormat/>
    <w:rsid w:val="00C62E18"/>
    <w:pPr>
      <w:outlineLvl w:val="0"/>
    </w:pPr>
    <w:rPr>
      <w:rFonts w:ascii="Times New Roman" w:eastAsiaTheme="majorEastAsia" w:hAnsi="Times New Roman" w:cstheme="majorBidi"/>
      <w:b/>
      <w:szCs w:val="24"/>
    </w:rPr>
  </w:style>
  <w:style w:type="paragraph" w:styleId="Kop2">
    <w:name w:val="heading 2"/>
    <w:basedOn w:val="Standaard"/>
    <w:next w:val="Standaard"/>
    <w:link w:val="Kop2Char"/>
    <w:uiPriority w:val="9"/>
    <w:unhideWhenUsed/>
    <w:qFormat/>
    <w:rsid w:val="00D31FBA"/>
    <w:pPr>
      <w:keepNext/>
      <w:keepLines/>
      <w:spacing w:before="40" w:after="0"/>
      <w:outlineLvl w:val="1"/>
    </w:pPr>
    <w:rPr>
      <w:rFonts w:asciiTheme="majorHAnsi" w:eastAsiaTheme="majorEastAsia" w:hAnsiTheme="majorHAnsi" w:cstheme="majorBidi"/>
      <w:color w:val="000000" w:themeColor="text1"/>
      <w:sz w:val="26"/>
      <w:szCs w:val="26"/>
    </w:rPr>
  </w:style>
  <w:style w:type="paragraph" w:styleId="Kop3">
    <w:name w:val="heading 3"/>
    <w:basedOn w:val="Standaard"/>
    <w:next w:val="Standaard"/>
    <w:link w:val="Kop3Char"/>
    <w:uiPriority w:val="9"/>
    <w:unhideWhenUsed/>
    <w:qFormat/>
    <w:rsid w:val="00FC7E71"/>
    <w:pPr>
      <w:keepNext/>
      <w:keepLines/>
      <w:spacing w:before="40" w:after="0"/>
      <w:outlineLvl w:val="2"/>
    </w:pPr>
    <w:rPr>
      <w:rFonts w:eastAsiaTheme="majorEastAsia" w:cstheme="majorBidi"/>
      <w:b/>
      <w:sz w:val="26"/>
      <w:szCs w:val="24"/>
    </w:rPr>
  </w:style>
  <w:style w:type="paragraph" w:styleId="Kop4">
    <w:name w:val="heading 4"/>
    <w:basedOn w:val="Standaard"/>
    <w:next w:val="Standaard"/>
    <w:link w:val="Kop4Char"/>
    <w:uiPriority w:val="9"/>
    <w:unhideWhenUsed/>
    <w:qFormat/>
    <w:rsid w:val="00AB74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AB74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rsid w:val="00AB74B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74B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74B5"/>
    <w:pPr>
      <w:keepNext/>
      <w:keepLines/>
      <w:spacing w:before="0"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74B5"/>
    <w:pPr>
      <w:keepNext/>
      <w:keepLines/>
      <w:spacing w:before="0"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2E18"/>
    <w:rPr>
      <w:rFonts w:ascii="Times New Roman" w:eastAsiaTheme="majorEastAsia" w:hAnsi="Times New Roman" w:cstheme="majorBidi"/>
      <w:b/>
      <w:szCs w:val="24"/>
    </w:rPr>
  </w:style>
  <w:style w:type="character" w:customStyle="1" w:styleId="Kop2Char">
    <w:name w:val="Kop 2 Char"/>
    <w:basedOn w:val="Standaardalinea-lettertype"/>
    <w:link w:val="Kop2"/>
    <w:uiPriority w:val="9"/>
    <w:rsid w:val="00D31FBA"/>
    <w:rPr>
      <w:rFonts w:asciiTheme="majorHAnsi" w:eastAsiaTheme="majorEastAsia" w:hAnsiTheme="majorHAnsi" w:cstheme="majorBidi"/>
      <w:color w:val="000000" w:themeColor="text1"/>
      <w:sz w:val="26"/>
      <w:szCs w:val="26"/>
    </w:rPr>
  </w:style>
  <w:style w:type="character" w:customStyle="1" w:styleId="Kop3Char">
    <w:name w:val="Kop 3 Char"/>
    <w:basedOn w:val="Standaardalinea-lettertype"/>
    <w:link w:val="Kop3"/>
    <w:uiPriority w:val="9"/>
    <w:rsid w:val="00FC7E71"/>
    <w:rPr>
      <w:rFonts w:ascii="Times New Roman" w:eastAsiaTheme="majorEastAsia" w:hAnsi="Times New Roman" w:cstheme="majorBidi"/>
      <w:b/>
      <w:sz w:val="26"/>
      <w:szCs w:val="24"/>
      <w:lang w:val="en-GB"/>
    </w:rPr>
  </w:style>
  <w:style w:type="character" w:styleId="Nadruk">
    <w:name w:val="Emphasis"/>
    <w:basedOn w:val="Standaardalinea-lettertype"/>
    <w:uiPriority w:val="20"/>
    <w:qFormat/>
    <w:rsid w:val="0094741C"/>
    <w:rPr>
      <w:rFonts w:ascii="Times New Roman" w:hAnsi="Times New Roman"/>
      <w:i/>
      <w:iCs/>
      <w:sz w:val="22"/>
    </w:rPr>
  </w:style>
  <w:style w:type="character" w:customStyle="1" w:styleId="Kop4Char">
    <w:name w:val="Kop 4 Char"/>
    <w:basedOn w:val="Standaardalinea-lettertype"/>
    <w:link w:val="Kop4"/>
    <w:uiPriority w:val="9"/>
    <w:rsid w:val="00AB74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rsid w:val="00AB74B5"/>
    <w:rPr>
      <w:rFonts w:eastAsiaTheme="majorEastAsia" w:cstheme="majorBidi"/>
      <w:color w:val="0F4761" w:themeColor="accent1" w:themeShade="BF"/>
    </w:rPr>
  </w:style>
  <w:style w:type="character" w:customStyle="1" w:styleId="Kop6Char">
    <w:name w:val="Kop 6 Char"/>
    <w:basedOn w:val="Standaardalinea-lettertype"/>
    <w:link w:val="Kop6"/>
    <w:uiPriority w:val="9"/>
    <w:rsid w:val="00AB74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74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74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74B5"/>
    <w:rPr>
      <w:rFonts w:eastAsiaTheme="majorEastAsia" w:cstheme="majorBidi"/>
      <w:color w:val="272727" w:themeColor="text1" w:themeTint="D8"/>
    </w:rPr>
  </w:style>
  <w:style w:type="paragraph" w:styleId="Titel">
    <w:name w:val="Title"/>
    <w:basedOn w:val="Standaard"/>
    <w:next w:val="Standaard"/>
    <w:link w:val="TitelChar"/>
    <w:uiPriority w:val="10"/>
    <w:qFormat/>
    <w:rsid w:val="00AB74B5"/>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74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74B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74B5"/>
    <w:rPr>
      <w:rFonts w:eastAsiaTheme="majorEastAsia" w:cstheme="majorBidi"/>
      <w:color w:val="595959" w:themeColor="text1" w:themeTint="A6"/>
      <w:spacing w:val="15"/>
      <w:sz w:val="28"/>
      <w:szCs w:val="28"/>
    </w:rPr>
  </w:style>
  <w:style w:type="paragraph" w:styleId="Citaat">
    <w:name w:val="Quote"/>
    <w:aliases w:val="Quote / Highlight"/>
    <w:basedOn w:val="Standaard"/>
    <w:next w:val="Standaard"/>
    <w:link w:val="CitaatChar"/>
    <w:uiPriority w:val="29"/>
    <w:qFormat/>
    <w:rsid w:val="00AB74B5"/>
    <w:pPr>
      <w:spacing w:before="160" w:after="160"/>
      <w:jc w:val="center"/>
    </w:pPr>
    <w:rPr>
      <w:i/>
      <w:iCs/>
      <w:color w:val="404040" w:themeColor="text1" w:themeTint="BF"/>
    </w:rPr>
  </w:style>
  <w:style w:type="character" w:customStyle="1" w:styleId="CitaatChar">
    <w:name w:val="Citaat Char"/>
    <w:aliases w:val="Quote / Highlight Char"/>
    <w:basedOn w:val="Standaardalinea-lettertype"/>
    <w:link w:val="Citaat"/>
    <w:uiPriority w:val="29"/>
    <w:rsid w:val="00AB74B5"/>
    <w:rPr>
      <w:i/>
      <w:iCs/>
      <w:color w:val="404040" w:themeColor="text1" w:themeTint="BF"/>
    </w:rPr>
  </w:style>
  <w:style w:type="paragraph" w:styleId="Lijstalinea">
    <w:name w:val="List Paragraph"/>
    <w:basedOn w:val="Standaard"/>
    <w:uiPriority w:val="34"/>
    <w:qFormat/>
    <w:rsid w:val="00AB74B5"/>
    <w:pPr>
      <w:ind w:left="720"/>
      <w:contextualSpacing/>
    </w:pPr>
  </w:style>
  <w:style w:type="character" w:styleId="Intensievebenadrukking">
    <w:name w:val="Intense Emphasis"/>
    <w:basedOn w:val="Standaardalinea-lettertype"/>
    <w:uiPriority w:val="21"/>
    <w:qFormat/>
    <w:rsid w:val="00AB74B5"/>
    <w:rPr>
      <w:i/>
      <w:iCs/>
      <w:color w:val="0F4761" w:themeColor="accent1" w:themeShade="BF"/>
    </w:rPr>
  </w:style>
  <w:style w:type="paragraph" w:styleId="Duidelijkcitaat">
    <w:name w:val="Intense Quote"/>
    <w:aliases w:val="Quote / Highlight 2"/>
    <w:basedOn w:val="Standaard"/>
    <w:next w:val="Standaard"/>
    <w:link w:val="DuidelijkcitaatChar"/>
    <w:uiPriority w:val="30"/>
    <w:qFormat/>
    <w:rsid w:val="00AB7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aliases w:val="Quote / Highlight 2 Char"/>
    <w:basedOn w:val="Standaardalinea-lettertype"/>
    <w:link w:val="Duidelijkcitaat"/>
    <w:uiPriority w:val="30"/>
    <w:rsid w:val="00AB74B5"/>
    <w:rPr>
      <w:i/>
      <w:iCs/>
      <w:color w:val="0F4761" w:themeColor="accent1" w:themeShade="BF"/>
    </w:rPr>
  </w:style>
  <w:style w:type="character" w:styleId="Intensieveverwijzing">
    <w:name w:val="Intense Reference"/>
    <w:basedOn w:val="Standaardalinea-lettertype"/>
    <w:uiPriority w:val="32"/>
    <w:qFormat/>
    <w:rsid w:val="00AB74B5"/>
    <w:rPr>
      <w:b/>
      <w:bCs/>
      <w:smallCaps/>
      <w:color w:val="0F4761" w:themeColor="accent1" w:themeShade="BF"/>
      <w:spacing w:val="5"/>
    </w:rPr>
  </w:style>
  <w:style w:type="numbering" w:customStyle="1" w:styleId="Geenlijst1">
    <w:name w:val="Geen lijst1"/>
    <w:next w:val="Geenlijst"/>
    <w:uiPriority w:val="99"/>
    <w:semiHidden/>
    <w:unhideWhenUsed/>
    <w:rsid w:val="00AB74B5"/>
  </w:style>
  <w:style w:type="paragraph" w:customStyle="1" w:styleId="Koptekst1">
    <w:name w:val="Koptekst1"/>
    <w:basedOn w:val="Standaard"/>
    <w:next w:val="Koptekst"/>
    <w:link w:val="KoptekstChar"/>
    <w:uiPriority w:val="99"/>
    <w:unhideWhenUsed/>
    <w:rsid w:val="00AB74B5"/>
    <w:pPr>
      <w:tabs>
        <w:tab w:val="center" w:pos="4536"/>
        <w:tab w:val="right" w:pos="9072"/>
      </w:tabs>
      <w:spacing w:before="0" w:after="0" w:line="240" w:lineRule="auto"/>
      <w:jc w:val="both"/>
    </w:pPr>
    <w:rPr>
      <w:color w:val="323232"/>
      <w:lang w:val="en-US"/>
    </w:rPr>
  </w:style>
  <w:style w:type="character" w:customStyle="1" w:styleId="KoptekstChar">
    <w:name w:val="Koptekst Char"/>
    <w:basedOn w:val="Standaardalinea-lettertype"/>
    <w:link w:val="Koptekst1"/>
    <w:uiPriority w:val="99"/>
    <w:rsid w:val="00AB74B5"/>
    <w:rPr>
      <w:color w:val="323232"/>
      <w:lang w:val="en-US"/>
    </w:rPr>
  </w:style>
  <w:style w:type="paragraph" w:customStyle="1" w:styleId="Voettekst1">
    <w:name w:val="Voettekst1"/>
    <w:basedOn w:val="Standaard"/>
    <w:next w:val="Voettekst"/>
    <w:link w:val="VoettekstChar"/>
    <w:uiPriority w:val="99"/>
    <w:unhideWhenUsed/>
    <w:qFormat/>
    <w:rsid w:val="00AB74B5"/>
    <w:pPr>
      <w:tabs>
        <w:tab w:val="center" w:pos="4536"/>
        <w:tab w:val="right" w:pos="9072"/>
      </w:tabs>
      <w:spacing w:before="0" w:after="0" w:line="240" w:lineRule="auto"/>
      <w:jc w:val="both"/>
    </w:pPr>
    <w:rPr>
      <w:color w:val="002E65"/>
      <w:sz w:val="16"/>
      <w:lang w:val="en-US"/>
    </w:rPr>
  </w:style>
  <w:style w:type="character" w:customStyle="1" w:styleId="VoettekstChar">
    <w:name w:val="Voettekst Char"/>
    <w:basedOn w:val="Standaardalinea-lettertype"/>
    <w:link w:val="Voettekst1"/>
    <w:uiPriority w:val="99"/>
    <w:rsid w:val="00AB74B5"/>
    <w:rPr>
      <w:color w:val="002E65"/>
      <w:sz w:val="16"/>
      <w:lang w:val="en-US"/>
    </w:rPr>
  </w:style>
  <w:style w:type="character" w:customStyle="1" w:styleId="Subtieleverwijzing1">
    <w:name w:val="Subtiele verwijzing1"/>
    <w:basedOn w:val="Standaardalinea-lettertype"/>
    <w:uiPriority w:val="31"/>
    <w:qFormat/>
    <w:rsid w:val="00AB74B5"/>
    <w:rPr>
      <w:smallCaps/>
      <w:color w:val="002E65"/>
    </w:rPr>
  </w:style>
  <w:style w:type="paragraph" w:customStyle="1" w:styleId="Geenafstand1">
    <w:name w:val="Geen afstand1"/>
    <w:next w:val="Geenafstand"/>
    <w:uiPriority w:val="1"/>
    <w:qFormat/>
    <w:rsid w:val="00AB74B5"/>
    <w:pPr>
      <w:spacing w:before="0" w:after="0" w:line="240" w:lineRule="auto"/>
    </w:pPr>
    <w:rPr>
      <w:kern w:val="0"/>
      <w:szCs w:val="22"/>
    </w:rPr>
  </w:style>
  <w:style w:type="character" w:customStyle="1" w:styleId="Subtielebenadrukking1">
    <w:name w:val="Subtiele benadrukking1"/>
    <w:basedOn w:val="Standaardalinea-lettertype"/>
    <w:uiPriority w:val="19"/>
    <w:qFormat/>
    <w:rsid w:val="00AB74B5"/>
    <w:rPr>
      <w:i/>
      <w:iCs/>
      <w:color w:val="005CCB"/>
    </w:rPr>
  </w:style>
  <w:style w:type="paragraph" w:customStyle="1" w:styleId="Introduction">
    <w:name w:val="Introduction"/>
    <w:basedOn w:val="Standaard"/>
    <w:qFormat/>
    <w:rsid w:val="00AB74B5"/>
    <w:pPr>
      <w:spacing w:before="0" w:after="560" w:line="360" w:lineRule="auto"/>
      <w:jc w:val="both"/>
    </w:pPr>
    <w:rPr>
      <w:b/>
      <w:bCs/>
      <w:color w:val="002E65"/>
      <w:kern w:val="0"/>
      <w:sz w:val="22"/>
      <w:szCs w:val="22"/>
      <w:lang w:val="en-US"/>
    </w:rPr>
  </w:style>
  <w:style w:type="paragraph" w:customStyle="1" w:styleId="Kopvaninhoudsopgave1">
    <w:name w:val="Kop van inhoudsopgave1"/>
    <w:basedOn w:val="Kop1"/>
    <w:next w:val="Standaard"/>
    <w:uiPriority w:val="39"/>
    <w:unhideWhenUsed/>
    <w:qFormat/>
    <w:rsid w:val="00AB74B5"/>
    <w:pPr>
      <w:keepNext/>
      <w:keepLines/>
      <w:spacing w:before="240" w:after="0" w:line="360" w:lineRule="auto"/>
      <w:jc w:val="both"/>
      <w:outlineLvl w:val="9"/>
    </w:pPr>
    <w:rPr>
      <w:rFonts w:ascii="Calibri" w:hAnsi="Calibri"/>
      <w:color w:val="00224B"/>
      <w:kern w:val="0"/>
      <w:sz w:val="28"/>
      <w:szCs w:val="32"/>
      <w:lang w:val="en-US"/>
    </w:rPr>
  </w:style>
  <w:style w:type="paragraph" w:customStyle="1" w:styleId="Inhopg11">
    <w:name w:val="Inhopg 11"/>
    <w:basedOn w:val="Standaard"/>
    <w:next w:val="Standaard"/>
    <w:autoRedefine/>
    <w:uiPriority w:val="39"/>
    <w:unhideWhenUsed/>
    <w:rsid w:val="00AB74B5"/>
    <w:pPr>
      <w:spacing w:before="0" w:after="100" w:line="360" w:lineRule="auto"/>
      <w:ind w:left="425" w:hanging="425"/>
      <w:jc w:val="both"/>
    </w:pPr>
    <w:rPr>
      <w:color w:val="323232"/>
      <w:kern w:val="0"/>
      <w:sz w:val="22"/>
      <w:szCs w:val="22"/>
      <w:lang w:val="en-US"/>
    </w:rPr>
  </w:style>
  <w:style w:type="paragraph" w:customStyle="1" w:styleId="Inhopg21">
    <w:name w:val="Inhopg 21"/>
    <w:basedOn w:val="Standaard"/>
    <w:next w:val="Standaard"/>
    <w:autoRedefine/>
    <w:uiPriority w:val="39"/>
    <w:unhideWhenUsed/>
    <w:rsid w:val="00AB74B5"/>
    <w:pPr>
      <w:tabs>
        <w:tab w:val="right" w:leader="dot" w:pos="9062"/>
      </w:tabs>
      <w:spacing w:before="0" w:after="100" w:line="360" w:lineRule="auto"/>
      <w:ind w:left="851" w:hanging="426"/>
      <w:jc w:val="both"/>
    </w:pPr>
    <w:rPr>
      <w:color w:val="323232"/>
      <w:kern w:val="0"/>
      <w:sz w:val="22"/>
      <w:szCs w:val="22"/>
      <w:lang w:val="en-US"/>
    </w:rPr>
  </w:style>
  <w:style w:type="paragraph" w:customStyle="1" w:styleId="Inhopg31">
    <w:name w:val="Inhopg 31"/>
    <w:basedOn w:val="Standaard"/>
    <w:next w:val="Standaard"/>
    <w:autoRedefine/>
    <w:uiPriority w:val="39"/>
    <w:unhideWhenUsed/>
    <w:rsid w:val="00AB74B5"/>
    <w:pPr>
      <w:tabs>
        <w:tab w:val="right" w:leader="dot" w:pos="9062"/>
      </w:tabs>
      <w:spacing w:before="0" w:after="100" w:line="360" w:lineRule="auto"/>
      <w:ind w:left="1276" w:hanging="425"/>
      <w:jc w:val="both"/>
    </w:pPr>
    <w:rPr>
      <w:color w:val="323232"/>
      <w:kern w:val="0"/>
      <w:sz w:val="22"/>
      <w:szCs w:val="22"/>
      <w:lang w:val="en-US"/>
    </w:rPr>
  </w:style>
  <w:style w:type="character" w:customStyle="1" w:styleId="Hyperlink1">
    <w:name w:val="Hyperlink1"/>
    <w:basedOn w:val="Standaardalinea-lettertype"/>
    <w:uiPriority w:val="99"/>
    <w:unhideWhenUsed/>
    <w:rsid w:val="00AB74B5"/>
    <w:rPr>
      <w:color w:val="006CA9"/>
      <w:u w:val="single"/>
    </w:rPr>
  </w:style>
  <w:style w:type="table" w:customStyle="1" w:styleId="Tabelraster1">
    <w:name w:val="Tabelraster1"/>
    <w:basedOn w:val="Standaardtabel"/>
    <w:next w:val="Tabelraster"/>
    <w:uiPriority w:val="39"/>
    <w:rsid w:val="00AB74B5"/>
    <w:pPr>
      <w:spacing w:before="0"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1licht-Accent51">
    <w:name w:val="Rastertabel 1 licht - Accent 51"/>
    <w:basedOn w:val="Standaardtabel"/>
    <w:next w:val="Rastertabel1licht-Accent5"/>
    <w:uiPriority w:val="46"/>
    <w:rsid w:val="00AB74B5"/>
    <w:pPr>
      <w:spacing w:before="0" w:after="0" w:line="240" w:lineRule="auto"/>
    </w:pPr>
    <w:rPr>
      <w:kern w:val="0"/>
      <w:sz w:val="22"/>
      <w:szCs w:val="22"/>
    </w:rPr>
    <w:tblPr>
      <w:tblStyleRowBandSize w:val="1"/>
      <w:tblStyleColBandSize w:val="1"/>
      <w:tblBorders>
        <w:top w:val="single" w:sz="4" w:space="0" w:color="EA9A9E"/>
        <w:left w:val="single" w:sz="4" w:space="0" w:color="EA9A9E"/>
        <w:bottom w:val="single" w:sz="4" w:space="0" w:color="EA9A9E"/>
        <w:right w:val="single" w:sz="4" w:space="0" w:color="EA9A9E"/>
        <w:insideH w:val="single" w:sz="4" w:space="0" w:color="EA9A9E"/>
        <w:insideV w:val="single" w:sz="4" w:space="0" w:color="EA9A9E"/>
      </w:tblBorders>
    </w:tblPr>
    <w:tblStylePr w:type="firstRow">
      <w:rPr>
        <w:b/>
        <w:bCs/>
      </w:rPr>
      <w:tblPr/>
      <w:tcPr>
        <w:tcBorders>
          <w:bottom w:val="single" w:sz="12" w:space="0" w:color="DF696E"/>
        </w:tcBorders>
      </w:tcPr>
    </w:tblStylePr>
    <w:tblStylePr w:type="lastRow">
      <w:rPr>
        <w:b/>
        <w:bCs/>
      </w:rPr>
      <w:tblPr/>
      <w:tcPr>
        <w:tcBorders>
          <w:top w:val="double" w:sz="2" w:space="0" w:color="DF696E"/>
        </w:tcBorders>
      </w:tcPr>
    </w:tblStylePr>
    <w:tblStylePr w:type="firstCol">
      <w:rPr>
        <w:b/>
        <w:bCs/>
      </w:rPr>
    </w:tblStylePr>
    <w:tblStylePr w:type="lastCol">
      <w:rPr>
        <w:b/>
        <w:bCs/>
      </w:rPr>
    </w:tblStylePr>
  </w:style>
  <w:style w:type="table" w:customStyle="1" w:styleId="Lijsttabel6kleurrijk-Accent21">
    <w:name w:val="Lijsttabel 6 kleurrijk - Accent 21"/>
    <w:basedOn w:val="Standaardtabel"/>
    <w:next w:val="Lijsttabel6kleurrijk-Accent2"/>
    <w:uiPriority w:val="51"/>
    <w:rsid w:val="00AB74B5"/>
    <w:pPr>
      <w:spacing w:before="0" w:after="0" w:line="240" w:lineRule="auto"/>
    </w:pPr>
    <w:rPr>
      <w:color w:val="BD121D"/>
      <w:kern w:val="0"/>
      <w:sz w:val="22"/>
      <w:szCs w:val="22"/>
    </w:rPr>
    <w:tblPr>
      <w:tblStyleRowBandSize w:val="1"/>
      <w:tblStyleColBandSize w:val="1"/>
      <w:tblBorders>
        <w:top w:val="single" w:sz="4" w:space="0" w:color="EA2C38"/>
        <w:bottom w:val="single" w:sz="4" w:space="0" w:color="EA2C38"/>
      </w:tblBorders>
    </w:tblPr>
    <w:tblStylePr w:type="firstRow">
      <w:rPr>
        <w:b/>
        <w:bCs/>
      </w:rPr>
      <w:tblPr/>
      <w:tcPr>
        <w:tcBorders>
          <w:bottom w:val="single" w:sz="4" w:space="0" w:color="EA2C38"/>
        </w:tcBorders>
      </w:tcPr>
    </w:tblStylePr>
    <w:tblStylePr w:type="lastRow">
      <w:rPr>
        <w:b/>
        <w:bCs/>
      </w:rPr>
      <w:tblPr/>
      <w:tcPr>
        <w:tcBorders>
          <w:top w:val="double" w:sz="4" w:space="0" w:color="EA2C38"/>
        </w:tcBorders>
      </w:tcPr>
    </w:tblStylePr>
    <w:tblStylePr w:type="firstCol">
      <w:rPr>
        <w:b/>
        <w:bCs/>
      </w:rPr>
    </w:tblStylePr>
    <w:tblStylePr w:type="lastCol">
      <w:rPr>
        <w:b/>
        <w:bCs/>
      </w:rPr>
    </w:tblStylePr>
    <w:tblStylePr w:type="band1Vert">
      <w:tblPr/>
      <w:tcPr>
        <w:shd w:val="clear" w:color="auto" w:fill="FAD4D6"/>
      </w:tcPr>
    </w:tblStylePr>
    <w:tblStylePr w:type="band1Horz">
      <w:tblPr/>
      <w:tcPr>
        <w:shd w:val="clear" w:color="auto" w:fill="FAD4D6"/>
      </w:tcPr>
    </w:tblStylePr>
  </w:style>
  <w:style w:type="table" w:customStyle="1" w:styleId="UATable">
    <w:name w:val="UA Table"/>
    <w:basedOn w:val="Standaardtabel"/>
    <w:uiPriority w:val="99"/>
    <w:rsid w:val="00AB74B5"/>
    <w:pPr>
      <w:spacing w:before="0" w:after="0" w:line="240" w:lineRule="auto"/>
    </w:pPr>
    <w:rPr>
      <w:color w:val="000000"/>
      <w:kern w:val="0"/>
      <w:szCs w:val="22"/>
    </w:rPr>
    <w:tblPr>
      <w:tblCellMar>
        <w:top w:w="170" w:type="dxa"/>
        <w:left w:w="0" w:type="dxa"/>
        <w:bottom w:w="170" w:type="dxa"/>
        <w:right w:w="0" w:type="dxa"/>
      </w:tblCellMar>
    </w:tblPr>
    <w:tcPr>
      <w:vAlign w:val="center"/>
    </w:tcPr>
    <w:tblStylePr w:type="firstRow">
      <w:rPr>
        <w:rFonts w:ascii="Calibri" w:hAnsi="Calibri"/>
        <w:b/>
        <w:color w:val="002E65"/>
        <w:sz w:val="20"/>
      </w:rPr>
      <w:tblPr/>
      <w:tcPr>
        <w:tcBorders>
          <w:bottom w:val="single" w:sz="18" w:space="0" w:color="EA2C38"/>
        </w:tcBorders>
      </w:tcPr>
    </w:tblStylePr>
  </w:style>
  <w:style w:type="character" w:styleId="Tekstvantijdelijkeaanduiding">
    <w:name w:val="Placeholder Text"/>
    <w:basedOn w:val="Standaardalinea-lettertype"/>
    <w:uiPriority w:val="99"/>
    <w:semiHidden/>
    <w:rsid w:val="00AB74B5"/>
    <w:rPr>
      <w:color w:val="808080"/>
    </w:rPr>
  </w:style>
  <w:style w:type="paragraph" w:customStyle="1" w:styleId="Bijschrift1">
    <w:name w:val="Bijschrift1"/>
    <w:basedOn w:val="Standaard"/>
    <w:next w:val="Standaard"/>
    <w:uiPriority w:val="35"/>
    <w:unhideWhenUsed/>
    <w:qFormat/>
    <w:rsid w:val="00AB74B5"/>
    <w:pPr>
      <w:spacing w:before="0" w:line="240" w:lineRule="auto"/>
      <w:jc w:val="both"/>
    </w:pPr>
    <w:rPr>
      <w:i/>
      <w:iCs/>
      <w:color w:val="002E65"/>
      <w:kern w:val="0"/>
      <w:sz w:val="18"/>
      <w:szCs w:val="18"/>
      <w:lang w:val="en-US"/>
    </w:rPr>
  </w:style>
  <w:style w:type="table" w:customStyle="1" w:styleId="UATable2">
    <w:name w:val="UA Table 2"/>
    <w:basedOn w:val="Standaardtabel"/>
    <w:uiPriority w:val="99"/>
    <w:rsid w:val="00AB74B5"/>
    <w:pPr>
      <w:spacing w:before="0" w:after="0" w:line="240" w:lineRule="auto"/>
    </w:pPr>
    <w:rPr>
      <w:kern w:val="0"/>
      <w:sz w:val="22"/>
      <w:szCs w:val="22"/>
    </w:rPr>
    <w:tblPr>
      <w:tblBorders>
        <w:top w:val="single" w:sz="4" w:space="0" w:color="BFBFBF"/>
        <w:left w:val="single" w:sz="4" w:space="0" w:color="BFBFBF"/>
        <w:bottom w:val="single" w:sz="4" w:space="0" w:color="BFBFBF"/>
        <w:right w:val="single" w:sz="4" w:space="0" w:color="BFBFBF"/>
        <w:insideH w:val="single" w:sz="4" w:space="0" w:color="BFBFBF"/>
      </w:tblBorders>
      <w:tblCellMar>
        <w:top w:w="113" w:type="dxa"/>
        <w:bottom w:w="113" w:type="dxa"/>
      </w:tblCellMar>
    </w:tblPr>
    <w:tblStylePr w:type="firstRow">
      <w:rPr>
        <w:rFonts w:ascii="Calibri" w:hAnsi="Calibri"/>
        <w:b/>
        <w:color w:val="002E65"/>
      </w:rPr>
    </w:tblStylePr>
  </w:style>
  <w:style w:type="character" w:customStyle="1" w:styleId="CompanyInformationChar">
    <w:name w:val="Company Information Char"/>
    <w:basedOn w:val="Standaardalinea-lettertype"/>
    <w:link w:val="Bedrijfsgegevens"/>
    <w:rsid w:val="00AB74B5"/>
    <w:rPr>
      <w:rFonts w:cs="Verdana"/>
      <w:color w:val="808080"/>
      <w:sz w:val="15"/>
      <w:szCs w:val="15"/>
      <w:lang w:val="nl-NL" w:eastAsia="nl-NL" w:bidi="nl-NL"/>
    </w:rPr>
  </w:style>
  <w:style w:type="paragraph" w:customStyle="1" w:styleId="Bedrijfsgegevens">
    <w:name w:val="Bedrijfsgegevens"/>
    <w:basedOn w:val="Standaard"/>
    <w:link w:val="CompanyInformationChar"/>
    <w:rsid w:val="00AB74B5"/>
    <w:pPr>
      <w:spacing w:before="0" w:after="0" w:line="240" w:lineRule="auto"/>
      <w:jc w:val="both"/>
    </w:pPr>
    <w:rPr>
      <w:rFonts w:cs="Verdana"/>
      <w:color w:val="808080"/>
      <w:sz w:val="15"/>
      <w:szCs w:val="15"/>
      <w:lang w:val="nl-NL" w:eastAsia="nl-NL" w:bidi="nl-NL"/>
    </w:rPr>
  </w:style>
  <w:style w:type="paragraph" w:customStyle="1" w:styleId="CompanyInformationItalic">
    <w:name w:val="Company Information Italic"/>
    <w:basedOn w:val="Standaard"/>
    <w:link w:val="Tekensvoorbedrijfsgegevenscursief"/>
    <w:rsid w:val="00AB74B5"/>
    <w:pPr>
      <w:spacing w:before="0" w:after="0" w:line="312" w:lineRule="auto"/>
      <w:jc w:val="both"/>
    </w:pPr>
    <w:rPr>
      <w:rFonts w:ascii="Verdana" w:eastAsia="Times New Roman" w:hAnsi="Verdana" w:cs="Verdana"/>
      <w:kern w:val="0"/>
      <w:sz w:val="17"/>
      <w:szCs w:val="17"/>
      <w:lang w:val="nl-NL" w:eastAsia="nl-NL"/>
    </w:rPr>
  </w:style>
  <w:style w:type="character" w:customStyle="1" w:styleId="Tekensvoorbedrijfsgegevenscursief">
    <w:name w:val="Tekens voor bedrijfsgegevens cursief"/>
    <w:basedOn w:val="Standaardalinea-lettertype"/>
    <w:link w:val="CompanyInformationItalic"/>
    <w:locked/>
    <w:rsid w:val="00AB74B5"/>
    <w:rPr>
      <w:rFonts w:ascii="Verdana" w:eastAsia="Times New Roman" w:hAnsi="Verdana" w:cs="Verdana"/>
      <w:kern w:val="0"/>
      <w:sz w:val="17"/>
      <w:szCs w:val="17"/>
      <w:lang w:val="nl-NL" w:eastAsia="nl-NL"/>
    </w:rPr>
  </w:style>
  <w:style w:type="table" w:customStyle="1" w:styleId="TabelNormaal">
    <w:name w:val="Tabel Normaal"/>
    <w:semiHidden/>
    <w:rsid w:val="00AB74B5"/>
    <w:pPr>
      <w:spacing w:before="0" w:after="0" w:line="240" w:lineRule="auto"/>
    </w:pPr>
    <w:rPr>
      <w:rFonts w:ascii="Times New Roman" w:eastAsia="Times New Roman" w:hAnsi="Times New Roman" w:cs="Times New Roman"/>
      <w:kern w:val="0"/>
      <w:lang w:val="en-US"/>
    </w:rPr>
    <w:tblPr>
      <w:tblCellMar>
        <w:top w:w="0" w:type="dxa"/>
        <w:left w:w="108" w:type="dxa"/>
        <w:bottom w:w="0" w:type="dxa"/>
        <w:right w:w="108" w:type="dxa"/>
      </w:tblCellMar>
    </w:tblPr>
  </w:style>
  <w:style w:type="paragraph" w:customStyle="1" w:styleId="HeaderCover">
    <w:name w:val="Header Cover"/>
    <w:basedOn w:val="Geenafstand"/>
    <w:qFormat/>
    <w:rsid w:val="00AB74B5"/>
    <w:rPr>
      <w:kern w:val="0"/>
      <w:sz w:val="16"/>
      <w:szCs w:val="22"/>
    </w:rPr>
  </w:style>
  <w:style w:type="paragraph" w:customStyle="1" w:styleId="CoverSubtitle">
    <w:name w:val="Cover Subtitle"/>
    <w:basedOn w:val="Kop1"/>
    <w:qFormat/>
    <w:rsid w:val="00AB74B5"/>
    <w:pPr>
      <w:keepNext/>
      <w:keepLines/>
      <w:spacing w:before="0" w:after="320" w:line="360" w:lineRule="auto"/>
      <w:jc w:val="both"/>
    </w:pPr>
    <w:rPr>
      <w:rFonts w:ascii="Calibri" w:hAnsi="Calibri"/>
      <w:bCs/>
      <w:kern w:val="0"/>
      <w:sz w:val="28"/>
      <w:szCs w:val="32"/>
    </w:rPr>
  </w:style>
  <w:style w:type="paragraph" w:customStyle="1" w:styleId="Body">
    <w:name w:val="Body"/>
    <w:basedOn w:val="Standaard"/>
    <w:qFormat/>
    <w:rsid w:val="00AB74B5"/>
    <w:pPr>
      <w:spacing w:before="0" w:after="320" w:line="360" w:lineRule="auto"/>
      <w:jc w:val="both"/>
    </w:pPr>
    <w:rPr>
      <w:color w:val="323232"/>
      <w:kern w:val="0"/>
      <w:sz w:val="22"/>
      <w:szCs w:val="22"/>
    </w:rPr>
  </w:style>
  <w:style w:type="paragraph" w:customStyle="1" w:styleId="Inhopg41">
    <w:name w:val="Inhopg 41"/>
    <w:basedOn w:val="Standaard"/>
    <w:next w:val="Standaard"/>
    <w:autoRedefine/>
    <w:uiPriority w:val="39"/>
    <w:unhideWhenUsed/>
    <w:rsid w:val="00AB74B5"/>
    <w:pPr>
      <w:tabs>
        <w:tab w:val="right" w:leader="dot" w:pos="9062"/>
      </w:tabs>
      <w:spacing w:before="0" w:after="100" w:line="360" w:lineRule="auto"/>
      <w:ind w:left="1701" w:hanging="425"/>
      <w:jc w:val="both"/>
    </w:pPr>
    <w:rPr>
      <w:color w:val="323232"/>
      <w:kern w:val="0"/>
      <w:sz w:val="22"/>
      <w:szCs w:val="22"/>
      <w:lang w:val="en-US"/>
    </w:rPr>
  </w:style>
  <w:style w:type="paragraph" w:customStyle="1" w:styleId="Inhopg51">
    <w:name w:val="Inhopg 51"/>
    <w:basedOn w:val="Standaard"/>
    <w:next w:val="Standaard"/>
    <w:autoRedefine/>
    <w:uiPriority w:val="39"/>
    <w:unhideWhenUsed/>
    <w:rsid w:val="00AB74B5"/>
    <w:pPr>
      <w:tabs>
        <w:tab w:val="right" w:leader="dot" w:pos="9062"/>
      </w:tabs>
      <w:spacing w:before="0" w:after="100" w:line="360" w:lineRule="auto"/>
      <w:ind w:left="2127" w:hanging="426"/>
      <w:jc w:val="both"/>
    </w:pPr>
    <w:rPr>
      <w:color w:val="323232"/>
      <w:kern w:val="0"/>
      <w:sz w:val="22"/>
      <w:szCs w:val="22"/>
      <w:lang w:val="en-US"/>
    </w:rPr>
  </w:style>
  <w:style w:type="character" w:customStyle="1" w:styleId="ozzzk">
    <w:name w:val="ozzzk"/>
    <w:basedOn w:val="Standaardalinea-lettertype"/>
    <w:rsid w:val="00AB74B5"/>
  </w:style>
  <w:style w:type="paragraph" w:customStyle="1" w:styleId="iivzx">
    <w:name w:val="iivzx"/>
    <w:basedOn w:val="Standaard"/>
    <w:rsid w:val="00AB74B5"/>
    <w:pPr>
      <w:spacing w:beforeAutospacing="1" w:after="100" w:afterAutospacing="1" w:line="240" w:lineRule="auto"/>
      <w:jc w:val="both"/>
    </w:pPr>
    <w:rPr>
      <w:rFonts w:ascii="Times New Roman" w:eastAsia="Times New Roman" w:hAnsi="Times New Roman" w:cs="Times New Roman"/>
      <w:kern w:val="0"/>
      <w:sz w:val="24"/>
      <w:szCs w:val="24"/>
      <w:lang w:eastAsia="nl-BE"/>
    </w:rPr>
  </w:style>
  <w:style w:type="paragraph" w:customStyle="1" w:styleId="xmsonormal">
    <w:name w:val="x_msonormal"/>
    <w:basedOn w:val="Standaard"/>
    <w:rsid w:val="00AB74B5"/>
    <w:pPr>
      <w:spacing w:beforeAutospacing="1" w:after="100" w:afterAutospacing="1" w:line="240" w:lineRule="auto"/>
      <w:jc w:val="both"/>
    </w:pPr>
    <w:rPr>
      <w:rFonts w:ascii="Times New Roman" w:eastAsia="Times New Roman" w:hAnsi="Times New Roman" w:cs="Times New Roman"/>
      <w:kern w:val="0"/>
      <w:sz w:val="24"/>
      <w:szCs w:val="24"/>
      <w:lang w:eastAsia="nl-BE"/>
    </w:rPr>
  </w:style>
  <w:style w:type="character" w:styleId="Onopgelostemelding">
    <w:name w:val="Unresolved Mention"/>
    <w:basedOn w:val="Standaardalinea-lettertype"/>
    <w:uiPriority w:val="99"/>
    <w:semiHidden/>
    <w:unhideWhenUsed/>
    <w:rsid w:val="00AB74B5"/>
    <w:rPr>
      <w:color w:val="605E5C"/>
      <w:shd w:val="clear" w:color="auto" w:fill="E1DFDD"/>
    </w:rPr>
  </w:style>
  <w:style w:type="paragraph" w:customStyle="1" w:styleId="EndNoteBibliographyTitle">
    <w:name w:val="EndNote Bibliography Title"/>
    <w:basedOn w:val="Standaard"/>
    <w:link w:val="EndNoteBibliographyTitleChar"/>
    <w:rsid w:val="00AB74B5"/>
    <w:pPr>
      <w:spacing w:before="0" w:after="0"/>
      <w:jc w:val="center"/>
    </w:pPr>
    <w:rPr>
      <w:rFonts w:ascii="Aptos" w:eastAsia="Arial" w:hAnsi="Aptos" w:cs="Calibri"/>
      <w:noProof/>
      <w:kern w:val="0"/>
      <w:szCs w:val="22"/>
      <w:lang w:val="nl-NL" w:eastAsia="nl-NL"/>
    </w:rPr>
  </w:style>
  <w:style w:type="character" w:customStyle="1" w:styleId="EndNoteBibliographyTitleChar">
    <w:name w:val="EndNote Bibliography Title Char"/>
    <w:basedOn w:val="Standaardalinea-lettertype"/>
    <w:link w:val="EndNoteBibliographyTitle"/>
    <w:rsid w:val="00AB74B5"/>
    <w:rPr>
      <w:rFonts w:ascii="Aptos" w:eastAsia="Arial" w:hAnsi="Aptos" w:cs="Calibri"/>
      <w:noProof/>
      <w:kern w:val="0"/>
      <w:szCs w:val="22"/>
      <w:lang w:val="nl-NL" w:eastAsia="nl-NL"/>
    </w:rPr>
  </w:style>
  <w:style w:type="paragraph" w:customStyle="1" w:styleId="EndNoteBibliography">
    <w:name w:val="EndNote Bibliography"/>
    <w:basedOn w:val="Standaard"/>
    <w:link w:val="EndNoteBibliographyChar"/>
    <w:rsid w:val="00AB74B5"/>
    <w:pPr>
      <w:spacing w:before="0" w:after="0" w:line="240" w:lineRule="auto"/>
      <w:jc w:val="both"/>
    </w:pPr>
    <w:rPr>
      <w:rFonts w:ascii="Aptos" w:eastAsia="Arial" w:hAnsi="Aptos" w:cs="Calibri"/>
      <w:noProof/>
      <w:kern w:val="0"/>
      <w:szCs w:val="22"/>
      <w:lang w:val="nl-NL" w:eastAsia="nl-NL"/>
    </w:rPr>
  </w:style>
  <w:style w:type="character" w:customStyle="1" w:styleId="EndNoteBibliographyChar">
    <w:name w:val="EndNote Bibliography Char"/>
    <w:basedOn w:val="Standaardalinea-lettertype"/>
    <w:link w:val="EndNoteBibliography"/>
    <w:rsid w:val="00AB74B5"/>
    <w:rPr>
      <w:rFonts w:ascii="Aptos" w:eastAsia="Arial" w:hAnsi="Aptos" w:cs="Calibri"/>
      <w:noProof/>
      <w:kern w:val="0"/>
      <w:szCs w:val="22"/>
      <w:lang w:val="nl-NL" w:eastAsia="nl-NL"/>
    </w:rPr>
  </w:style>
  <w:style w:type="character" w:styleId="Verwijzingopmerking">
    <w:name w:val="annotation reference"/>
    <w:basedOn w:val="Standaardalinea-lettertype"/>
    <w:uiPriority w:val="99"/>
    <w:semiHidden/>
    <w:unhideWhenUsed/>
    <w:rsid w:val="00AB74B5"/>
    <w:rPr>
      <w:sz w:val="16"/>
      <w:szCs w:val="16"/>
    </w:rPr>
  </w:style>
  <w:style w:type="paragraph" w:customStyle="1" w:styleId="Tekstopmerking1">
    <w:name w:val="Tekst opmerking1"/>
    <w:basedOn w:val="Standaard"/>
    <w:next w:val="Tekstopmerking"/>
    <w:link w:val="TekstopmerkingChar"/>
    <w:uiPriority w:val="99"/>
    <w:unhideWhenUsed/>
    <w:rsid w:val="00AB74B5"/>
    <w:pPr>
      <w:spacing w:before="0" w:after="320" w:line="240" w:lineRule="auto"/>
      <w:jc w:val="both"/>
    </w:pPr>
    <w:rPr>
      <w:color w:val="323232"/>
      <w:lang w:val="en-US"/>
    </w:rPr>
  </w:style>
  <w:style w:type="character" w:customStyle="1" w:styleId="TekstopmerkingChar">
    <w:name w:val="Tekst opmerking Char"/>
    <w:basedOn w:val="Standaardalinea-lettertype"/>
    <w:link w:val="Tekstopmerking1"/>
    <w:uiPriority w:val="99"/>
    <w:rsid w:val="00AB74B5"/>
    <w:rPr>
      <w:color w:val="323232"/>
      <w:szCs w:val="20"/>
      <w:lang w:val="en-US"/>
    </w:rPr>
  </w:style>
  <w:style w:type="paragraph" w:customStyle="1" w:styleId="Onderwerpvanopmerking1">
    <w:name w:val="Onderwerp van opmerking1"/>
    <w:basedOn w:val="Tekstopmerking"/>
    <w:next w:val="Tekstopmerking"/>
    <w:uiPriority w:val="99"/>
    <w:semiHidden/>
    <w:unhideWhenUsed/>
    <w:rsid w:val="00AB74B5"/>
    <w:pPr>
      <w:spacing w:before="0" w:after="320"/>
      <w:jc w:val="both"/>
    </w:pPr>
    <w:rPr>
      <w:b/>
      <w:bCs/>
      <w:color w:val="323232"/>
      <w:kern w:val="0"/>
      <w:sz w:val="22"/>
      <w:lang w:val="en-US"/>
    </w:rPr>
  </w:style>
  <w:style w:type="character" w:customStyle="1" w:styleId="OnderwerpvanopmerkingChar">
    <w:name w:val="Onderwerp van opmerking Char"/>
    <w:basedOn w:val="TekstopmerkingChar"/>
    <w:link w:val="Onderwerpvanopmerking"/>
    <w:uiPriority w:val="99"/>
    <w:semiHidden/>
    <w:rsid w:val="00AB74B5"/>
    <w:rPr>
      <w:b/>
      <w:bCs/>
      <w:color w:val="323232"/>
      <w:szCs w:val="20"/>
      <w:lang w:val="en-US"/>
    </w:rPr>
  </w:style>
  <w:style w:type="table" w:customStyle="1" w:styleId="Onopgemaaktetabel31">
    <w:name w:val="Onopgemaakte tabel 31"/>
    <w:basedOn w:val="Standaardtabel"/>
    <w:next w:val="Onopgemaaktetabel3"/>
    <w:uiPriority w:val="43"/>
    <w:rsid w:val="00AB74B5"/>
    <w:pPr>
      <w:spacing w:before="0" w:after="0" w:line="240" w:lineRule="auto"/>
    </w:pPr>
    <w:rPr>
      <w:kern w:val="0"/>
      <w:sz w:val="22"/>
      <w:szCs w:val="22"/>
    </w:rPr>
    <w:tblPr>
      <w:tblStyleRowBandSize w:val="1"/>
      <w:tblStyleColBandSize w:val="1"/>
    </w:tblPr>
    <w:tblStylePr w:type="firstRow">
      <w:rPr>
        <w:b/>
        <w:bCs/>
        <w:caps/>
      </w:rPr>
      <w:tblPr/>
      <w:tcPr>
        <w:tcBorders>
          <w:bottom w:val="single" w:sz="4" w:space="0" w:color="318FFF"/>
        </w:tcBorders>
      </w:tcPr>
    </w:tblStylePr>
    <w:tblStylePr w:type="lastRow">
      <w:rPr>
        <w:b/>
        <w:bCs/>
        <w:caps/>
      </w:rPr>
      <w:tblPr/>
      <w:tcPr>
        <w:tcBorders>
          <w:top w:val="nil"/>
        </w:tcBorders>
      </w:tcPr>
    </w:tblStylePr>
    <w:tblStylePr w:type="firstCol">
      <w:rPr>
        <w:b/>
        <w:bCs/>
        <w:caps/>
      </w:rPr>
      <w:tblPr/>
      <w:tcPr>
        <w:tcBorders>
          <w:right w:val="single" w:sz="4" w:space="0" w:color="318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Rastertabel5donker-Accent11">
    <w:name w:val="Rastertabel 5 donker - Accent 11"/>
    <w:basedOn w:val="Standaardtabel"/>
    <w:next w:val="Rastertabel5donker-Accent1"/>
    <w:uiPriority w:val="50"/>
    <w:rsid w:val="00AB74B5"/>
    <w:pPr>
      <w:spacing w:before="0" w:after="0" w:line="240" w:lineRule="auto"/>
    </w:pPr>
    <w:rPr>
      <w:kern w:val="0"/>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ADD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2E6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2E6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2E6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2E65"/>
      </w:tcPr>
    </w:tblStylePr>
    <w:tblStylePr w:type="band1Vert">
      <w:tblPr/>
      <w:tcPr>
        <w:shd w:val="clear" w:color="auto" w:fill="5BA5FF"/>
      </w:tcPr>
    </w:tblStylePr>
    <w:tblStylePr w:type="band1Horz">
      <w:tblPr/>
      <w:tcPr>
        <w:shd w:val="clear" w:color="auto" w:fill="5BA5FF"/>
      </w:tcPr>
    </w:tblStylePr>
  </w:style>
  <w:style w:type="table" w:customStyle="1" w:styleId="Rastertabel5donker1">
    <w:name w:val="Rastertabel 5 donker1"/>
    <w:basedOn w:val="Standaardtabel"/>
    <w:next w:val="Rastertabel5donker"/>
    <w:uiPriority w:val="50"/>
    <w:rsid w:val="00AB74B5"/>
    <w:pPr>
      <w:spacing w:before="0" w:after="0" w:line="240" w:lineRule="auto"/>
    </w:pPr>
    <w:rPr>
      <w:kern w:val="0"/>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ADD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2E6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2E6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2E6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2E65"/>
      </w:tcPr>
    </w:tblStylePr>
    <w:tblStylePr w:type="band1Vert">
      <w:tblPr/>
      <w:tcPr>
        <w:shd w:val="clear" w:color="auto" w:fill="5BA5FF"/>
      </w:tcPr>
    </w:tblStylePr>
    <w:tblStylePr w:type="band1Horz">
      <w:tblPr/>
      <w:tcPr>
        <w:shd w:val="clear" w:color="auto" w:fill="5BA5FF"/>
      </w:tcPr>
    </w:tblStylePr>
  </w:style>
  <w:style w:type="paragraph" w:styleId="Normaalweb">
    <w:name w:val="Normal (Web)"/>
    <w:basedOn w:val="Standaard"/>
    <w:uiPriority w:val="99"/>
    <w:semiHidden/>
    <w:unhideWhenUsed/>
    <w:rsid w:val="00AB74B5"/>
    <w:pPr>
      <w:spacing w:beforeAutospacing="1" w:after="100" w:afterAutospacing="1" w:line="240" w:lineRule="auto"/>
      <w:jc w:val="both"/>
    </w:pPr>
    <w:rPr>
      <w:rFonts w:ascii="Times New Roman" w:eastAsia="Times New Roman" w:hAnsi="Times New Roman" w:cs="Times New Roman"/>
      <w:kern w:val="0"/>
      <w:sz w:val="24"/>
      <w:szCs w:val="24"/>
      <w:lang w:val="en-US" w:eastAsia="en-GB"/>
    </w:rPr>
  </w:style>
  <w:style w:type="paragraph" w:customStyle="1" w:styleId="Revisie1">
    <w:name w:val="Revisie1"/>
    <w:next w:val="Revisie"/>
    <w:hidden/>
    <w:uiPriority w:val="99"/>
    <w:semiHidden/>
    <w:rsid w:val="00AB74B5"/>
    <w:pPr>
      <w:spacing w:before="0" w:after="0" w:line="240" w:lineRule="auto"/>
    </w:pPr>
    <w:rPr>
      <w:color w:val="323232"/>
      <w:kern w:val="0"/>
      <w:szCs w:val="22"/>
      <w:lang w:val="en-US"/>
    </w:rPr>
  </w:style>
  <w:style w:type="character" w:customStyle="1" w:styleId="apple-converted-space">
    <w:name w:val="apple-converted-space"/>
    <w:basedOn w:val="Standaardalinea-lettertype"/>
    <w:rsid w:val="00AB74B5"/>
  </w:style>
  <w:style w:type="table" w:customStyle="1" w:styleId="Lijsttabel1licht-Accent11">
    <w:name w:val="Lijsttabel 1 licht - Accent 11"/>
    <w:basedOn w:val="Standaardtabel"/>
    <w:next w:val="Lijsttabel1licht-Accent1"/>
    <w:uiPriority w:val="46"/>
    <w:rsid w:val="00AB74B5"/>
    <w:pPr>
      <w:spacing w:before="0" w:after="0" w:line="240" w:lineRule="auto"/>
    </w:pPr>
    <w:rPr>
      <w:kern w:val="0"/>
      <w:sz w:val="22"/>
      <w:szCs w:val="22"/>
    </w:rPr>
    <w:tblPr>
      <w:tblStyleRowBandSize w:val="1"/>
      <w:tblStyleColBandSize w:val="1"/>
    </w:tblPr>
    <w:tblStylePr w:type="firstRow">
      <w:rPr>
        <w:b/>
        <w:bCs/>
      </w:rPr>
      <w:tblPr/>
      <w:tcPr>
        <w:tcBorders>
          <w:bottom w:val="single" w:sz="4" w:space="0" w:color="0979FF"/>
        </w:tcBorders>
      </w:tcPr>
    </w:tblStylePr>
    <w:tblStylePr w:type="lastRow">
      <w:rPr>
        <w:b/>
        <w:bCs/>
      </w:rPr>
      <w:tblPr/>
      <w:tcPr>
        <w:tcBorders>
          <w:top w:val="single" w:sz="4" w:space="0" w:color="0979FF"/>
        </w:tcBorders>
      </w:tcPr>
    </w:tblStylePr>
    <w:tblStylePr w:type="firstCol">
      <w:rPr>
        <w:b/>
        <w:bCs/>
      </w:rPr>
    </w:tblStylePr>
    <w:tblStylePr w:type="lastCol">
      <w:rPr>
        <w:b/>
        <w:bCs/>
      </w:rPr>
    </w:tblStylePr>
    <w:tblStylePr w:type="band1Vert">
      <w:tblPr/>
      <w:tcPr>
        <w:shd w:val="clear" w:color="auto" w:fill="ADD2FF"/>
      </w:tcPr>
    </w:tblStylePr>
    <w:tblStylePr w:type="band1Horz">
      <w:tblPr/>
      <w:tcPr>
        <w:shd w:val="clear" w:color="auto" w:fill="ADD2FF"/>
      </w:tcPr>
    </w:tblStylePr>
  </w:style>
  <w:style w:type="table" w:customStyle="1" w:styleId="Lijsttabel2-Accent51">
    <w:name w:val="Lijsttabel 2 - Accent 51"/>
    <w:basedOn w:val="Standaardtabel"/>
    <w:next w:val="Lijsttabel2-Accent5"/>
    <w:uiPriority w:val="47"/>
    <w:rsid w:val="00AB74B5"/>
    <w:pPr>
      <w:spacing w:before="0" w:after="0" w:line="240" w:lineRule="auto"/>
    </w:pPr>
    <w:rPr>
      <w:kern w:val="0"/>
      <w:sz w:val="22"/>
      <w:szCs w:val="22"/>
    </w:rPr>
    <w:tblPr>
      <w:tblStyleRowBandSize w:val="1"/>
      <w:tblStyleColBandSize w:val="1"/>
      <w:tblBorders>
        <w:top w:val="single" w:sz="4" w:space="0" w:color="DF696E"/>
        <w:bottom w:val="single" w:sz="4" w:space="0" w:color="DF696E"/>
        <w:insideH w:val="single" w:sz="4" w:space="0" w:color="DF696E"/>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CCE"/>
      </w:tcPr>
    </w:tblStylePr>
    <w:tblStylePr w:type="band1Horz">
      <w:tblPr/>
      <w:tcPr>
        <w:shd w:val="clear" w:color="auto" w:fill="F4CCCE"/>
      </w:tcPr>
    </w:tblStylePr>
  </w:style>
  <w:style w:type="table" w:customStyle="1" w:styleId="Onopgemaaktetabel41">
    <w:name w:val="Onopgemaakte tabel 41"/>
    <w:basedOn w:val="Standaardtabel"/>
    <w:next w:val="Onopgemaaktetabel4"/>
    <w:uiPriority w:val="44"/>
    <w:rsid w:val="00AB74B5"/>
    <w:pPr>
      <w:spacing w:before="0" w:after="0" w:line="240" w:lineRule="auto"/>
    </w:pPr>
    <w:rPr>
      <w:kern w:val="0"/>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Onopgemaaktetabel11">
    <w:name w:val="Onopgemaakte tabel 11"/>
    <w:basedOn w:val="Standaardtabel"/>
    <w:next w:val="Onopgemaaktetabel1"/>
    <w:uiPriority w:val="41"/>
    <w:rsid w:val="00AB74B5"/>
    <w:pPr>
      <w:spacing w:before="0" w:after="0" w:line="240" w:lineRule="auto"/>
    </w:pPr>
    <w:rPr>
      <w:kern w:val="0"/>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jsttabel4-Accent11">
    <w:name w:val="Lijsttabel 4 - Accent 11"/>
    <w:basedOn w:val="Standaardtabel"/>
    <w:next w:val="Lijsttabel4-Accent1"/>
    <w:uiPriority w:val="49"/>
    <w:rsid w:val="00AB74B5"/>
    <w:pPr>
      <w:spacing w:before="0" w:after="0" w:line="240" w:lineRule="auto"/>
    </w:pPr>
    <w:rPr>
      <w:kern w:val="0"/>
      <w:sz w:val="22"/>
      <w:szCs w:val="22"/>
    </w:rPr>
    <w:tblPr>
      <w:tblStyleRowBandSize w:val="1"/>
      <w:tblStyleColBandSize w:val="1"/>
      <w:tblBorders>
        <w:top w:val="single" w:sz="4" w:space="0" w:color="0979FF"/>
        <w:left w:val="single" w:sz="4" w:space="0" w:color="0979FF"/>
        <w:bottom w:val="single" w:sz="4" w:space="0" w:color="0979FF"/>
        <w:right w:val="single" w:sz="4" w:space="0" w:color="0979FF"/>
        <w:insideH w:val="single" w:sz="4" w:space="0" w:color="0979FF"/>
      </w:tblBorders>
    </w:tblPr>
    <w:tblStylePr w:type="firstRow">
      <w:rPr>
        <w:b/>
        <w:bCs/>
        <w:color w:val="FFFFFF"/>
      </w:rPr>
      <w:tblPr/>
      <w:tcPr>
        <w:tcBorders>
          <w:top w:val="single" w:sz="4" w:space="0" w:color="002E65"/>
          <w:left w:val="single" w:sz="4" w:space="0" w:color="002E65"/>
          <w:bottom w:val="single" w:sz="4" w:space="0" w:color="002E65"/>
          <w:right w:val="single" w:sz="4" w:space="0" w:color="002E65"/>
          <w:insideH w:val="nil"/>
        </w:tcBorders>
        <w:shd w:val="clear" w:color="auto" w:fill="002E65"/>
      </w:tcPr>
    </w:tblStylePr>
    <w:tblStylePr w:type="lastRow">
      <w:rPr>
        <w:b/>
        <w:bCs/>
      </w:rPr>
      <w:tblPr/>
      <w:tcPr>
        <w:tcBorders>
          <w:top w:val="double" w:sz="4" w:space="0" w:color="0979FF"/>
        </w:tcBorders>
      </w:tcPr>
    </w:tblStylePr>
    <w:tblStylePr w:type="firstCol">
      <w:rPr>
        <w:b/>
        <w:bCs/>
      </w:rPr>
    </w:tblStylePr>
    <w:tblStylePr w:type="lastCol">
      <w:rPr>
        <w:b/>
        <w:bCs/>
      </w:rPr>
    </w:tblStylePr>
    <w:tblStylePr w:type="band1Vert">
      <w:tblPr/>
      <w:tcPr>
        <w:shd w:val="clear" w:color="auto" w:fill="ADD2FF"/>
      </w:tcPr>
    </w:tblStylePr>
    <w:tblStylePr w:type="band1Horz">
      <w:tblPr/>
      <w:tcPr>
        <w:shd w:val="clear" w:color="auto" w:fill="ADD2FF"/>
      </w:tcPr>
    </w:tblStylePr>
  </w:style>
  <w:style w:type="table" w:customStyle="1" w:styleId="Tabelrasterlicht1">
    <w:name w:val="Tabelraster licht1"/>
    <w:basedOn w:val="Standaardtabel"/>
    <w:next w:val="Tabelrasterlicht"/>
    <w:uiPriority w:val="40"/>
    <w:rsid w:val="00AB74B5"/>
    <w:pPr>
      <w:spacing w:before="0" w:after="0" w:line="240" w:lineRule="auto"/>
    </w:pPr>
    <w:rPr>
      <w:kern w:val="0"/>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Zwaar">
    <w:name w:val="Strong"/>
    <w:basedOn w:val="Standaardalinea-lettertype"/>
    <w:uiPriority w:val="22"/>
    <w:qFormat/>
    <w:rsid w:val="00AB74B5"/>
    <w:rPr>
      <w:b/>
      <w:bCs/>
    </w:rPr>
  </w:style>
  <w:style w:type="paragraph" w:styleId="Koptekst">
    <w:name w:val="header"/>
    <w:basedOn w:val="Standaard"/>
    <w:link w:val="KoptekstChar1"/>
    <w:uiPriority w:val="99"/>
    <w:semiHidden/>
    <w:unhideWhenUsed/>
    <w:rsid w:val="00AB74B5"/>
    <w:pPr>
      <w:tabs>
        <w:tab w:val="center" w:pos="4536"/>
        <w:tab w:val="right" w:pos="9072"/>
      </w:tabs>
      <w:spacing w:before="0" w:after="0" w:line="240" w:lineRule="auto"/>
    </w:pPr>
  </w:style>
  <w:style w:type="character" w:customStyle="1" w:styleId="KoptekstChar1">
    <w:name w:val="Koptekst Char1"/>
    <w:basedOn w:val="Standaardalinea-lettertype"/>
    <w:link w:val="Koptekst"/>
    <w:uiPriority w:val="99"/>
    <w:semiHidden/>
    <w:rsid w:val="00AB74B5"/>
  </w:style>
  <w:style w:type="paragraph" w:styleId="Voettekst">
    <w:name w:val="footer"/>
    <w:basedOn w:val="Standaard"/>
    <w:link w:val="VoettekstChar1"/>
    <w:uiPriority w:val="99"/>
    <w:semiHidden/>
    <w:unhideWhenUsed/>
    <w:rsid w:val="00AB74B5"/>
    <w:pPr>
      <w:tabs>
        <w:tab w:val="center" w:pos="4536"/>
        <w:tab w:val="right" w:pos="9072"/>
      </w:tabs>
      <w:spacing w:before="0" w:after="0" w:line="240" w:lineRule="auto"/>
    </w:pPr>
  </w:style>
  <w:style w:type="character" w:customStyle="1" w:styleId="VoettekstChar1">
    <w:name w:val="Voettekst Char1"/>
    <w:basedOn w:val="Standaardalinea-lettertype"/>
    <w:link w:val="Voettekst"/>
    <w:uiPriority w:val="99"/>
    <w:semiHidden/>
    <w:rsid w:val="00AB74B5"/>
  </w:style>
  <w:style w:type="character" w:styleId="Subtieleverwijzing">
    <w:name w:val="Subtle Reference"/>
    <w:basedOn w:val="Standaardalinea-lettertype"/>
    <w:uiPriority w:val="31"/>
    <w:qFormat/>
    <w:rsid w:val="00AB74B5"/>
    <w:rPr>
      <w:smallCaps/>
      <w:color w:val="5A5A5A" w:themeColor="text1" w:themeTint="A5"/>
    </w:rPr>
  </w:style>
  <w:style w:type="paragraph" w:styleId="Geenafstand">
    <w:name w:val="No Spacing"/>
    <w:uiPriority w:val="1"/>
    <w:qFormat/>
    <w:rsid w:val="00AB74B5"/>
    <w:pPr>
      <w:spacing w:before="0" w:after="0" w:line="240" w:lineRule="auto"/>
    </w:pPr>
  </w:style>
  <w:style w:type="character" w:styleId="Subtielebenadrukking">
    <w:name w:val="Subtle Emphasis"/>
    <w:basedOn w:val="Standaardalinea-lettertype"/>
    <w:uiPriority w:val="19"/>
    <w:qFormat/>
    <w:rsid w:val="00AB74B5"/>
    <w:rPr>
      <w:i/>
      <w:iCs/>
      <w:color w:val="404040" w:themeColor="text1" w:themeTint="BF"/>
    </w:rPr>
  </w:style>
  <w:style w:type="character" w:styleId="Hyperlink">
    <w:name w:val="Hyperlink"/>
    <w:basedOn w:val="Standaardalinea-lettertype"/>
    <w:uiPriority w:val="99"/>
    <w:unhideWhenUsed/>
    <w:rsid w:val="00AB74B5"/>
    <w:rPr>
      <w:color w:val="467886" w:themeColor="hyperlink"/>
      <w:u w:val="single"/>
    </w:rPr>
  </w:style>
  <w:style w:type="table" w:styleId="Tabelraster">
    <w:name w:val="Table Grid"/>
    <w:basedOn w:val="Standaardtabel"/>
    <w:uiPriority w:val="39"/>
    <w:rsid w:val="00AB74B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5">
    <w:name w:val="Grid Table 1 Light Accent 5"/>
    <w:basedOn w:val="Standaardtabel"/>
    <w:uiPriority w:val="46"/>
    <w:rsid w:val="00AB74B5"/>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Lijsttabel6kleurrijk-Accent2">
    <w:name w:val="List Table 6 Colorful Accent 2"/>
    <w:basedOn w:val="Standaardtabel"/>
    <w:uiPriority w:val="51"/>
    <w:rsid w:val="00AB74B5"/>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styleId="Tekstopmerking">
    <w:name w:val="annotation text"/>
    <w:basedOn w:val="Standaard"/>
    <w:link w:val="TekstopmerkingChar1"/>
    <w:uiPriority w:val="99"/>
    <w:unhideWhenUsed/>
    <w:rsid w:val="00AB74B5"/>
    <w:pPr>
      <w:spacing w:line="240" w:lineRule="auto"/>
    </w:pPr>
  </w:style>
  <w:style w:type="character" w:customStyle="1" w:styleId="TekstopmerkingChar1">
    <w:name w:val="Tekst opmerking Char1"/>
    <w:basedOn w:val="Standaardalinea-lettertype"/>
    <w:link w:val="Tekstopmerking"/>
    <w:uiPriority w:val="99"/>
    <w:rsid w:val="00AB74B5"/>
  </w:style>
  <w:style w:type="paragraph" w:styleId="Onderwerpvanopmerking">
    <w:name w:val="annotation subject"/>
    <w:basedOn w:val="Tekstopmerking"/>
    <w:next w:val="Tekstopmerking"/>
    <w:link w:val="OnderwerpvanopmerkingChar"/>
    <w:uiPriority w:val="99"/>
    <w:semiHidden/>
    <w:unhideWhenUsed/>
    <w:rsid w:val="00AB74B5"/>
    <w:rPr>
      <w:b/>
      <w:bCs/>
      <w:color w:val="323232"/>
      <w:lang w:val="en-US"/>
    </w:rPr>
  </w:style>
  <w:style w:type="character" w:customStyle="1" w:styleId="OnderwerpvanopmerkingChar1">
    <w:name w:val="Onderwerp van opmerking Char1"/>
    <w:basedOn w:val="TekstopmerkingChar1"/>
    <w:uiPriority w:val="99"/>
    <w:semiHidden/>
    <w:rsid w:val="00AB74B5"/>
    <w:rPr>
      <w:b/>
      <w:bCs/>
    </w:rPr>
  </w:style>
  <w:style w:type="table" w:styleId="Onopgemaaktetabel3">
    <w:name w:val="Plain Table 3"/>
    <w:basedOn w:val="Standaardtabel"/>
    <w:uiPriority w:val="43"/>
    <w:rsid w:val="00AB74B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5donker-Accent1">
    <w:name w:val="Grid Table 5 Dark Accent 1"/>
    <w:basedOn w:val="Standaardtabel"/>
    <w:uiPriority w:val="50"/>
    <w:rsid w:val="00AB74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Rastertabel5donker">
    <w:name w:val="Grid Table 5 Dark"/>
    <w:basedOn w:val="Standaardtabel"/>
    <w:uiPriority w:val="50"/>
    <w:rsid w:val="00AB74B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Revisie">
    <w:name w:val="Revision"/>
    <w:hidden/>
    <w:uiPriority w:val="99"/>
    <w:semiHidden/>
    <w:rsid w:val="00AB74B5"/>
    <w:pPr>
      <w:spacing w:before="0" w:after="0" w:line="240" w:lineRule="auto"/>
    </w:pPr>
  </w:style>
  <w:style w:type="table" w:styleId="Lijsttabel1licht-Accent1">
    <w:name w:val="List Table 1 Light Accent 1"/>
    <w:basedOn w:val="Standaardtabel"/>
    <w:uiPriority w:val="46"/>
    <w:rsid w:val="00AB74B5"/>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jsttabel2-Accent5">
    <w:name w:val="List Table 2 Accent 5"/>
    <w:basedOn w:val="Standaardtabel"/>
    <w:uiPriority w:val="47"/>
    <w:rsid w:val="00AB74B5"/>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Onopgemaaktetabel4">
    <w:name w:val="Plain Table 4"/>
    <w:basedOn w:val="Standaardtabel"/>
    <w:uiPriority w:val="44"/>
    <w:rsid w:val="00AB74B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1">
    <w:name w:val="Plain Table 1"/>
    <w:basedOn w:val="Standaardtabel"/>
    <w:uiPriority w:val="41"/>
    <w:rsid w:val="00AB74B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jsttabel4-Accent1">
    <w:name w:val="List Table 4 Accent 1"/>
    <w:basedOn w:val="Standaardtabel"/>
    <w:uiPriority w:val="49"/>
    <w:rsid w:val="00AB74B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elrasterlicht">
    <w:name w:val="Grid Table Light"/>
    <w:basedOn w:val="Standaardtabel"/>
    <w:uiPriority w:val="40"/>
    <w:rsid w:val="00AB74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jschrift">
    <w:name w:val="caption"/>
    <w:basedOn w:val="Standaard"/>
    <w:next w:val="Standaard"/>
    <w:uiPriority w:val="35"/>
    <w:unhideWhenUsed/>
    <w:qFormat/>
    <w:rsid w:val="00A14AB3"/>
    <w:pPr>
      <w:spacing w:before="0" w:line="240" w:lineRule="auto"/>
      <w:jc w:val="both"/>
    </w:pPr>
    <w:rPr>
      <w:i/>
      <w:iCs/>
      <w:color w:val="0E2841" w:themeColor="text2"/>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73858">
      <w:bodyDiv w:val="1"/>
      <w:marLeft w:val="0"/>
      <w:marRight w:val="0"/>
      <w:marTop w:val="0"/>
      <w:marBottom w:val="0"/>
      <w:divBdr>
        <w:top w:val="none" w:sz="0" w:space="0" w:color="auto"/>
        <w:left w:val="none" w:sz="0" w:space="0" w:color="auto"/>
        <w:bottom w:val="none" w:sz="0" w:space="0" w:color="auto"/>
        <w:right w:val="none" w:sz="0" w:space="0" w:color="auto"/>
      </w:divBdr>
    </w:div>
    <w:div w:id="211120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54AEA-C58C-4BA0-B01C-E68AD747B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7235</Words>
  <Characters>39796</Characters>
  <Application>Microsoft Office Word</Application>
  <DocSecurity>0</DocSecurity>
  <Lines>331</Lines>
  <Paragraphs>93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Van Meer</dc:creator>
  <cp:keywords/>
  <dc:description/>
  <cp:lastModifiedBy>Axel Van Meer</cp:lastModifiedBy>
  <cp:revision>2</cp:revision>
  <cp:lastPrinted>2025-06-24T06:03:00Z</cp:lastPrinted>
  <dcterms:created xsi:type="dcterms:W3CDTF">2025-10-20T17:42:00Z</dcterms:created>
  <dcterms:modified xsi:type="dcterms:W3CDTF">2025-10-20T17:42:00Z</dcterms:modified>
</cp:coreProperties>
</file>