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69DC8" w14:textId="77777777" w:rsidR="00045D2C" w:rsidRDefault="00000000" w:rsidP="005A6760">
      <w:pPr>
        <w:pStyle w:val="Normal1"/>
        <w:spacing w:after="60" w:line="360" w:lineRule="auto"/>
        <w:jc w:val="center"/>
        <w:rPr>
          <w:b/>
          <w:bCs/>
        </w:rPr>
      </w:pPr>
      <w:r>
        <w:rPr>
          <w:b/>
          <w:bCs/>
        </w:rPr>
        <w:t>Supplementary material</w:t>
      </w:r>
    </w:p>
    <w:p w14:paraId="13DFE34A" w14:textId="77777777" w:rsidR="00045D2C" w:rsidRDefault="00045D2C" w:rsidP="005A6760">
      <w:pPr>
        <w:pStyle w:val="Normal1"/>
        <w:spacing w:after="60" w:line="360" w:lineRule="auto"/>
        <w:jc w:val="center"/>
        <w:rPr>
          <w:b/>
          <w:bCs/>
        </w:rPr>
      </w:pPr>
    </w:p>
    <w:p w14:paraId="0F1F5B5D" w14:textId="77777777" w:rsidR="00045D2C" w:rsidRDefault="00000000" w:rsidP="005A6760">
      <w:pPr>
        <w:pStyle w:val="Normal1"/>
        <w:spacing w:after="60" w:line="360" w:lineRule="auto"/>
        <w:jc w:val="center"/>
        <w:rPr>
          <w:b/>
          <w:bCs/>
        </w:rPr>
      </w:pPr>
      <w:r>
        <w:rPr>
          <w:b/>
          <w:bCs/>
        </w:rPr>
        <w:t>Functional Footprints of Homologous Recombination Deficiency in Prostate Cancer Revealed by ctDNA Fragmentation and Transcription Factor Accessibility</w:t>
      </w:r>
    </w:p>
    <w:p w14:paraId="4100AB38" w14:textId="77777777" w:rsidR="00045D2C" w:rsidRDefault="00045D2C" w:rsidP="005A6760">
      <w:pPr>
        <w:pStyle w:val="Normal1"/>
        <w:spacing w:after="60" w:line="360" w:lineRule="auto"/>
        <w:jc w:val="center"/>
        <w:rPr>
          <w:b/>
          <w:bCs/>
        </w:rPr>
      </w:pPr>
    </w:p>
    <w:p w14:paraId="51B5522B" w14:textId="77777777" w:rsidR="00045D2C" w:rsidRDefault="00045D2C" w:rsidP="005A6760">
      <w:pPr>
        <w:pStyle w:val="Normal1"/>
        <w:spacing w:after="60" w:line="360" w:lineRule="auto"/>
        <w:jc w:val="center"/>
        <w:rPr>
          <w:b/>
          <w:bCs/>
        </w:rPr>
      </w:pPr>
    </w:p>
    <w:p w14:paraId="341E18C2" w14:textId="77777777" w:rsidR="00045D2C" w:rsidRDefault="00000000" w:rsidP="005A6760">
      <w:pPr>
        <w:pStyle w:val="Normal1"/>
        <w:spacing w:after="60" w:line="360" w:lineRule="auto"/>
        <w:jc w:val="center"/>
        <w:rPr>
          <w:b/>
          <w:bCs/>
          <w:u w:val="single"/>
        </w:rPr>
      </w:pPr>
      <w:r>
        <w:rPr>
          <w:b/>
          <w:u w:val="single"/>
        </w:rPr>
        <w:t xml:space="preserve">Running title: </w:t>
      </w:r>
      <w:proofErr w:type="spellStart"/>
      <w:r>
        <w:rPr>
          <w:b/>
          <w:u w:val="single"/>
        </w:rPr>
        <w:t>Fragmentomics</w:t>
      </w:r>
      <w:proofErr w:type="spellEnd"/>
      <w:r>
        <w:rPr>
          <w:b/>
          <w:u w:val="single"/>
        </w:rPr>
        <w:t xml:space="preserve"> Uncovers Non-Mutational HRD Features</w:t>
      </w:r>
    </w:p>
    <w:p w14:paraId="01A89BDA" w14:textId="77777777" w:rsidR="00045D2C" w:rsidRDefault="00000000" w:rsidP="005A6760">
      <w:pPr>
        <w:pStyle w:val="Normal1"/>
        <w:spacing w:after="60" w:line="360" w:lineRule="auto"/>
        <w:jc w:val="center"/>
        <w:rPr>
          <w:b/>
          <w:bCs/>
        </w:rPr>
      </w:pPr>
      <w:r>
        <w:rPr>
          <w:b/>
          <w:bCs/>
        </w:rPr>
        <w:t xml:space="preserve"> </w:t>
      </w:r>
    </w:p>
    <w:p w14:paraId="3C6FB7B6" w14:textId="77777777" w:rsidR="00045D2C" w:rsidRDefault="00000000" w:rsidP="005A6760">
      <w:pPr>
        <w:pStyle w:val="Normal1"/>
        <w:spacing w:after="60" w:line="360" w:lineRule="auto"/>
        <w:jc w:val="center"/>
        <w:rPr>
          <w:sz w:val="22"/>
          <w:szCs w:val="22"/>
        </w:rPr>
      </w:pPr>
      <w:r>
        <w:rPr>
          <w:sz w:val="22"/>
          <w:szCs w:val="22"/>
        </w:rPr>
        <w:t>Georgios Vlachos</w:t>
      </w:r>
      <w:r>
        <w:rPr>
          <w:sz w:val="22"/>
          <w:szCs w:val="22"/>
          <w:vertAlign w:val="superscript"/>
        </w:rPr>
        <w:t>1,2</w:t>
      </w:r>
      <w:r>
        <w:rPr>
          <w:sz w:val="22"/>
          <w:szCs w:val="22"/>
        </w:rPr>
        <w:t>, Tina Moser</w:t>
      </w:r>
      <w:r>
        <w:rPr>
          <w:sz w:val="22"/>
          <w:szCs w:val="22"/>
          <w:vertAlign w:val="superscript"/>
        </w:rPr>
        <w:t>1</w:t>
      </w:r>
      <w:r>
        <w:rPr>
          <w:sz w:val="22"/>
          <w:szCs w:val="22"/>
        </w:rPr>
        <w:t>, Isaac Lazzeri</w:t>
      </w:r>
      <w:r>
        <w:rPr>
          <w:sz w:val="22"/>
          <w:szCs w:val="22"/>
          <w:vertAlign w:val="superscript"/>
        </w:rPr>
        <w:t>1,2</w:t>
      </w:r>
      <w:r>
        <w:rPr>
          <w:sz w:val="22"/>
          <w:szCs w:val="22"/>
        </w:rPr>
        <w:t>, Matthias J. Moser</w:t>
      </w:r>
      <w:r>
        <w:rPr>
          <w:sz w:val="22"/>
          <w:szCs w:val="22"/>
          <w:vertAlign w:val="superscript"/>
        </w:rPr>
        <w:t>1</w:t>
      </w:r>
      <w:r>
        <w:rPr>
          <w:sz w:val="22"/>
          <w:szCs w:val="22"/>
        </w:rPr>
        <w:t>, Lisa Glawitch</w:t>
      </w:r>
      <w:r>
        <w:rPr>
          <w:sz w:val="22"/>
          <w:szCs w:val="22"/>
          <w:vertAlign w:val="superscript"/>
        </w:rPr>
        <w:t>1</w:t>
      </w:r>
      <w:r>
        <w:rPr>
          <w:sz w:val="22"/>
          <w:szCs w:val="22"/>
        </w:rPr>
        <w:t>,</w:t>
      </w:r>
      <w:r>
        <w:rPr>
          <w:sz w:val="22"/>
          <w:szCs w:val="22"/>
          <w:vertAlign w:val="superscript"/>
        </w:rPr>
        <w:t xml:space="preserve"> </w:t>
      </w:r>
      <w:r>
        <w:rPr>
          <w:sz w:val="22"/>
          <w:szCs w:val="22"/>
        </w:rPr>
        <w:t>Emil Thomas Bauernhofer</w:t>
      </w:r>
      <w:r>
        <w:rPr>
          <w:sz w:val="22"/>
          <w:szCs w:val="22"/>
          <w:vertAlign w:val="superscript"/>
        </w:rPr>
        <w:t>3</w:t>
      </w:r>
      <w:r>
        <w:rPr>
          <w:sz w:val="22"/>
          <w:szCs w:val="22"/>
        </w:rPr>
        <w:t>, Anna Eberhard</w:t>
      </w:r>
      <w:r>
        <w:rPr>
          <w:sz w:val="22"/>
          <w:szCs w:val="22"/>
          <w:vertAlign w:val="superscript"/>
        </w:rPr>
        <w:t>1</w:t>
      </w:r>
      <w:r>
        <w:rPr>
          <w:sz w:val="22"/>
          <w:szCs w:val="22"/>
        </w:rPr>
        <w:t>, Christine Beichler</w:t>
      </w:r>
      <w:r>
        <w:rPr>
          <w:sz w:val="22"/>
          <w:szCs w:val="22"/>
          <w:vertAlign w:val="superscript"/>
        </w:rPr>
        <w:t>1</w:t>
      </w:r>
      <w:r>
        <w:rPr>
          <w:sz w:val="22"/>
          <w:szCs w:val="22"/>
        </w:rPr>
        <w:t>, Hanieh Sadeghi</w:t>
      </w:r>
      <w:r>
        <w:rPr>
          <w:sz w:val="22"/>
          <w:szCs w:val="22"/>
          <w:vertAlign w:val="superscript"/>
        </w:rPr>
        <w:t>1</w:t>
      </w:r>
      <w:r>
        <w:rPr>
          <w:sz w:val="22"/>
          <w:szCs w:val="22"/>
        </w:rPr>
        <w:t>, Jasmin Blatterer</w:t>
      </w:r>
      <w:r>
        <w:rPr>
          <w:sz w:val="22"/>
          <w:szCs w:val="22"/>
          <w:vertAlign w:val="superscript"/>
        </w:rPr>
        <w:t>1</w:t>
      </w:r>
      <w:r>
        <w:rPr>
          <w:sz w:val="22"/>
          <w:szCs w:val="22"/>
        </w:rPr>
        <w:t>, Stefan Kühberger</w:t>
      </w:r>
      <w:r>
        <w:rPr>
          <w:sz w:val="22"/>
          <w:szCs w:val="22"/>
          <w:vertAlign w:val="superscript"/>
        </w:rPr>
        <w:t>1</w:t>
      </w:r>
      <w:r>
        <w:rPr>
          <w:sz w:val="22"/>
          <w:szCs w:val="22"/>
        </w:rPr>
        <w:t>, Nina Monsberger</w:t>
      </w:r>
      <w:r>
        <w:rPr>
          <w:sz w:val="22"/>
          <w:szCs w:val="22"/>
          <w:vertAlign w:val="superscript"/>
        </w:rPr>
        <w:t>1</w:t>
      </w:r>
      <w:r>
        <w:rPr>
          <w:sz w:val="22"/>
          <w:szCs w:val="22"/>
        </w:rPr>
        <w:t>, Karl Kashofer</w:t>
      </w:r>
      <w:r>
        <w:rPr>
          <w:sz w:val="22"/>
          <w:szCs w:val="22"/>
          <w:vertAlign w:val="superscript"/>
        </w:rPr>
        <w:t>4</w:t>
      </w:r>
      <w:r>
        <w:rPr>
          <w:sz w:val="22"/>
          <w:szCs w:val="22"/>
        </w:rPr>
        <w:t>, Jochen B. Geigl</w:t>
      </w:r>
      <w:r>
        <w:rPr>
          <w:sz w:val="22"/>
          <w:szCs w:val="22"/>
          <w:vertAlign w:val="superscript"/>
        </w:rPr>
        <w:t>1</w:t>
      </w:r>
      <w:r>
        <w:rPr>
          <w:sz w:val="22"/>
          <w:szCs w:val="22"/>
        </w:rPr>
        <w:t>, Thomas Bauernhofer</w:t>
      </w:r>
      <w:r>
        <w:rPr>
          <w:sz w:val="22"/>
          <w:szCs w:val="22"/>
          <w:vertAlign w:val="superscript"/>
        </w:rPr>
        <w:t>3</w:t>
      </w:r>
      <w:r>
        <w:rPr>
          <w:sz w:val="22"/>
          <w:szCs w:val="22"/>
        </w:rPr>
        <w:t>, Ellen Heitzer</w:t>
      </w:r>
      <w:r>
        <w:rPr>
          <w:sz w:val="22"/>
          <w:szCs w:val="22"/>
          <w:vertAlign w:val="superscript"/>
        </w:rPr>
        <w:t>1,2</w:t>
      </w:r>
    </w:p>
    <w:p w14:paraId="24E79FD4" w14:textId="77777777" w:rsidR="00045D2C" w:rsidRDefault="00000000" w:rsidP="005A6760">
      <w:pPr>
        <w:pStyle w:val="Normal1"/>
        <w:spacing w:after="60" w:line="360" w:lineRule="auto"/>
        <w:jc w:val="center"/>
        <w:rPr>
          <w:sz w:val="16"/>
          <w:szCs w:val="16"/>
        </w:rPr>
      </w:pPr>
      <w:r>
        <w:rPr>
          <w:sz w:val="16"/>
          <w:szCs w:val="16"/>
          <w:vertAlign w:val="superscript"/>
        </w:rPr>
        <w:t>1</w:t>
      </w:r>
      <w:r>
        <w:rPr>
          <w:sz w:val="16"/>
          <w:szCs w:val="16"/>
        </w:rPr>
        <w:t xml:space="preserve">Institute of Human Genetics, Diagnostic &amp; Research Center for Molecular </w:t>
      </w:r>
      <w:proofErr w:type="spellStart"/>
      <w:r>
        <w:rPr>
          <w:sz w:val="16"/>
          <w:szCs w:val="16"/>
        </w:rPr>
        <w:t>BioMedicine</w:t>
      </w:r>
      <w:proofErr w:type="spellEnd"/>
      <w:r>
        <w:rPr>
          <w:sz w:val="16"/>
          <w:szCs w:val="16"/>
        </w:rPr>
        <w:t xml:space="preserve">, Medical University of Graz, Austria, </w:t>
      </w:r>
      <w:r>
        <w:rPr>
          <w:sz w:val="16"/>
          <w:szCs w:val="16"/>
          <w:vertAlign w:val="superscript"/>
        </w:rPr>
        <w:t>2</w:t>
      </w:r>
      <w:r>
        <w:rPr>
          <w:sz w:val="16"/>
          <w:szCs w:val="16"/>
        </w:rPr>
        <w:t xml:space="preserve">Christian Doppler Laboratory for Liquid Biopsies for Early Detection of Cancer, Medical University of Graz, Neue </w:t>
      </w:r>
      <w:proofErr w:type="spellStart"/>
      <w:r>
        <w:rPr>
          <w:sz w:val="16"/>
          <w:szCs w:val="16"/>
        </w:rPr>
        <w:t>Stiftingtalstrasse</w:t>
      </w:r>
      <w:proofErr w:type="spellEnd"/>
      <w:r>
        <w:rPr>
          <w:sz w:val="16"/>
          <w:szCs w:val="16"/>
        </w:rPr>
        <w:t xml:space="preserve"> 6, 8010 Graz, Austria, </w:t>
      </w:r>
      <w:r>
        <w:rPr>
          <w:sz w:val="16"/>
          <w:szCs w:val="16"/>
          <w:vertAlign w:val="superscript"/>
        </w:rPr>
        <w:t>3</w:t>
      </w:r>
      <w:r>
        <w:rPr>
          <w:sz w:val="16"/>
          <w:szCs w:val="16"/>
        </w:rPr>
        <w:t xml:space="preserve">Department of Internal Medicine Graz, Division of Oncology, Medical University of Graz, </w:t>
      </w:r>
      <w:r>
        <w:rPr>
          <w:sz w:val="16"/>
          <w:szCs w:val="16"/>
          <w:vertAlign w:val="superscript"/>
        </w:rPr>
        <w:t>4</w:t>
      </w:r>
      <w:r>
        <w:rPr>
          <w:sz w:val="16"/>
          <w:szCs w:val="16"/>
        </w:rPr>
        <w:t>Diagnostic and Research Institute of Pathology, Medical University Graz, Graz, Austria</w:t>
      </w:r>
    </w:p>
    <w:p w14:paraId="64EB5DBB" w14:textId="77777777" w:rsidR="00045D2C" w:rsidRDefault="00045D2C" w:rsidP="005A6760">
      <w:pPr>
        <w:spacing w:line="360" w:lineRule="auto"/>
        <w:rPr>
          <w:b/>
          <w:lang w:val="en-US"/>
        </w:rPr>
      </w:pPr>
    </w:p>
    <w:sdt>
      <w:sdtPr>
        <w:rPr>
          <w:rFonts w:asciiTheme="minorHAnsi" w:eastAsiaTheme="minorHAnsi" w:hAnsiTheme="minorHAnsi" w:cstheme="minorBidi"/>
          <w:b w:val="0"/>
          <w:color w:val="auto"/>
          <w:sz w:val="22"/>
          <w:szCs w:val="22"/>
          <w:lang w:val="de-DE"/>
        </w:rPr>
        <w:id w:val="-657229281"/>
        <w:docPartObj>
          <w:docPartGallery w:val="Table of Contents"/>
          <w:docPartUnique/>
        </w:docPartObj>
      </w:sdtPr>
      <w:sdtEndPr>
        <w:rPr>
          <w:bCs/>
          <w:noProof/>
        </w:rPr>
      </w:sdtEndPr>
      <w:sdtContent>
        <w:p w14:paraId="5F783D3F" w14:textId="0BE8AA3A" w:rsidR="00322A14" w:rsidRPr="00322A14" w:rsidRDefault="00322A14" w:rsidP="005A6760">
          <w:pPr>
            <w:pStyle w:val="TOCHeading"/>
            <w:spacing w:line="360" w:lineRule="auto"/>
            <w:rPr>
              <w:color w:val="auto"/>
            </w:rPr>
          </w:pPr>
          <w:r w:rsidRPr="00322A14">
            <w:rPr>
              <w:color w:val="auto"/>
            </w:rPr>
            <w:t>Table of Contents</w:t>
          </w:r>
        </w:p>
        <w:p w14:paraId="20A9EFDD" w14:textId="5A6937D6" w:rsidR="00431F0E" w:rsidRDefault="00322A14">
          <w:pPr>
            <w:pStyle w:val="TOC1"/>
            <w:tabs>
              <w:tab w:val="left" w:pos="480"/>
              <w:tab w:val="right" w:leader="dot" w:pos="9062"/>
            </w:tabs>
            <w:rPr>
              <w:rFonts w:eastAsiaTheme="minorEastAsia"/>
              <w:noProof/>
              <w:kern w:val="2"/>
              <w:sz w:val="24"/>
              <w:szCs w:val="24"/>
              <w:lang w:val="en-US"/>
              <w14:ligatures w14:val="standardContextual"/>
            </w:rPr>
          </w:pPr>
          <w:r>
            <w:fldChar w:fldCharType="begin"/>
          </w:r>
          <w:r>
            <w:instrText xml:space="preserve"> TOC \o "1-3" \h \z \u </w:instrText>
          </w:r>
          <w:r>
            <w:fldChar w:fldCharType="separate"/>
          </w:r>
          <w:hyperlink w:anchor="_Toc212073425" w:history="1">
            <w:r w:rsidR="00431F0E" w:rsidRPr="00612DA2">
              <w:rPr>
                <w:rStyle w:val="Hyperlink"/>
                <w:noProof/>
              </w:rPr>
              <w:t>1</w:t>
            </w:r>
            <w:r w:rsidR="00431F0E">
              <w:rPr>
                <w:rFonts w:eastAsiaTheme="minorEastAsia"/>
                <w:noProof/>
                <w:kern w:val="2"/>
                <w:sz w:val="24"/>
                <w:szCs w:val="24"/>
                <w:lang w:val="en-US"/>
                <w14:ligatures w14:val="standardContextual"/>
              </w:rPr>
              <w:tab/>
            </w:r>
            <w:r w:rsidR="00431F0E" w:rsidRPr="00612DA2">
              <w:rPr>
                <w:rStyle w:val="Hyperlink"/>
                <w:noProof/>
              </w:rPr>
              <w:t>Supplementary Methods</w:t>
            </w:r>
            <w:r w:rsidR="00431F0E">
              <w:rPr>
                <w:noProof/>
                <w:webHidden/>
              </w:rPr>
              <w:tab/>
            </w:r>
            <w:r w:rsidR="00431F0E">
              <w:rPr>
                <w:noProof/>
                <w:webHidden/>
              </w:rPr>
              <w:fldChar w:fldCharType="begin"/>
            </w:r>
            <w:r w:rsidR="00431F0E">
              <w:rPr>
                <w:noProof/>
                <w:webHidden/>
              </w:rPr>
              <w:instrText xml:space="preserve"> PAGEREF _Toc212073425 \h </w:instrText>
            </w:r>
            <w:r w:rsidR="00431F0E">
              <w:rPr>
                <w:noProof/>
                <w:webHidden/>
              </w:rPr>
            </w:r>
            <w:r w:rsidR="00431F0E">
              <w:rPr>
                <w:noProof/>
                <w:webHidden/>
              </w:rPr>
              <w:fldChar w:fldCharType="separate"/>
            </w:r>
            <w:r w:rsidR="00431F0E">
              <w:rPr>
                <w:noProof/>
                <w:webHidden/>
              </w:rPr>
              <w:t>3</w:t>
            </w:r>
            <w:r w:rsidR="00431F0E">
              <w:rPr>
                <w:noProof/>
                <w:webHidden/>
              </w:rPr>
              <w:fldChar w:fldCharType="end"/>
            </w:r>
          </w:hyperlink>
        </w:p>
        <w:p w14:paraId="3263BBD7" w14:textId="5A50FF7F"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26" w:history="1">
            <w:r w:rsidRPr="00612DA2">
              <w:rPr>
                <w:rStyle w:val="Hyperlink"/>
                <w:noProof/>
              </w:rPr>
              <w:t>1.1</w:t>
            </w:r>
            <w:r>
              <w:rPr>
                <w:rFonts w:eastAsiaTheme="minorEastAsia"/>
                <w:noProof/>
                <w:kern w:val="2"/>
                <w:sz w:val="24"/>
                <w:szCs w:val="24"/>
                <w:lang w:val="en-US"/>
                <w14:ligatures w14:val="standardContextual"/>
              </w:rPr>
              <w:tab/>
            </w:r>
            <w:r w:rsidRPr="00612DA2">
              <w:rPr>
                <w:rStyle w:val="Hyperlink"/>
                <w:noProof/>
              </w:rPr>
              <w:t>Sample collection and cfDNA isolation</w:t>
            </w:r>
            <w:r>
              <w:rPr>
                <w:noProof/>
                <w:webHidden/>
              </w:rPr>
              <w:tab/>
            </w:r>
            <w:r>
              <w:rPr>
                <w:noProof/>
                <w:webHidden/>
              </w:rPr>
              <w:fldChar w:fldCharType="begin"/>
            </w:r>
            <w:r>
              <w:rPr>
                <w:noProof/>
                <w:webHidden/>
              </w:rPr>
              <w:instrText xml:space="preserve"> PAGEREF _Toc212073426 \h </w:instrText>
            </w:r>
            <w:r>
              <w:rPr>
                <w:noProof/>
                <w:webHidden/>
              </w:rPr>
            </w:r>
            <w:r>
              <w:rPr>
                <w:noProof/>
                <w:webHidden/>
              </w:rPr>
              <w:fldChar w:fldCharType="separate"/>
            </w:r>
            <w:r>
              <w:rPr>
                <w:noProof/>
                <w:webHidden/>
              </w:rPr>
              <w:t>3</w:t>
            </w:r>
            <w:r>
              <w:rPr>
                <w:noProof/>
                <w:webHidden/>
              </w:rPr>
              <w:fldChar w:fldCharType="end"/>
            </w:r>
          </w:hyperlink>
        </w:p>
        <w:p w14:paraId="3729F6AE" w14:textId="28BD5459"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27" w:history="1">
            <w:r w:rsidRPr="00612DA2">
              <w:rPr>
                <w:rStyle w:val="Hyperlink"/>
                <w:noProof/>
              </w:rPr>
              <w:t>1.2</w:t>
            </w:r>
            <w:r>
              <w:rPr>
                <w:rFonts w:eastAsiaTheme="minorEastAsia"/>
                <w:noProof/>
                <w:kern w:val="2"/>
                <w:sz w:val="24"/>
                <w:szCs w:val="24"/>
                <w:lang w:val="en-US"/>
                <w14:ligatures w14:val="standardContextual"/>
              </w:rPr>
              <w:tab/>
            </w:r>
            <w:r w:rsidRPr="00612DA2">
              <w:rPr>
                <w:rStyle w:val="Hyperlink"/>
                <w:noProof/>
              </w:rPr>
              <w:t>Modified Fast Aneuploidy Screening Test-Sequencing System (mFAST-SeqS)</w:t>
            </w:r>
            <w:r>
              <w:rPr>
                <w:noProof/>
                <w:webHidden/>
              </w:rPr>
              <w:tab/>
            </w:r>
            <w:r>
              <w:rPr>
                <w:noProof/>
                <w:webHidden/>
              </w:rPr>
              <w:fldChar w:fldCharType="begin"/>
            </w:r>
            <w:r>
              <w:rPr>
                <w:noProof/>
                <w:webHidden/>
              </w:rPr>
              <w:instrText xml:space="preserve"> PAGEREF _Toc212073427 \h </w:instrText>
            </w:r>
            <w:r>
              <w:rPr>
                <w:noProof/>
                <w:webHidden/>
              </w:rPr>
            </w:r>
            <w:r>
              <w:rPr>
                <w:noProof/>
                <w:webHidden/>
              </w:rPr>
              <w:fldChar w:fldCharType="separate"/>
            </w:r>
            <w:r>
              <w:rPr>
                <w:noProof/>
                <w:webHidden/>
              </w:rPr>
              <w:t>4</w:t>
            </w:r>
            <w:r>
              <w:rPr>
                <w:noProof/>
                <w:webHidden/>
              </w:rPr>
              <w:fldChar w:fldCharType="end"/>
            </w:r>
          </w:hyperlink>
        </w:p>
        <w:p w14:paraId="5FE9474D" w14:textId="41E9C121"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28" w:history="1">
            <w:r w:rsidRPr="00612DA2">
              <w:rPr>
                <w:rStyle w:val="Hyperlink"/>
                <w:noProof/>
              </w:rPr>
              <w:t>1.3</w:t>
            </w:r>
            <w:r>
              <w:rPr>
                <w:rFonts w:eastAsiaTheme="minorEastAsia"/>
                <w:noProof/>
                <w:kern w:val="2"/>
                <w:sz w:val="24"/>
                <w:szCs w:val="24"/>
                <w:lang w:val="en-US"/>
                <w14:ligatures w14:val="standardContextual"/>
              </w:rPr>
              <w:tab/>
            </w:r>
            <w:r w:rsidRPr="00612DA2">
              <w:rPr>
                <w:rStyle w:val="Hyperlink"/>
                <w:noProof/>
              </w:rPr>
              <w:t>Panel analysis of clinically relevant genes</w:t>
            </w:r>
            <w:r>
              <w:rPr>
                <w:noProof/>
                <w:webHidden/>
              </w:rPr>
              <w:tab/>
            </w:r>
            <w:r>
              <w:rPr>
                <w:noProof/>
                <w:webHidden/>
              </w:rPr>
              <w:fldChar w:fldCharType="begin"/>
            </w:r>
            <w:r>
              <w:rPr>
                <w:noProof/>
                <w:webHidden/>
              </w:rPr>
              <w:instrText xml:space="preserve"> PAGEREF _Toc212073428 \h </w:instrText>
            </w:r>
            <w:r>
              <w:rPr>
                <w:noProof/>
                <w:webHidden/>
              </w:rPr>
            </w:r>
            <w:r>
              <w:rPr>
                <w:noProof/>
                <w:webHidden/>
              </w:rPr>
              <w:fldChar w:fldCharType="separate"/>
            </w:r>
            <w:r>
              <w:rPr>
                <w:noProof/>
                <w:webHidden/>
              </w:rPr>
              <w:t>4</w:t>
            </w:r>
            <w:r>
              <w:rPr>
                <w:noProof/>
                <w:webHidden/>
              </w:rPr>
              <w:fldChar w:fldCharType="end"/>
            </w:r>
          </w:hyperlink>
        </w:p>
        <w:p w14:paraId="136149DD" w14:textId="664F86C2"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29" w:history="1">
            <w:r w:rsidRPr="00612DA2">
              <w:rPr>
                <w:rStyle w:val="Hyperlink"/>
                <w:noProof/>
              </w:rPr>
              <w:t>1.4</w:t>
            </w:r>
            <w:r>
              <w:rPr>
                <w:rFonts w:eastAsiaTheme="minorEastAsia"/>
                <w:noProof/>
                <w:kern w:val="2"/>
                <w:sz w:val="24"/>
                <w:szCs w:val="24"/>
                <w:lang w:val="en-US"/>
                <w14:ligatures w14:val="standardContextual"/>
              </w:rPr>
              <w:tab/>
            </w:r>
            <w:r w:rsidRPr="00612DA2">
              <w:rPr>
                <w:rStyle w:val="Hyperlink"/>
                <w:noProof/>
                <w:lang w:bidi="ar"/>
              </w:rPr>
              <w:t>Co-occurrence analysis</w:t>
            </w:r>
            <w:r>
              <w:rPr>
                <w:noProof/>
                <w:webHidden/>
              </w:rPr>
              <w:tab/>
            </w:r>
            <w:r>
              <w:rPr>
                <w:noProof/>
                <w:webHidden/>
              </w:rPr>
              <w:fldChar w:fldCharType="begin"/>
            </w:r>
            <w:r>
              <w:rPr>
                <w:noProof/>
                <w:webHidden/>
              </w:rPr>
              <w:instrText xml:space="preserve"> PAGEREF _Toc212073429 \h </w:instrText>
            </w:r>
            <w:r>
              <w:rPr>
                <w:noProof/>
                <w:webHidden/>
              </w:rPr>
            </w:r>
            <w:r>
              <w:rPr>
                <w:noProof/>
                <w:webHidden/>
              </w:rPr>
              <w:fldChar w:fldCharType="separate"/>
            </w:r>
            <w:r>
              <w:rPr>
                <w:noProof/>
                <w:webHidden/>
              </w:rPr>
              <w:t>5</w:t>
            </w:r>
            <w:r>
              <w:rPr>
                <w:noProof/>
                <w:webHidden/>
              </w:rPr>
              <w:fldChar w:fldCharType="end"/>
            </w:r>
          </w:hyperlink>
        </w:p>
        <w:p w14:paraId="165B648D" w14:textId="3C150969"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0" w:history="1">
            <w:r w:rsidRPr="00612DA2">
              <w:rPr>
                <w:rStyle w:val="Hyperlink"/>
                <w:noProof/>
              </w:rPr>
              <w:t>1.5</w:t>
            </w:r>
            <w:r>
              <w:rPr>
                <w:rFonts w:eastAsiaTheme="minorEastAsia"/>
                <w:noProof/>
                <w:kern w:val="2"/>
                <w:sz w:val="24"/>
                <w:szCs w:val="24"/>
                <w:lang w:val="en-US"/>
                <w14:ligatures w14:val="standardContextual"/>
              </w:rPr>
              <w:tab/>
            </w:r>
            <w:r w:rsidRPr="00612DA2">
              <w:rPr>
                <w:rStyle w:val="Hyperlink"/>
                <w:noProof/>
              </w:rPr>
              <w:t>WES library preparation and sequencing</w:t>
            </w:r>
            <w:r>
              <w:rPr>
                <w:noProof/>
                <w:webHidden/>
              </w:rPr>
              <w:tab/>
            </w:r>
            <w:r>
              <w:rPr>
                <w:noProof/>
                <w:webHidden/>
              </w:rPr>
              <w:fldChar w:fldCharType="begin"/>
            </w:r>
            <w:r>
              <w:rPr>
                <w:noProof/>
                <w:webHidden/>
              </w:rPr>
              <w:instrText xml:space="preserve"> PAGEREF _Toc212073430 \h </w:instrText>
            </w:r>
            <w:r>
              <w:rPr>
                <w:noProof/>
                <w:webHidden/>
              </w:rPr>
            </w:r>
            <w:r>
              <w:rPr>
                <w:noProof/>
                <w:webHidden/>
              </w:rPr>
              <w:fldChar w:fldCharType="separate"/>
            </w:r>
            <w:r>
              <w:rPr>
                <w:noProof/>
                <w:webHidden/>
              </w:rPr>
              <w:t>5</w:t>
            </w:r>
            <w:r>
              <w:rPr>
                <w:noProof/>
                <w:webHidden/>
              </w:rPr>
              <w:fldChar w:fldCharType="end"/>
            </w:r>
          </w:hyperlink>
        </w:p>
        <w:p w14:paraId="4B2D30B7" w14:textId="1C68F7E7"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1" w:history="1">
            <w:r w:rsidRPr="00612DA2">
              <w:rPr>
                <w:rStyle w:val="Hyperlink"/>
                <w:noProof/>
              </w:rPr>
              <w:t>1.6</w:t>
            </w:r>
            <w:r>
              <w:rPr>
                <w:rFonts w:eastAsiaTheme="minorEastAsia"/>
                <w:noProof/>
                <w:kern w:val="2"/>
                <w:sz w:val="24"/>
                <w:szCs w:val="24"/>
                <w:lang w:val="en-US"/>
                <w14:ligatures w14:val="standardContextual"/>
              </w:rPr>
              <w:tab/>
            </w:r>
            <w:r w:rsidRPr="00612DA2">
              <w:rPr>
                <w:rStyle w:val="Hyperlink"/>
                <w:noProof/>
                <w:lang w:bidi="ar"/>
              </w:rPr>
              <w:t>Mutational signature analysis</w:t>
            </w:r>
            <w:r>
              <w:rPr>
                <w:noProof/>
                <w:webHidden/>
              </w:rPr>
              <w:tab/>
            </w:r>
            <w:r>
              <w:rPr>
                <w:noProof/>
                <w:webHidden/>
              </w:rPr>
              <w:fldChar w:fldCharType="begin"/>
            </w:r>
            <w:r>
              <w:rPr>
                <w:noProof/>
                <w:webHidden/>
              </w:rPr>
              <w:instrText xml:space="preserve"> PAGEREF _Toc212073431 \h </w:instrText>
            </w:r>
            <w:r>
              <w:rPr>
                <w:noProof/>
                <w:webHidden/>
              </w:rPr>
            </w:r>
            <w:r>
              <w:rPr>
                <w:noProof/>
                <w:webHidden/>
              </w:rPr>
              <w:fldChar w:fldCharType="separate"/>
            </w:r>
            <w:r>
              <w:rPr>
                <w:noProof/>
                <w:webHidden/>
              </w:rPr>
              <w:t>6</w:t>
            </w:r>
            <w:r>
              <w:rPr>
                <w:noProof/>
                <w:webHidden/>
              </w:rPr>
              <w:fldChar w:fldCharType="end"/>
            </w:r>
          </w:hyperlink>
        </w:p>
        <w:p w14:paraId="1FB2BEDD" w14:textId="1BF3F85E"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2" w:history="1">
            <w:r w:rsidRPr="00612DA2">
              <w:rPr>
                <w:rStyle w:val="Hyperlink"/>
                <w:noProof/>
              </w:rPr>
              <w:t>1.7</w:t>
            </w:r>
            <w:r>
              <w:rPr>
                <w:rFonts w:eastAsiaTheme="minorEastAsia"/>
                <w:noProof/>
                <w:kern w:val="2"/>
                <w:sz w:val="24"/>
                <w:szCs w:val="24"/>
                <w:lang w:val="en-US"/>
                <w14:ligatures w14:val="standardContextual"/>
              </w:rPr>
              <w:tab/>
            </w:r>
            <w:r w:rsidRPr="00612DA2">
              <w:rPr>
                <w:rStyle w:val="Hyperlink"/>
                <w:noProof/>
              </w:rPr>
              <w:t>Whole genome sequencing</w:t>
            </w:r>
            <w:r>
              <w:rPr>
                <w:noProof/>
                <w:webHidden/>
              </w:rPr>
              <w:tab/>
            </w:r>
            <w:r>
              <w:rPr>
                <w:noProof/>
                <w:webHidden/>
              </w:rPr>
              <w:fldChar w:fldCharType="begin"/>
            </w:r>
            <w:r>
              <w:rPr>
                <w:noProof/>
                <w:webHidden/>
              </w:rPr>
              <w:instrText xml:space="preserve"> PAGEREF _Toc212073432 \h </w:instrText>
            </w:r>
            <w:r>
              <w:rPr>
                <w:noProof/>
                <w:webHidden/>
              </w:rPr>
            </w:r>
            <w:r>
              <w:rPr>
                <w:noProof/>
                <w:webHidden/>
              </w:rPr>
              <w:fldChar w:fldCharType="separate"/>
            </w:r>
            <w:r>
              <w:rPr>
                <w:noProof/>
                <w:webHidden/>
              </w:rPr>
              <w:t>6</w:t>
            </w:r>
            <w:r>
              <w:rPr>
                <w:noProof/>
                <w:webHidden/>
              </w:rPr>
              <w:fldChar w:fldCharType="end"/>
            </w:r>
          </w:hyperlink>
        </w:p>
        <w:p w14:paraId="2750EAB8" w14:textId="09162061"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3" w:history="1">
            <w:r w:rsidRPr="00612DA2">
              <w:rPr>
                <w:rStyle w:val="Hyperlink"/>
                <w:noProof/>
              </w:rPr>
              <w:t>1.8</w:t>
            </w:r>
            <w:r>
              <w:rPr>
                <w:rFonts w:eastAsiaTheme="minorEastAsia"/>
                <w:noProof/>
                <w:kern w:val="2"/>
                <w:sz w:val="24"/>
                <w:szCs w:val="24"/>
                <w:lang w:val="en-US"/>
                <w14:ligatures w14:val="standardContextual"/>
              </w:rPr>
              <w:tab/>
            </w:r>
            <w:r w:rsidRPr="00612DA2">
              <w:rPr>
                <w:rStyle w:val="Hyperlink"/>
                <w:noProof/>
                <w:lang w:bidi="ar"/>
              </w:rPr>
              <w:t>Fragment feature analysis</w:t>
            </w:r>
            <w:r>
              <w:rPr>
                <w:noProof/>
                <w:webHidden/>
              </w:rPr>
              <w:tab/>
            </w:r>
            <w:r>
              <w:rPr>
                <w:noProof/>
                <w:webHidden/>
              </w:rPr>
              <w:fldChar w:fldCharType="begin"/>
            </w:r>
            <w:r>
              <w:rPr>
                <w:noProof/>
                <w:webHidden/>
              </w:rPr>
              <w:instrText xml:space="preserve"> PAGEREF _Toc212073433 \h </w:instrText>
            </w:r>
            <w:r>
              <w:rPr>
                <w:noProof/>
                <w:webHidden/>
              </w:rPr>
            </w:r>
            <w:r>
              <w:rPr>
                <w:noProof/>
                <w:webHidden/>
              </w:rPr>
              <w:fldChar w:fldCharType="separate"/>
            </w:r>
            <w:r>
              <w:rPr>
                <w:noProof/>
                <w:webHidden/>
              </w:rPr>
              <w:t>7</w:t>
            </w:r>
            <w:r>
              <w:rPr>
                <w:noProof/>
                <w:webHidden/>
              </w:rPr>
              <w:fldChar w:fldCharType="end"/>
            </w:r>
          </w:hyperlink>
        </w:p>
        <w:p w14:paraId="664964CA" w14:textId="54EEC16E"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4" w:history="1">
            <w:r w:rsidRPr="00612DA2">
              <w:rPr>
                <w:rStyle w:val="Hyperlink"/>
                <w:noProof/>
              </w:rPr>
              <w:t>1.9</w:t>
            </w:r>
            <w:r>
              <w:rPr>
                <w:rFonts w:eastAsiaTheme="minorEastAsia"/>
                <w:noProof/>
                <w:kern w:val="2"/>
                <w:sz w:val="24"/>
                <w:szCs w:val="24"/>
                <w:lang w:val="en-US"/>
                <w14:ligatures w14:val="standardContextual"/>
              </w:rPr>
              <w:tab/>
            </w:r>
            <w:r w:rsidRPr="00612DA2">
              <w:rPr>
                <w:rStyle w:val="Hyperlink"/>
                <w:noProof/>
                <w:lang w:bidi="ar"/>
              </w:rPr>
              <w:t>Transcription factor binding analysis</w:t>
            </w:r>
            <w:r>
              <w:rPr>
                <w:noProof/>
                <w:webHidden/>
              </w:rPr>
              <w:tab/>
            </w:r>
            <w:r>
              <w:rPr>
                <w:noProof/>
                <w:webHidden/>
              </w:rPr>
              <w:fldChar w:fldCharType="begin"/>
            </w:r>
            <w:r>
              <w:rPr>
                <w:noProof/>
                <w:webHidden/>
              </w:rPr>
              <w:instrText xml:space="preserve"> PAGEREF _Toc212073434 \h </w:instrText>
            </w:r>
            <w:r>
              <w:rPr>
                <w:noProof/>
                <w:webHidden/>
              </w:rPr>
            </w:r>
            <w:r>
              <w:rPr>
                <w:noProof/>
                <w:webHidden/>
              </w:rPr>
              <w:fldChar w:fldCharType="separate"/>
            </w:r>
            <w:r>
              <w:rPr>
                <w:noProof/>
                <w:webHidden/>
              </w:rPr>
              <w:t>8</w:t>
            </w:r>
            <w:r>
              <w:rPr>
                <w:noProof/>
                <w:webHidden/>
              </w:rPr>
              <w:fldChar w:fldCharType="end"/>
            </w:r>
          </w:hyperlink>
        </w:p>
        <w:p w14:paraId="28AC9252" w14:textId="44411EAD"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5" w:history="1">
            <w:r w:rsidRPr="00612DA2">
              <w:rPr>
                <w:rStyle w:val="Hyperlink"/>
                <w:noProof/>
                <w:lang w:bidi="ar"/>
              </w:rPr>
              <w:t>1.10</w:t>
            </w:r>
            <w:r>
              <w:rPr>
                <w:rFonts w:eastAsiaTheme="minorEastAsia"/>
                <w:noProof/>
                <w:kern w:val="2"/>
                <w:sz w:val="24"/>
                <w:szCs w:val="24"/>
                <w:lang w:val="en-US"/>
                <w14:ligatures w14:val="standardContextual"/>
              </w:rPr>
              <w:tab/>
            </w:r>
            <w:r w:rsidRPr="00612DA2">
              <w:rPr>
                <w:rStyle w:val="Hyperlink"/>
                <w:noProof/>
                <w:lang w:bidi="ar"/>
              </w:rPr>
              <w:t>Statistical analysis</w:t>
            </w:r>
            <w:r>
              <w:rPr>
                <w:noProof/>
                <w:webHidden/>
              </w:rPr>
              <w:tab/>
            </w:r>
            <w:r>
              <w:rPr>
                <w:noProof/>
                <w:webHidden/>
              </w:rPr>
              <w:fldChar w:fldCharType="begin"/>
            </w:r>
            <w:r>
              <w:rPr>
                <w:noProof/>
                <w:webHidden/>
              </w:rPr>
              <w:instrText xml:space="preserve"> PAGEREF _Toc212073435 \h </w:instrText>
            </w:r>
            <w:r>
              <w:rPr>
                <w:noProof/>
                <w:webHidden/>
              </w:rPr>
            </w:r>
            <w:r>
              <w:rPr>
                <w:noProof/>
                <w:webHidden/>
              </w:rPr>
              <w:fldChar w:fldCharType="separate"/>
            </w:r>
            <w:r>
              <w:rPr>
                <w:noProof/>
                <w:webHidden/>
              </w:rPr>
              <w:t>9</w:t>
            </w:r>
            <w:r>
              <w:rPr>
                <w:noProof/>
                <w:webHidden/>
              </w:rPr>
              <w:fldChar w:fldCharType="end"/>
            </w:r>
          </w:hyperlink>
        </w:p>
        <w:p w14:paraId="7F760DB5" w14:textId="46CDA343" w:rsidR="00431F0E" w:rsidRDefault="00431F0E">
          <w:pPr>
            <w:pStyle w:val="TOC1"/>
            <w:tabs>
              <w:tab w:val="left" w:pos="480"/>
              <w:tab w:val="right" w:leader="dot" w:pos="9062"/>
            </w:tabs>
            <w:rPr>
              <w:rFonts w:eastAsiaTheme="minorEastAsia"/>
              <w:noProof/>
              <w:kern w:val="2"/>
              <w:sz w:val="24"/>
              <w:szCs w:val="24"/>
              <w:lang w:val="en-US"/>
              <w14:ligatures w14:val="standardContextual"/>
            </w:rPr>
          </w:pPr>
          <w:hyperlink w:anchor="_Toc212073436" w:history="1">
            <w:r w:rsidRPr="00612DA2">
              <w:rPr>
                <w:rStyle w:val="Hyperlink"/>
                <w:noProof/>
              </w:rPr>
              <w:t>2</w:t>
            </w:r>
            <w:r>
              <w:rPr>
                <w:rFonts w:eastAsiaTheme="minorEastAsia"/>
                <w:noProof/>
                <w:kern w:val="2"/>
                <w:sz w:val="24"/>
                <w:szCs w:val="24"/>
                <w:lang w:val="en-US"/>
                <w14:ligatures w14:val="standardContextual"/>
              </w:rPr>
              <w:tab/>
            </w:r>
            <w:r w:rsidRPr="00612DA2">
              <w:rPr>
                <w:rStyle w:val="Hyperlink"/>
                <w:noProof/>
              </w:rPr>
              <w:t>Supplementary Tables</w:t>
            </w:r>
            <w:r>
              <w:rPr>
                <w:noProof/>
                <w:webHidden/>
              </w:rPr>
              <w:tab/>
            </w:r>
            <w:r>
              <w:rPr>
                <w:noProof/>
                <w:webHidden/>
              </w:rPr>
              <w:fldChar w:fldCharType="begin"/>
            </w:r>
            <w:r>
              <w:rPr>
                <w:noProof/>
                <w:webHidden/>
              </w:rPr>
              <w:instrText xml:space="preserve"> PAGEREF _Toc212073436 \h </w:instrText>
            </w:r>
            <w:r>
              <w:rPr>
                <w:noProof/>
                <w:webHidden/>
              </w:rPr>
            </w:r>
            <w:r>
              <w:rPr>
                <w:noProof/>
                <w:webHidden/>
              </w:rPr>
              <w:fldChar w:fldCharType="separate"/>
            </w:r>
            <w:r>
              <w:rPr>
                <w:noProof/>
                <w:webHidden/>
              </w:rPr>
              <w:t>9</w:t>
            </w:r>
            <w:r>
              <w:rPr>
                <w:noProof/>
                <w:webHidden/>
              </w:rPr>
              <w:fldChar w:fldCharType="end"/>
            </w:r>
          </w:hyperlink>
        </w:p>
        <w:p w14:paraId="6EF8C240" w14:textId="604D2B42"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7" w:history="1">
            <w:r w:rsidRPr="00612DA2">
              <w:rPr>
                <w:rStyle w:val="Hyperlink"/>
                <w:noProof/>
              </w:rPr>
              <w:t>2.1</w:t>
            </w:r>
            <w:r>
              <w:rPr>
                <w:rFonts w:eastAsiaTheme="minorEastAsia"/>
                <w:noProof/>
                <w:kern w:val="2"/>
                <w:sz w:val="24"/>
                <w:szCs w:val="24"/>
                <w:lang w:val="en-US"/>
                <w14:ligatures w14:val="standardContextual"/>
              </w:rPr>
              <w:tab/>
            </w:r>
            <w:r w:rsidRPr="00612DA2">
              <w:rPr>
                <w:rStyle w:val="Hyperlink"/>
                <w:noProof/>
              </w:rPr>
              <w:t>Supplementary Table 1. Patient characteristics and clinical data</w:t>
            </w:r>
            <w:r>
              <w:rPr>
                <w:noProof/>
                <w:webHidden/>
              </w:rPr>
              <w:tab/>
            </w:r>
            <w:r>
              <w:rPr>
                <w:noProof/>
                <w:webHidden/>
              </w:rPr>
              <w:fldChar w:fldCharType="begin"/>
            </w:r>
            <w:r>
              <w:rPr>
                <w:noProof/>
                <w:webHidden/>
              </w:rPr>
              <w:instrText xml:space="preserve"> PAGEREF _Toc212073437 \h </w:instrText>
            </w:r>
            <w:r>
              <w:rPr>
                <w:noProof/>
                <w:webHidden/>
              </w:rPr>
            </w:r>
            <w:r>
              <w:rPr>
                <w:noProof/>
                <w:webHidden/>
              </w:rPr>
              <w:fldChar w:fldCharType="separate"/>
            </w:r>
            <w:r>
              <w:rPr>
                <w:noProof/>
                <w:webHidden/>
              </w:rPr>
              <w:t>9</w:t>
            </w:r>
            <w:r>
              <w:rPr>
                <w:noProof/>
                <w:webHidden/>
              </w:rPr>
              <w:fldChar w:fldCharType="end"/>
            </w:r>
          </w:hyperlink>
        </w:p>
        <w:p w14:paraId="584107DC" w14:textId="7E7BFC74"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8" w:history="1">
            <w:r w:rsidRPr="00612DA2">
              <w:rPr>
                <w:rStyle w:val="Hyperlink"/>
                <w:noProof/>
              </w:rPr>
              <w:t>2.2</w:t>
            </w:r>
            <w:r>
              <w:rPr>
                <w:rFonts w:eastAsiaTheme="minorEastAsia"/>
                <w:noProof/>
                <w:kern w:val="2"/>
                <w:sz w:val="24"/>
                <w:szCs w:val="24"/>
                <w:lang w:val="en-US"/>
                <w14:ligatures w14:val="standardContextual"/>
              </w:rPr>
              <w:tab/>
            </w:r>
            <w:r w:rsidRPr="00612DA2">
              <w:rPr>
                <w:rStyle w:val="Hyperlink"/>
                <w:noProof/>
              </w:rPr>
              <w:t>Supplementary Table 2. Performance assessment of the QIASeq amplicon panel</w:t>
            </w:r>
            <w:r>
              <w:rPr>
                <w:noProof/>
                <w:webHidden/>
              </w:rPr>
              <w:tab/>
            </w:r>
            <w:r>
              <w:rPr>
                <w:noProof/>
                <w:webHidden/>
              </w:rPr>
              <w:fldChar w:fldCharType="begin"/>
            </w:r>
            <w:r>
              <w:rPr>
                <w:noProof/>
                <w:webHidden/>
              </w:rPr>
              <w:instrText xml:space="preserve"> PAGEREF _Toc212073438 \h </w:instrText>
            </w:r>
            <w:r>
              <w:rPr>
                <w:noProof/>
                <w:webHidden/>
              </w:rPr>
            </w:r>
            <w:r>
              <w:rPr>
                <w:noProof/>
                <w:webHidden/>
              </w:rPr>
              <w:fldChar w:fldCharType="separate"/>
            </w:r>
            <w:r>
              <w:rPr>
                <w:noProof/>
                <w:webHidden/>
              </w:rPr>
              <w:t>10</w:t>
            </w:r>
            <w:r>
              <w:rPr>
                <w:noProof/>
                <w:webHidden/>
              </w:rPr>
              <w:fldChar w:fldCharType="end"/>
            </w:r>
          </w:hyperlink>
        </w:p>
        <w:p w14:paraId="51D77171" w14:textId="5498B1C4" w:rsidR="00431F0E" w:rsidRDefault="00431F0E">
          <w:pPr>
            <w:pStyle w:val="TOC2"/>
            <w:tabs>
              <w:tab w:val="left" w:pos="960"/>
              <w:tab w:val="right" w:leader="dot" w:pos="9062"/>
            </w:tabs>
            <w:rPr>
              <w:rFonts w:eastAsiaTheme="minorEastAsia"/>
              <w:noProof/>
              <w:kern w:val="2"/>
              <w:sz w:val="24"/>
              <w:szCs w:val="24"/>
              <w:lang w:val="en-US"/>
              <w14:ligatures w14:val="standardContextual"/>
            </w:rPr>
          </w:pPr>
          <w:hyperlink w:anchor="_Toc212073439" w:history="1">
            <w:r w:rsidRPr="00612DA2">
              <w:rPr>
                <w:rStyle w:val="Hyperlink"/>
                <w:noProof/>
              </w:rPr>
              <w:t>2.3</w:t>
            </w:r>
            <w:r>
              <w:rPr>
                <w:rFonts w:eastAsiaTheme="minorEastAsia"/>
                <w:noProof/>
                <w:kern w:val="2"/>
                <w:sz w:val="24"/>
                <w:szCs w:val="24"/>
                <w:lang w:val="en-US"/>
                <w14:ligatures w14:val="standardContextual"/>
              </w:rPr>
              <w:tab/>
            </w:r>
            <w:r w:rsidRPr="00612DA2">
              <w:rPr>
                <w:rStyle w:val="Hyperlink"/>
                <w:noProof/>
              </w:rPr>
              <w:t>Supplementary Table 3. Co-occurrence matrix of pathogenic mutations</w:t>
            </w:r>
            <w:r>
              <w:rPr>
                <w:noProof/>
                <w:webHidden/>
              </w:rPr>
              <w:tab/>
            </w:r>
            <w:r>
              <w:rPr>
                <w:noProof/>
                <w:webHidden/>
              </w:rPr>
              <w:fldChar w:fldCharType="begin"/>
            </w:r>
            <w:r>
              <w:rPr>
                <w:noProof/>
                <w:webHidden/>
              </w:rPr>
              <w:instrText xml:space="preserve"> PAGEREF _Toc212073439 \h </w:instrText>
            </w:r>
            <w:r>
              <w:rPr>
                <w:noProof/>
                <w:webHidden/>
              </w:rPr>
            </w:r>
            <w:r>
              <w:rPr>
                <w:noProof/>
                <w:webHidden/>
              </w:rPr>
              <w:fldChar w:fldCharType="separate"/>
            </w:r>
            <w:r>
              <w:rPr>
                <w:noProof/>
                <w:webHidden/>
              </w:rPr>
              <w:t>11</w:t>
            </w:r>
            <w:r>
              <w:rPr>
                <w:noProof/>
                <w:webHidden/>
              </w:rPr>
              <w:fldChar w:fldCharType="end"/>
            </w:r>
          </w:hyperlink>
        </w:p>
        <w:p w14:paraId="5127D2D1" w14:textId="74BE5668" w:rsidR="00431F0E" w:rsidRDefault="00431F0E">
          <w:pPr>
            <w:pStyle w:val="TOC1"/>
            <w:tabs>
              <w:tab w:val="left" w:pos="480"/>
              <w:tab w:val="right" w:leader="dot" w:pos="9062"/>
            </w:tabs>
            <w:rPr>
              <w:rFonts w:eastAsiaTheme="minorEastAsia"/>
              <w:noProof/>
              <w:kern w:val="2"/>
              <w:sz w:val="24"/>
              <w:szCs w:val="24"/>
              <w:lang w:val="en-US"/>
              <w14:ligatures w14:val="standardContextual"/>
            </w:rPr>
          </w:pPr>
          <w:hyperlink w:anchor="_Toc212073440" w:history="1">
            <w:r w:rsidRPr="00612DA2">
              <w:rPr>
                <w:rStyle w:val="Hyperlink"/>
                <w:noProof/>
              </w:rPr>
              <w:t>3</w:t>
            </w:r>
            <w:r>
              <w:rPr>
                <w:rFonts w:eastAsiaTheme="minorEastAsia"/>
                <w:noProof/>
                <w:kern w:val="2"/>
                <w:sz w:val="24"/>
                <w:szCs w:val="24"/>
                <w:lang w:val="en-US"/>
                <w14:ligatures w14:val="standardContextual"/>
              </w:rPr>
              <w:tab/>
            </w:r>
            <w:r w:rsidRPr="00612DA2">
              <w:rPr>
                <w:rStyle w:val="Hyperlink"/>
                <w:noProof/>
              </w:rPr>
              <w:t>Supplementary Figures</w:t>
            </w:r>
            <w:r>
              <w:rPr>
                <w:noProof/>
                <w:webHidden/>
              </w:rPr>
              <w:tab/>
            </w:r>
            <w:r>
              <w:rPr>
                <w:noProof/>
                <w:webHidden/>
              </w:rPr>
              <w:fldChar w:fldCharType="begin"/>
            </w:r>
            <w:r>
              <w:rPr>
                <w:noProof/>
                <w:webHidden/>
              </w:rPr>
              <w:instrText xml:space="preserve"> PAGEREF _Toc212073440 \h </w:instrText>
            </w:r>
            <w:r>
              <w:rPr>
                <w:noProof/>
                <w:webHidden/>
              </w:rPr>
            </w:r>
            <w:r>
              <w:rPr>
                <w:noProof/>
                <w:webHidden/>
              </w:rPr>
              <w:fldChar w:fldCharType="separate"/>
            </w:r>
            <w:r>
              <w:rPr>
                <w:noProof/>
                <w:webHidden/>
              </w:rPr>
              <w:t>12</w:t>
            </w:r>
            <w:r>
              <w:rPr>
                <w:noProof/>
                <w:webHidden/>
              </w:rPr>
              <w:fldChar w:fldCharType="end"/>
            </w:r>
          </w:hyperlink>
        </w:p>
        <w:p w14:paraId="7FCF82CC" w14:textId="07AE755C"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1" w:history="1">
            <w:r w:rsidRPr="00612DA2">
              <w:rPr>
                <w:rStyle w:val="Hyperlink"/>
                <w:noProof/>
              </w:rPr>
              <w:t>Supplementary Figure 1. Summary of tumor fractions assessed by mFAST-SeqS and lpWGS.</w:t>
            </w:r>
            <w:r>
              <w:rPr>
                <w:noProof/>
                <w:webHidden/>
              </w:rPr>
              <w:tab/>
            </w:r>
            <w:r>
              <w:rPr>
                <w:noProof/>
                <w:webHidden/>
              </w:rPr>
              <w:fldChar w:fldCharType="begin"/>
            </w:r>
            <w:r>
              <w:rPr>
                <w:noProof/>
                <w:webHidden/>
              </w:rPr>
              <w:instrText xml:space="preserve"> PAGEREF _Toc212073441 \h </w:instrText>
            </w:r>
            <w:r>
              <w:rPr>
                <w:noProof/>
                <w:webHidden/>
              </w:rPr>
            </w:r>
            <w:r>
              <w:rPr>
                <w:noProof/>
                <w:webHidden/>
              </w:rPr>
              <w:fldChar w:fldCharType="separate"/>
            </w:r>
            <w:r>
              <w:rPr>
                <w:noProof/>
                <w:webHidden/>
              </w:rPr>
              <w:t>12</w:t>
            </w:r>
            <w:r>
              <w:rPr>
                <w:noProof/>
                <w:webHidden/>
              </w:rPr>
              <w:fldChar w:fldCharType="end"/>
            </w:r>
          </w:hyperlink>
        </w:p>
        <w:p w14:paraId="56D9DB5F" w14:textId="014F1535"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2" w:history="1">
            <w:r w:rsidRPr="00612DA2">
              <w:rPr>
                <w:rStyle w:val="Hyperlink"/>
                <w:noProof/>
              </w:rPr>
              <w:t>Supplementary Figure 2. Kaplan Meier plots stratifying the patients by PCa subtype.</w:t>
            </w:r>
            <w:r>
              <w:rPr>
                <w:noProof/>
                <w:webHidden/>
              </w:rPr>
              <w:tab/>
            </w:r>
            <w:r>
              <w:rPr>
                <w:noProof/>
                <w:webHidden/>
              </w:rPr>
              <w:fldChar w:fldCharType="begin"/>
            </w:r>
            <w:r>
              <w:rPr>
                <w:noProof/>
                <w:webHidden/>
              </w:rPr>
              <w:instrText xml:space="preserve"> PAGEREF _Toc212073442 \h </w:instrText>
            </w:r>
            <w:r>
              <w:rPr>
                <w:noProof/>
                <w:webHidden/>
              </w:rPr>
            </w:r>
            <w:r>
              <w:rPr>
                <w:noProof/>
                <w:webHidden/>
              </w:rPr>
              <w:fldChar w:fldCharType="separate"/>
            </w:r>
            <w:r>
              <w:rPr>
                <w:noProof/>
                <w:webHidden/>
              </w:rPr>
              <w:t>13</w:t>
            </w:r>
            <w:r>
              <w:rPr>
                <w:noProof/>
                <w:webHidden/>
              </w:rPr>
              <w:fldChar w:fldCharType="end"/>
            </w:r>
          </w:hyperlink>
        </w:p>
        <w:p w14:paraId="7EC1B0BD" w14:textId="137CAC6F"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3" w:history="1">
            <w:r w:rsidRPr="00612DA2">
              <w:rPr>
                <w:rStyle w:val="Hyperlink"/>
                <w:noProof/>
              </w:rPr>
              <w:t>Supplementary Figure 3. Correlation between tumor fraction, variant allele frequency, and genomic instability scores in plasma cfDNA.</w:t>
            </w:r>
            <w:r>
              <w:rPr>
                <w:noProof/>
                <w:webHidden/>
              </w:rPr>
              <w:tab/>
            </w:r>
            <w:r>
              <w:rPr>
                <w:noProof/>
                <w:webHidden/>
              </w:rPr>
              <w:fldChar w:fldCharType="begin"/>
            </w:r>
            <w:r>
              <w:rPr>
                <w:noProof/>
                <w:webHidden/>
              </w:rPr>
              <w:instrText xml:space="preserve"> PAGEREF _Toc212073443 \h </w:instrText>
            </w:r>
            <w:r>
              <w:rPr>
                <w:noProof/>
                <w:webHidden/>
              </w:rPr>
            </w:r>
            <w:r>
              <w:rPr>
                <w:noProof/>
                <w:webHidden/>
              </w:rPr>
              <w:fldChar w:fldCharType="separate"/>
            </w:r>
            <w:r>
              <w:rPr>
                <w:noProof/>
                <w:webHidden/>
              </w:rPr>
              <w:t>14</w:t>
            </w:r>
            <w:r>
              <w:rPr>
                <w:noProof/>
                <w:webHidden/>
              </w:rPr>
              <w:fldChar w:fldCharType="end"/>
            </w:r>
          </w:hyperlink>
        </w:p>
        <w:p w14:paraId="67A62BB5" w14:textId="7B8FB44C"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4" w:history="1">
            <w:r w:rsidRPr="00612DA2">
              <w:rPr>
                <w:rStyle w:val="Hyperlink"/>
                <w:noProof/>
              </w:rPr>
              <w:t>Supplementary Figure 4. Somatic landscape and mutation distribution of HRD-associated genes in plasma cfDNA.</w:t>
            </w:r>
            <w:r>
              <w:rPr>
                <w:noProof/>
                <w:webHidden/>
              </w:rPr>
              <w:tab/>
            </w:r>
            <w:r>
              <w:rPr>
                <w:noProof/>
                <w:webHidden/>
              </w:rPr>
              <w:fldChar w:fldCharType="begin"/>
            </w:r>
            <w:r>
              <w:rPr>
                <w:noProof/>
                <w:webHidden/>
              </w:rPr>
              <w:instrText xml:space="preserve"> PAGEREF _Toc212073444 \h </w:instrText>
            </w:r>
            <w:r>
              <w:rPr>
                <w:noProof/>
                <w:webHidden/>
              </w:rPr>
            </w:r>
            <w:r>
              <w:rPr>
                <w:noProof/>
                <w:webHidden/>
              </w:rPr>
              <w:fldChar w:fldCharType="separate"/>
            </w:r>
            <w:r>
              <w:rPr>
                <w:noProof/>
                <w:webHidden/>
              </w:rPr>
              <w:t>15</w:t>
            </w:r>
            <w:r>
              <w:rPr>
                <w:noProof/>
                <w:webHidden/>
              </w:rPr>
              <w:fldChar w:fldCharType="end"/>
            </w:r>
          </w:hyperlink>
        </w:p>
        <w:p w14:paraId="6CE7B211" w14:textId="65208ED8"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5" w:history="1">
            <w:r w:rsidRPr="00612DA2">
              <w:rPr>
                <w:rStyle w:val="Hyperlink"/>
                <w:noProof/>
              </w:rPr>
              <w:t>Supplementary Figure 5. Genome-wide copy number alteration frequencies across cfDNA prostate cancer subgroups.</w:t>
            </w:r>
            <w:r>
              <w:rPr>
                <w:noProof/>
                <w:webHidden/>
              </w:rPr>
              <w:tab/>
            </w:r>
            <w:r>
              <w:rPr>
                <w:noProof/>
                <w:webHidden/>
              </w:rPr>
              <w:fldChar w:fldCharType="begin"/>
            </w:r>
            <w:r>
              <w:rPr>
                <w:noProof/>
                <w:webHidden/>
              </w:rPr>
              <w:instrText xml:space="preserve"> PAGEREF _Toc212073445 \h </w:instrText>
            </w:r>
            <w:r>
              <w:rPr>
                <w:noProof/>
                <w:webHidden/>
              </w:rPr>
            </w:r>
            <w:r>
              <w:rPr>
                <w:noProof/>
                <w:webHidden/>
              </w:rPr>
              <w:fldChar w:fldCharType="separate"/>
            </w:r>
            <w:r>
              <w:rPr>
                <w:noProof/>
                <w:webHidden/>
              </w:rPr>
              <w:t>16</w:t>
            </w:r>
            <w:r>
              <w:rPr>
                <w:noProof/>
                <w:webHidden/>
              </w:rPr>
              <w:fldChar w:fldCharType="end"/>
            </w:r>
          </w:hyperlink>
        </w:p>
        <w:p w14:paraId="0FA724EC" w14:textId="16D9E5C6"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6" w:history="1">
            <w:r w:rsidRPr="00612DA2">
              <w:rPr>
                <w:rStyle w:val="Hyperlink"/>
                <w:noProof/>
              </w:rPr>
              <w:t>Supplementary Figure 6. Association between sHRD score and genomic alterations.</w:t>
            </w:r>
            <w:r>
              <w:rPr>
                <w:noProof/>
                <w:webHidden/>
              </w:rPr>
              <w:tab/>
            </w:r>
            <w:r>
              <w:rPr>
                <w:noProof/>
                <w:webHidden/>
              </w:rPr>
              <w:fldChar w:fldCharType="begin"/>
            </w:r>
            <w:r>
              <w:rPr>
                <w:noProof/>
                <w:webHidden/>
              </w:rPr>
              <w:instrText xml:space="preserve"> PAGEREF _Toc212073446 \h </w:instrText>
            </w:r>
            <w:r>
              <w:rPr>
                <w:noProof/>
                <w:webHidden/>
              </w:rPr>
            </w:r>
            <w:r>
              <w:rPr>
                <w:noProof/>
                <w:webHidden/>
              </w:rPr>
              <w:fldChar w:fldCharType="separate"/>
            </w:r>
            <w:r>
              <w:rPr>
                <w:noProof/>
                <w:webHidden/>
              </w:rPr>
              <w:t>17</w:t>
            </w:r>
            <w:r>
              <w:rPr>
                <w:noProof/>
                <w:webHidden/>
              </w:rPr>
              <w:fldChar w:fldCharType="end"/>
            </w:r>
          </w:hyperlink>
        </w:p>
        <w:p w14:paraId="1A403732" w14:textId="71640D8C"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7" w:history="1">
            <w:r w:rsidRPr="00612DA2">
              <w:rPr>
                <w:rStyle w:val="Hyperlink"/>
                <w:noProof/>
              </w:rPr>
              <w:t>Supplementary Figure 7. Kaplan–Meier survival analysis stratified by genomic instability (sHRD score).</w:t>
            </w:r>
            <w:r>
              <w:rPr>
                <w:noProof/>
                <w:webHidden/>
              </w:rPr>
              <w:tab/>
            </w:r>
            <w:r>
              <w:rPr>
                <w:noProof/>
                <w:webHidden/>
              </w:rPr>
              <w:fldChar w:fldCharType="begin"/>
            </w:r>
            <w:r>
              <w:rPr>
                <w:noProof/>
                <w:webHidden/>
              </w:rPr>
              <w:instrText xml:space="preserve"> PAGEREF _Toc212073447 \h </w:instrText>
            </w:r>
            <w:r>
              <w:rPr>
                <w:noProof/>
                <w:webHidden/>
              </w:rPr>
            </w:r>
            <w:r>
              <w:rPr>
                <w:noProof/>
                <w:webHidden/>
              </w:rPr>
              <w:fldChar w:fldCharType="separate"/>
            </w:r>
            <w:r>
              <w:rPr>
                <w:noProof/>
                <w:webHidden/>
              </w:rPr>
              <w:t>18</w:t>
            </w:r>
            <w:r>
              <w:rPr>
                <w:noProof/>
                <w:webHidden/>
              </w:rPr>
              <w:fldChar w:fldCharType="end"/>
            </w:r>
          </w:hyperlink>
        </w:p>
        <w:p w14:paraId="2C923B41" w14:textId="1ADECF68"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8" w:history="1">
            <w:r w:rsidRPr="00612DA2">
              <w:rPr>
                <w:rStyle w:val="Hyperlink"/>
                <w:noProof/>
              </w:rPr>
              <w:t>Supplementary Figure 8. Detection sensitivity and variant allele frequencies in a reference standard across VAF thresholds.</w:t>
            </w:r>
            <w:r>
              <w:rPr>
                <w:noProof/>
                <w:webHidden/>
              </w:rPr>
              <w:tab/>
            </w:r>
            <w:r>
              <w:rPr>
                <w:noProof/>
                <w:webHidden/>
              </w:rPr>
              <w:fldChar w:fldCharType="begin"/>
            </w:r>
            <w:r>
              <w:rPr>
                <w:noProof/>
                <w:webHidden/>
              </w:rPr>
              <w:instrText xml:space="preserve"> PAGEREF _Toc212073448 \h </w:instrText>
            </w:r>
            <w:r>
              <w:rPr>
                <w:noProof/>
                <w:webHidden/>
              </w:rPr>
            </w:r>
            <w:r>
              <w:rPr>
                <w:noProof/>
                <w:webHidden/>
              </w:rPr>
              <w:fldChar w:fldCharType="separate"/>
            </w:r>
            <w:r>
              <w:rPr>
                <w:noProof/>
                <w:webHidden/>
              </w:rPr>
              <w:t>19</w:t>
            </w:r>
            <w:r>
              <w:rPr>
                <w:noProof/>
                <w:webHidden/>
              </w:rPr>
              <w:fldChar w:fldCharType="end"/>
            </w:r>
          </w:hyperlink>
        </w:p>
        <w:p w14:paraId="00F7E809" w14:textId="30611CDD"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49" w:history="1">
            <w:r w:rsidRPr="00612DA2">
              <w:rPr>
                <w:rStyle w:val="Hyperlink"/>
                <w:noProof/>
              </w:rPr>
              <w:t>Supplementary Figure 9. Fragmentomic profiles stratified by HRD mutation status and genomic instability.</w:t>
            </w:r>
            <w:r>
              <w:rPr>
                <w:noProof/>
                <w:webHidden/>
              </w:rPr>
              <w:tab/>
            </w:r>
            <w:r>
              <w:rPr>
                <w:noProof/>
                <w:webHidden/>
              </w:rPr>
              <w:fldChar w:fldCharType="begin"/>
            </w:r>
            <w:r>
              <w:rPr>
                <w:noProof/>
                <w:webHidden/>
              </w:rPr>
              <w:instrText xml:space="preserve"> PAGEREF _Toc212073449 \h </w:instrText>
            </w:r>
            <w:r>
              <w:rPr>
                <w:noProof/>
                <w:webHidden/>
              </w:rPr>
            </w:r>
            <w:r>
              <w:rPr>
                <w:noProof/>
                <w:webHidden/>
              </w:rPr>
              <w:fldChar w:fldCharType="separate"/>
            </w:r>
            <w:r>
              <w:rPr>
                <w:noProof/>
                <w:webHidden/>
              </w:rPr>
              <w:t>20</w:t>
            </w:r>
            <w:r>
              <w:rPr>
                <w:noProof/>
                <w:webHidden/>
              </w:rPr>
              <w:fldChar w:fldCharType="end"/>
            </w:r>
          </w:hyperlink>
        </w:p>
        <w:p w14:paraId="418D5652" w14:textId="5F96B043"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50" w:history="1">
            <w:r w:rsidRPr="00612DA2">
              <w:rPr>
                <w:rStyle w:val="Hyperlink"/>
                <w:noProof/>
              </w:rPr>
              <w:t>Supplementary Figure 10. Somatic landscape of Fanconi anemia (FANC) pathway genes in prostate cancer WES data.</w:t>
            </w:r>
            <w:r>
              <w:rPr>
                <w:noProof/>
                <w:webHidden/>
              </w:rPr>
              <w:tab/>
            </w:r>
            <w:r>
              <w:rPr>
                <w:noProof/>
                <w:webHidden/>
              </w:rPr>
              <w:fldChar w:fldCharType="begin"/>
            </w:r>
            <w:r>
              <w:rPr>
                <w:noProof/>
                <w:webHidden/>
              </w:rPr>
              <w:instrText xml:space="preserve"> PAGEREF _Toc212073450 \h </w:instrText>
            </w:r>
            <w:r>
              <w:rPr>
                <w:noProof/>
                <w:webHidden/>
              </w:rPr>
            </w:r>
            <w:r>
              <w:rPr>
                <w:noProof/>
                <w:webHidden/>
              </w:rPr>
              <w:fldChar w:fldCharType="separate"/>
            </w:r>
            <w:r>
              <w:rPr>
                <w:noProof/>
                <w:webHidden/>
              </w:rPr>
              <w:t>21</w:t>
            </w:r>
            <w:r>
              <w:rPr>
                <w:noProof/>
                <w:webHidden/>
              </w:rPr>
              <w:fldChar w:fldCharType="end"/>
            </w:r>
          </w:hyperlink>
        </w:p>
        <w:p w14:paraId="66355258" w14:textId="763A71D8"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51" w:history="1">
            <w:r w:rsidRPr="00612DA2">
              <w:rPr>
                <w:rStyle w:val="Hyperlink"/>
                <w:noProof/>
              </w:rPr>
              <w:t>Supplementary Figure 11. Fragment length distributions stratified by HRR mutation status.</w:t>
            </w:r>
            <w:r>
              <w:rPr>
                <w:noProof/>
                <w:webHidden/>
              </w:rPr>
              <w:tab/>
            </w:r>
            <w:r>
              <w:rPr>
                <w:noProof/>
                <w:webHidden/>
              </w:rPr>
              <w:fldChar w:fldCharType="begin"/>
            </w:r>
            <w:r>
              <w:rPr>
                <w:noProof/>
                <w:webHidden/>
              </w:rPr>
              <w:instrText xml:space="preserve"> PAGEREF _Toc212073451 \h </w:instrText>
            </w:r>
            <w:r>
              <w:rPr>
                <w:noProof/>
                <w:webHidden/>
              </w:rPr>
            </w:r>
            <w:r>
              <w:rPr>
                <w:noProof/>
                <w:webHidden/>
              </w:rPr>
              <w:fldChar w:fldCharType="separate"/>
            </w:r>
            <w:r>
              <w:rPr>
                <w:noProof/>
                <w:webHidden/>
              </w:rPr>
              <w:t>22</w:t>
            </w:r>
            <w:r>
              <w:rPr>
                <w:noProof/>
                <w:webHidden/>
              </w:rPr>
              <w:fldChar w:fldCharType="end"/>
            </w:r>
          </w:hyperlink>
        </w:p>
        <w:p w14:paraId="26A4D502" w14:textId="7E4FFDF4"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52" w:history="1">
            <w:r w:rsidRPr="00612DA2">
              <w:rPr>
                <w:rStyle w:val="Hyperlink"/>
                <w:noProof/>
              </w:rPr>
              <w:t>Supplementary Figure 12. Quantification of differential accessibility transcription factor binding sites.</w:t>
            </w:r>
            <w:r>
              <w:rPr>
                <w:noProof/>
                <w:webHidden/>
              </w:rPr>
              <w:tab/>
            </w:r>
            <w:r>
              <w:rPr>
                <w:noProof/>
                <w:webHidden/>
              </w:rPr>
              <w:fldChar w:fldCharType="begin"/>
            </w:r>
            <w:r>
              <w:rPr>
                <w:noProof/>
                <w:webHidden/>
              </w:rPr>
              <w:instrText xml:space="preserve"> PAGEREF _Toc212073452 \h </w:instrText>
            </w:r>
            <w:r>
              <w:rPr>
                <w:noProof/>
                <w:webHidden/>
              </w:rPr>
            </w:r>
            <w:r>
              <w:rPr>
                <w:noProof/>
                <w:webHidden/>
              </w:rPr>
              <w:fldChar w:fldCharType="separate"/>
            </w:r>
            <w:r>
              <w:rPr>
                <w:noProof/>
                <w:webHidden/>
              </w:rPr>
              <w:t>23</w:t>
            </w:r>
            <w:r>
              <w:rPr>
                <w:noProof/>
                <w:webHidden/>
              </w:rPr>
              <w:fldChar w:fldCharType="end"/>
            </w:r>
          </w:hyperlink>
        </w:p>
        <w:p w14:paraId="1C8C7BCE" w14:textId="53BDD575" w:rsidR="00431F0E" w:rsidRDefault="00431F0E">
          <w:pPr>
            <w:pStyle w:val="TOC2"/>
            <w:tabs>
              <w:tab w:val="right" w:leader="dot" w:pos="9062"/>
            </w:tabs>
            <w:rPr>
              <w:rFonts w:eastAsiaTheme="minorEastAsia"/>
              <w:noProof/>
              <w:kern w:val="2"/>
              <w:sz w:val="24"/>
              <w:szCs w:val="24"/>
              <w:lang w:val="en-US"/>
              <w14:ligatures w14:val="standardContextual"/>
            </w:rPr>
          </w:pPr>
          <w:hyperlink w:anchor="_Toc212073453" w:history="1">
            <w:r w:rsidRPr="00612DA2">
              <w:rPr>
                <w:rStyle w:val="Hyperlink"/>
                <w:bCs/>
                <w:noProof/>
              </w:rPr>
              <w:t>Supplementary Figure 13. Structural variant landscape in cfDNA WGS samples.</w:t>
            </w:r>
            <w:r>
              <w:rPr>
                <w:noProof/>
                <w:webHidden/>
              </w:rPr>
              <w:tab/>
            </w:r>
            <w:r>
              <w:rPr>
                <w:noProof/>
                <w:webHidden/>
              </w:rPr>
              <w:fldChar w:fldCharType="begin"/>
            </w:r>
            <w:r>
              <w:rPr>
                <w:noProof/>
                <w:webHidden/>
              </w:rPr>
              <w:instrText xml:space="preserve"> PAGEREF _Toc212073453 \h </w:instrText>
            </w:r>
            <w:r>
              <w:rPr>
                <w:noProof/>
                <w:webHidden/>
              </w:rPr>
            </w:r>
            <w:r>
              <w:rPr>
                <w:noProof/>
                <w:webHidden/>
              </w:rPr>
              <w:fldChar w:fldCharType="separate"/>
            </w:r>
            <w:r>
              <w:rPr>
                <w:noProof/>
                <w:webHidden/>
              </w:rPr>
              <w:t>24</w:t>
            </w:r>
            <w:r>
              <w:rPr>
                <w:noProof/>
                <w:webHidden/>
              </w:rPr>
              <w:fldChar w:fldCharType="end"/>
            </w:r>
          </w:hyperlink>
        </w:p>
        <w:p w14:paraId="22D2815D" w14:textId="54764BA7" w:rsidR="00322A14" w:rsidRDefault="00322A14" w:rsidP="005A6760">
          <w:pPr>
            <w:spacing w:line="360" w:lineRule="auto"/>
          </w:pPr>
          <w:r>
            <w:rPr>
              <w:b/>
              <w:bCs/>
              <w:noProof/>
            </w:rPr>
            <w:fldChar w:fldCharType="end"/>
          </w:r>
        </w:p>
      </w:sdtContent>
    </w:sdt>
    <w:p w14:paraId="3477C758" w14:textId="604C0443" w:rsidR="00045D2C" w:rsidRDefault="00045D2C" w:rsidP="005A6760">
      <w:pPr>
        <w:spacing w:line="360" w:lineRule="auto"/>
        <w:rPr>
          <w:b/>
          <w:i/>
          <w:lang w:val="en-US"/>
        </w:rPr>
      </w:pPr>
    </w:p>
    <w:p w14:paraId="722750D5" w14:textId="025D13B1" w:rsidR="00045D2C" w:rsidRPr="00322A14" w:rsidRDefault="00322A14" w:rsidP="005A6760">
      <w:pPr>
        <w:pStyle w:val="Heading1"/>
        <w:spacing w:line="360" w:lineRule="auto"/>
      </w:pPr>
      <w:bookmarkStart w:id="0" w:name="_Toc212073425"/>
      <w:r w:rsidRPr="00322A14">
        <w:t xml:space="preserve">Supplementary </w:t>
      </w:r>
      <w:r>
        <w:t>M</w:t>
      </w:r>
      <w:r w:rsidRPr="00322A14">
        <w:t>ethods</w:t>
      </w:r>
      <w:bookmarkEnd w:id="0"/>
    </w:p>
    <w:p w14:paraId="695501B9" w14:textId="77777777" w:rsidR="00045D2C" w:rsidRPr="00322A14" w:rsidRDefault="00000000" w:rsidP="005A6760">
      <w:pPr>
        <w:pStyle w:val="Heading2"/>
        <w:spacing w:line="360" w:lineRule="auto"/>
      </w:pPr>
      <w:bookmarkStart w:id="1" w:name="_Toc212073426"/>
      <w:r w:rsidRPr="00322A14">
        <w:t>Sample collection and cfDNA isolation</w:t>
      </w:r>
      <w:bookmarkEnd w:id="1"/>
      <w:r w:rsidRPr="00322A14">
        <w:t xml:space="preserve"> </w:t>
      </w:r>
    </w:p>
    <w:p w14:paraId="7D300A44" w14:textId="45570EF8" w:rsidR="00045D2C" w:rsidRPr="00AE14AD" w:rsidRDefault="00000000" w:rsidP="005A6760">
      <w:pPr>
        <w:pStyle w:val="NormalWeb"/>
        <w:spacing w:after="60" w:line="360" w:lineRule="auto"/>
        <w:jc w:val="both"/>
        <w:rPr>
          <w:rFonts w:ascii="Calibri" w:eastAsia="SimSun" w:hAnsi="Calibri" w:cs="Times New Roman"/>
          <w:sz w:val="22"/>
          <w:szCs w:val="22"/>
          <w:lang w:val="en-US" w:eastAsia="zh-CN" w:bidi="ar"/>
        </w:rPr>
      </w:pPr>
      <w:r>
        <w:rPr>
          <w:rFonts w:ascii="Calibri" w:eastAsia="SimSun" w:hAnsi="Calibri" w:cs="Times New Roman"/>
          <w:sz w:val="22"/>
          <w:szCs w:val="22"/>
          <w:lang w:val="en-US" w:eastAsia="zh-CN" w:bidi="ar"/>
        </w:rPr>
        <w:t>In total</w:t>
      </w:r>
      <w:r w:rsidRPr="00AE14AD">
        <w:rPr>
          <w:rFonts w:ascii="Calibri" w:eastAsia="SimSun" w:hAnsi="Calibri" w:cs="Times New Roman"/>
          <w:sz w:val="22"/>
          <w:szCs w:val="22"/>
          <w:lang w:val="en-US" w:eastAsia="zh-CN" w:bidi="ar"/>
        </w:rPr>
        <w:t xml:space="preserve">, 898 plasma samples were collected from 375 patients diagnosed with metastatic prostate cancer between 2012 and 2023. Blood samples were collected in Cell-Free DNA blood collection tubes (Streck) or </w:t>
      </w:r>
      <w:proofErr w:type="spellStart"/>
      <w:r w:rsidRPr="00AE14AD">
        <w:rPr>
          <w:rFonts w:ascii="Calibri" w:eastAsia="SimSun" w:hAnsi="Calibri" w:cs="Times New Roman"/>
          <w:sz w:val="22"/>
          <w:szCs w:val="22"/>
          <w:lang w:val="en-US" w:eastAsia="zh-CN" w:bidi="ar"/>
        </w:rPr>
        <w:t>PAXgene</w:t>
      </w:r>
      <w:proofErr w:type="spellEnd"/>
      <w:r w:rsidRPr="00AE14AD">
        <w:rPr>
          <w:rFonts w:ascii="Calibri" w:eastAsia="SimSun" w:hAnsi="Calibri" w:cs="Times New Roman"/>
          <w:sz w:val="22"/>
          <w:szCs w:val="22"/>
          <w:lang w:val="en-US" w:eastAsia="zh-CN" w:bidi="ar"/>
        </w:rPr>
        <w:t xml:space="preserve"> Blood </w:t>
      </w:r>
      <w:proofErr w:type="spellStart"/>
      <w:r w:rsidRPr="00AE14AD">
        <w:rPr>
          <w:rFonts w:ascii="Calibri" w:eastAsia="SimSun" w:hAnsi="Calibri" w:cs="Times New Roman"/>
          <w:sz w:val="22"/>
          <w:szCs w:val="22"/>
          <w:lang w:val="en-US" w:eastAsia="zh-CN" w:bidi="ar"/>
        </w:rPr>
        <w:t>ccfDNA</w:t>
      </w:r>
      <w:proofErr w:type="spellEnd"/>
      <w:r w:rsidRPr="00AE14AD">
        <w:rPr>
          <w:rFonts w:ascii="Calibri" w:eastAsia="SimSun" w:hAnsi="Calibri" w:cs="Times New Roman"/>
          <w:sz w:val="22"/>
          <w:szCs w:val="22"/>
          <w:lang w:val="en-US" w:eastAsia="zh-CN" w:bidi="ar"/>
        </w:rPr>
        <w:t xml:space="preserve"> Tubes (</w:t>
      </w:r>
      <w:proofErr w:type="spellStart"/>
      <w:r w:rsidRPr="00AE14AD">
        <w:rPr>
          <w:rFonts w:ascii="Calibri" w:eastAsia="SimSun" w:hAnsi="Calibri" w:cs="Times New Roman"/>
          <w:sz w:val="22"/>
          <w:szCs w:val="22"/>
          <w:lang w:val="en-US" w:eastAsia="zh-CN" w:bidi="ar"/>
        </w:rPr>
        <w:t>PreAnalytiX</w:t>
      </w:r>
      <w:proofErr w:type="spellEnd"/>
      <w:r w:rsidRPr="00AE14AD">
        <w:rPr>
          <w:rFonts w:ascii="Calibri" w:eastAsia="SimSun" w:hAnsi="Calibri" w:cs="Times New Roman"/>
          <w:sz w:val="22"/>
          <w:szCs w:val="22"/>
          <w:lang w:val="en-US" w:eastAsia="zh-CN" w:bidi="ar"/>
        </w:rPr>
        <w:t xml:space="preserve">) at the Division of Oncology at the Medical University of Graz, Austria. The study protocol and informed consent forms were approved by the local ethics committee (EK Nr ex 21-228). Written informed consent was obtained from all participants for collection of blood specimens used for plasma genotyping and white blood cell collection for germline testing. Plasma was extracted as previously described using a double spin at 1900 × g for 10 min </w:t>
      </w:r>
      <w:r w:rsidRPr="00AE14AD">
        <w:rPr>
          <w:rFonts w:ascii="Calibri" w:eastAsia="SimSun" w:hAnsi="Calibri" w:cs="Times New Roman"/>
          <w:sz w:val="22"/>
          <w:szCs w:val="22"/>
          <w:lang w:val="en-US" w:eastAsia="zh-CN" w:bidi="ar"/>
        </w:rPr>
        <w:fldChar w:fldCharType="begin"/>
      </w:r>
      <w:r w:rsidR="00D9683F" w:rsidRPr="00AE14AD">
        <w:rPr>
          <w:rFonts w:ascii="Calibri" w:eastAsia="SimSun" w:hAnsi="Calibri" w:cs="Times New Roman"/>
          <w:sz w:val="22"/>
          <w:szCs w:val="22"/>
          <w:lang w:val="en-US" w:eastAsia="zh-CN" w:bidi="ar"/>
        </w:rPr>
        <w:instrText xml:space="preserve"> ADDIN ZOTERO_ITEM CSL_CITATION {"citationID":"NRq66BnQ","properties":{"formattedCitation":"(1)","plainCitation":"(1)","noteIndex":0},"citationItems":[{"id":488,"uris":["http://zotero.org/users/15533866/items/DB2IV7H7"],"itemData":{"id":488,"type":"articl</w:instrText>
      </w:r>
      <w:r w:rsidR="00D9683F" w:rsidRPr="00AE14AD">
        <w:rPr>
          <w:rFonts w:ascii="Calibri" w:eastAsia="SimSun" w:hAnsi="Calibri" w:cs="Times New Roman" w:hint="eastAsia"/>
          <w:sz w:val="22"/>
          <w:szCs w:val="22"/>
          <w:lang w:val="en-US" w:eastAsia="zh-CN" w:bidi="ar"/>
        </w:rPr>
        <w:instrText>e-journal","abstract":"With the increasing number of available predictive biomarkers, clinical management of cancer is becoming increasingly reliant on the accurate serial monitoring of tumor genotypes. We tested whether tumor</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specific copy number changes can be inferred from the peripheral blood of patients with cancer. To this end, we determined the plasma DNA size distribution and the fraction of mutated plasma DNA fragments with deep sequencing and an ultrasensitive mutation</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 xml:space="preserve">detection method,\n       </w:instrText>
      </w:r>
      <w:r w:rsidR="00D9683F" w:rsidRPr="00AE14AD">
        <w:rPr>
          <w:rFonts w:ascii="Calibri" w:eastAsia="SimSun" w:hAnsi="Calibri" w:cs="Times New Roman"/>
          <w:sz w:val="22"/>
          <w:szCs w:val="22"/>
          <w:lang w:val="en-US" w:eastAsia="zh-CN" w:bidi="ar"/>
        </w:rPr>
        <w:instrText xml:space="preserve">       i.e.,\n              the Beads, Emulsion, Amplification, and Magnetics (BEAMing) assay. When analyzing the plasma DNA of 32 patients with Stage IV colorectal carcinoma, we found that a subset of the patients (34.4%) had a biphasic size distribution</w:instrText>
      </w:r>
      <w:r w:rsidR="00D9683F" w:rsidRPr="00AE14AD">
        <w:rPr>
          <w:rFonts w:ascii="Calibri" w:eastAsia="SimSun" w:hAnsi="Calibri" w:cs="Times New Roman" w:hint="eastAsia"/>
          <w:sz w:val="22"/>
          <w:szCs w:val="22"/>
          <w:lang w:val="en-US" w:eastAsia="zh-CN" w:bidi="ar"/>
        </w:rPr>
        <w:instrText xml:space="preserve"> of plasma DNA fragments that was associated with increased circulating tumor cell numbers and elevated concentration of mutated plasma DNA fragments. In these cases, we were able to establish genome</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wide tumor</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specific copy number alterations directly fr</w:instrText>
      </w:r>
      <w:r w:rsidR="00D9683F" w:rsidRPr="00AE14AD">
        <w:rPr>
          <w:rFonts w:ascii="Calibri" w:eastAsia="SimSun" w:hAnsi="Calibri" w:cs="Times New Roman"/>
          <w:sz w:val="22"/>
          <w:szCs w:val="22"/>
          <w:lang w:val="en-US" w:eastAsia="zh-CN" w:bidi="ar"/>
        </w:rPr>
        <w:instrText>om plasma DNA. Thus, we could analyze the current copy number status of the tumor genome, which was in some cases many years after diagnosis of the primary tumor. An unexpected finding was that not all patients with progressive metastatic disease appear to release tumor DNA into the circulation in measurable quantities. When we analyzed plasma DNA from 35 patients with metastatic breast cancer, we made similar observations suggesting that our approach may be applicable to a variety of tumor entities. This is the first description of such a biphasic distribution in a surprisingly high proportion of cancer patients which may have important implications for tumor diagnosis and monitoring.\n            \n          , \n            \n              What's new?\n            \n            Tumors shed their DNA into the bloodstream. This DNA can be detected, but whether it's useful as a diagnostic tool hasn't been clear from existing reports. Rather than attempt to pick out specific mutations, however, this study a</w:instrText>
      </w:r>
      <w:r w:rsidR="00D9683F" w:rsidRPr="00AE14AD">
        <w:rPr>
          <w:rFonts w:ascii="Calibri" w:eastAsia="SimSun" w:hAnsi="Calibri" w:cs="Times New Roman" w:hint="eastAsia"/>
          <w:sz w:val="22"/>
          <w:szCs w:val="22"/>
          <w:lang w:val="en-US" w:eastAsia="zh-CN" w:bidi="ar"/>
        </w:rPr>
        <w:instrText>sked whether it would be possible to get a genome</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wide view of tumor</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specific copy number changes from this circulating tumor cell DNA. When they analyzed the plasma DNA of patients with colorectal cancer, the authors found that about a third of the patients had plasma DNA that fell into two distinct size categories, and this correlated with higher numbers of circulating tumor cells. They could then detect tumor</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specific copy</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number changes from this plasma DNA. Further developing this non</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invasive acquis</w:instrText>
      </w:r>
      <w:r w:rsidR="00D9683F" w:rsidRPr="00AE14AD">
        <w:rPr>
          <w:rFonts w:ascii="Calibri" w:eastAsia="SimSun" w:hAnsi="Calibri" w:cs="Times New Roman"/>
          <w:sz w:val="22"/>
          <w:szCs w:val="22"/>
          <w:lang w:val="en-US" w:eastAsia="zh-CN" w:bidi="ar"/>
        </w:rPr>
        <w:instrText>ition of tumor material could aid in tailoring specific disease treatment strategies.","container-title":"International Journal of Cancer","DOI":"10.1002/ijc.28030","ISSN":"0020-7136, 1097-0215","issue":"2","journalAbbreviation":"Intl Journal of Cancer","</w:instrText>
      </w:r>
      <w:r w:rsidR="00D9683F" w:rsidRPr="00AE14AD">
        <w:rPr>
          <w:rFonts w:ascii="Calibri" w:eastAsia="SimSun" w:hAnsi="Calibri" w:cs="Times New Roman" w:hint="eastAsia"/>
          <w:sz w:val="22"/>
          <w:szCs w:val="22"/>
          <w:lang w:val="en-US" w:eastAsia="zh-CN" w:bidi="ar"/>
        </w:rPr>
        <w:instrText>language":"en","license":"http://onlinelibrary.wiley.com/termsAndConditions#vor","page":"346-356","source":"DOI.org (Crossref)","title":"Establishment of tumor</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specific copy number alterations from plasma DNA of patients with cancer","volume":"133","autho</w:instrText>
      </w:r>
      <w:r w:rsidR="00D9683F" w:rsidRPr="00AE14AD">
        <w:rPr>
          <w:rFonts w:ascii="Calibri" w:eastAsia="SimSun" w:hAnsi="Calibri" w:cs="Times New Roman"/>
          <w:sz w:val="22"/>
          <w:szCs w:val="22"/>
          <w:lang w:val="en-US" w:eastAsia="zh-CN" w:bidi="ar"/>
        </w:rPr>
        <w:instrText>r":[{"family":"Heitzer","given":"Ellen"},{"family":"Auer","given":"Martina"},{"family":"Hoffmann","given":"Eva Maria"},{"family":"Pichler","given":"Martin"},{"family":"Gasch","given":"Christin"},{"family":"Ulz","given":"Peter"},{"family":"Lax","given":"Si</w:instrText>
      </w:r>
      <w:r w:rsidR="00D9683F" w:rsidRPr="00AE14AD">
        <w:rPr>
          <w:rFonts w:ascii="Calibri" w:eastAsia="SimSun" w:hAnsi="Calibri" w:cs="Times New Roman" w:hint="eastAsia"/>
          <w:sz w:val="22"/>
          <w:szCs w:val="22"/>
          <w:lang w:val="en-US" w:eastAsia="zh-CN" w:bidi="ar"/>
        </w:rPr>
        <w:instrText>gurd"},{"family":"Waldispuehl</w:instrText>
      </w:r>
      <w:r w:rsidR="00D9683F" w:rsidRPr="00AE14AD">
        <w:rPr>
          <w:rFonts w:ascii="Calibri" w:eastAsia="SimSun" w:hAnsi="Calibri" w:cs="Times New Roman" w:hint="eastAsia"/>
          <w:sz w:val="22"/>
          <w:szCs w:val="22"/>
          <w:lang w:val="en-US" w:eastAsia="zh-CN" w:bidi="ar"/>
        </w:rPr>
        <w:instrText>‐</w:instrText>
      </w:r>
      <w:r w:rsidR="00D9683F" w:rsidRPr="00AE14AD">
        <w:rPr>
          <w:rFonts w:ascii="Calibri" w:eastAsia="SimSun" w:hAnsi="Calibri" w:cs="Times New Roman" w:hint="eastAsia"/>
          <w:sz w:val="22"/>
          <w:szCs w:val="22"/>
          <w:lang w:val="en-US" w:eastAsia="zh-CN" w:bidi="ar"/>
        </w:rPr>
        <w:instrText>Geigl","given":"Julie"},{"family":"Mauermann","given":"Oliver"},{"family":"Mohan","given":"Sumitra"},{"family":"Pristauz","given":"Gunda"},{"family":"Lackner","given":"Carolin"},{"family":"Höfler","given":"Gerald"},{"family":</w:instrText>
      </w:r>
      <w:r w:rsidR="00D9683F" w:rsidRPr="00AE14AD">
        <w:rPr>
          <w:rFonts w:ascii="Calibri" w:eastAsia="SimSun" w:hAnsi="Calibri" w:cs="Times New Roman"/>
          <w:sz w:val="22"/>
          <w:szCs w:val="22"/>
          <w:lang w:val="en-US" w:eastAsia="zh-CN" w:bidi="ar"/>
        </w:rPr>
        <w:instrText xml:space="preserve">"Eisner","given":"Florian"},{"family":"Petru","given":"Edgar"},{"family":"Sill","given":"Heinz"},{"family":"Samonigg","given":"Hellmut"},{"family":"Pantel","given":"Klaus"},{"family":"Riethdorf","given":"Sabine"},{"family":"Bauernhofer","given":"Thomas"},{"family":"Geigl","given":"Jochen B."},{"family":"Speicher","given":"Michael R."}],"issued":{"date-parts":[["2013",7,15]]}}}],"schema":"https://github.com/citation-style-language/schema/raw/master/csl-citation.json"} </w:instrText>
      </w:r>
      <w:r w:rsidRPr="00AE14AD">
        <w:rPr>
          <w:rFonts w:ascii="Calibri" w:eastAsia="SimSun" w:hAnsi="Calibri" w:cs="Times New Roman"/>
          <w:sz w:val="22"/>
          <w:szCs w:val="22"/>
          <w:lang w:val="en-US" w:eastAsia="zh-CN" w:bidi="ar"/>
        </w:rPr>
        <w:fldChar w:fldCharType="separate"/>
      </w:r>
      <w:r w:rsidR="00D9683F" w:rsidRPr="00AE14AD">
        <w:rPr>
          <w:rFonts w:ascii="Calibri" w:hAnsi="Calibri" w:cs="Calibri"/>
          <w:sz w:val="22"/>
          <w:lang w:val="en-US"/>
        </w:rPr>
        <w:t>(1)</w:t>
      </w:r>
      <w:r w:rsidRPr="00AE14AD">
        <w:rPr>
          <w:rFonts w:ascii="Calibri" w:eastAsia="SimSun" w:hAnsi="Calibri" w:cs="Times New Roman"/>
          <w:sz w:val="22"/>
          <w:szCs w:val="22"/>
          <w:lang w:val="en-US" w:eastAsia="zh-CN" w:bidi="ar"/>
        </w:rPr>
        <w:fldChar w:fldCharType="end"/>
      </w:r>
      <w:r w:rsidRPr="00AE14AD">
        <w:rPr>
          <w:rFonts w:ascii="Calibri" w:eastAsia="SimSun" w:hAnsi="Calibri" w:cs="Times New Roman"/>
          <w:sz w:val="22"/>
          <w:szCs w:val="22"/>
          <w:lang w:val="en-US" w:eastAsia="zh-CN" w:bidi="ar"/>
        </w:rPr>
        <w:t xml:space="preserve">. Buffy coat was collected after the first spin. Plasma and white blood cells were stored at -80°C until DNA extraction. cfDNA was extracted from 2 ml of plasma using the </w:t>
      </w:r>
      <w:proofErr w:type="spellStart"/>
      <w:r w:rsidRPr="00AE14AD">
        <w:rPr>
          <w:rFonts w:ascii="Calibri" w:eastAsia="SimSun" w:hAnsi="Calibri" w:cs="Times New Roman"/>
          <w:sz w:val="22"/>
          <w:szCs w:val="22"/>
          <w:lang w:val="en-US" w:eastAsia="zh-CN" w:bidi="ar"/>
        </w:rPr>
        <w:t>QIAamp</w:t>
      </w:r>
      <w:proofErr w:type="spellEnd"/>
      <w:r w:rsidRPr="00AE14AD">
        <w:rPr>
          <w:rFonts w:ascii="Calibri" w:eastAsia="SimSun" w:hAnsi="Calibri" w:cs="Times New Roman"/>
          <w:sz w:val="22"/>
          <w:szCs w:val="22"/>
          <w:lang w:val="en-US" w:eastAsia="zh-CN" w:bidi="ar"/>
        </w:rPr>
        <w:t xml:space="preserve"> Circulating Nucleic Acid Kit (QIAGEN, Hilden, Germany) according to the manufacturer’s instructions and quantified using the </w:t>
      </w:r>
      <w:r w:rsidRPr="00AE14AD">
        <w:rPr>
          <w:rFonts w:ascii="Calibri" w:eastAsia="SimSun" w:hAnsi="Calibri" w:cs="Times New Roman"/>
          <w:sz w:val="22"/>
          <w:szCs w:val="22"/>
          <w:lang w:val="en-US" w:eastAsia="zh-CN" w:bidi="ar"/>
        </w:rPr>
        <w:lastRenderedPageBreak/>
        <w:t xml:space="preserve">Qubit dsDNA HS Assay Kit on a Qubit 4 Fluorometer (RRID: SCR_026883, Invitrogen, </w:t>
      </w:r>
      <w:proofErr w:type="spellStart"/>
      <w:r w:rsidRPr="00AE14AD">
        <w:rPr>
          <w:rFonts w:ascii="Calibri" w:eastAsia="SimSun" w:hAnsi="Calibri" w:cs="Times New Roman"/>
          <w:sz w:val="22"/>
          <w:szCs w:val="22"/>
          <w:lang w:val="en-US" w:eastAsia="zh-CN" w:bidi="ar"/>
        </w:rPr>
        <w:t>ThermoFisher</w:t>
      </w:r>
      <w:proofErr w:type="spellEnd"/>
      <w:r w:rsidRPr="00AE14AD">
        <w:rPr>
          <w:rFonts w:ascii="Calibri" w:eastAsia="SimSun" w:hAnsi="Calibri" w:cs="Times New Roman"/>
          <w:sz w:val="22"/>
          <w:szCs w:val="22"/>
          <w:lang w:val="en-US" w:eastAsia="zh-CN" w:bidi="ar"/>
        </w:rPr>
        <w:t xml:space="preserve"> Scientific, USA).</w:t>
      </w:r>
    </w:p>
    <w:p w14:paraId="3F934BEE" w14:textId="77C9E163" w:rsidR="005A6760" w:rsidRPr="00AE14AD" w:rsidRDefault="00E632E8" w:rsidP="005A6760">
      <w:pPr>
        <w:pStyle w:val="NormalWeb"/>
        <w:spacing w:after="60" w:line="360" w:lineRule="auto"/>
        <w:jc w:val="both"/>
        <w:rPr>
          <w:rFonts w:ascii="Calibri" w:eastAsia="SimSun" w:hAnsi="Calibri" w:cs="Times New Roman"/>
          <w:sz w:val="22"/>
          <w:szCs w:val="22"/>
          <w:lang w:val="en-US"/>
        </w:rPr>
      </w:pPr>
      <w:r w:rsidRPr="00AE14AD">
        <w:rPr>
          <w:rFonts w:ascii="Calibri" w:eastAsia="SimSun" w:hAnsi="Calibri" w:cs="Times New Roman"/>
          <w:sz w:val="22"/>
          <w:szCs w:val="22"/>
          <w:lang w:val="en-US"/>
        </w:rPr>
        <w:t>Each plasma sample was treated as an independent biological replicate, representing a single patient and time point. No technical replicates were used, as all sequencing libraries were independently prepared and processed. Sample grouping was based on molecular and clinical characteristics, and neither randomization nor blinding was applied. Data analyses were performed retrospectively after molecular processing, with group allocation (e.g., HRD status) determined by objective genomic criteria.</w:t>
      </w:r>
    </w:p>
    <w:p w14:paraId="664FE405" w14:textId="77777777" w:rsidR="00E632E8" w:rsidRPr="00E632E8" w:rsidRDefault="00E632E8" w:rsidP="005A6760">
      <w:pPr>
        <w:pStyle w:val="NormalWeb"/>
        <w:spacing w:after="60" w:line="360" w:lineRule="auto"/>
        <w:jc w:val="both"/>
        <w:rPr>
          <w:rFonts w:ascii="Calibri" w:eastAsia="SimSun" w:hAnsi="Calibri" w:cs="Times New Roman"/>
          <w:color w:val="4472C4" w:themeColor="accent5"/>
          <w:sz w:val="22"/>
          <w:szCs w:val="22"/>
          <w:lang w:val="en-US"/>
        </w:rPr>
      </w:pPr>
    </w:p>
    <w:p w14:paraId="3706E0C5" w14:textId="77777777" w:rsidR="00045D2C" w:rsidRPr="00322A14" w:rsidRDefault="00000000" w:rsidP="005A6760">
      <w:pPr>
        <w:pStyle w:val="Heading2"/>
        <w:spacing w:line="360" w:lineRule="auto"/>
      </w:pPr>
      <w:bookmarkStart w:id="2" w:name="_Toc212073427"/>
      <w:r w:rsidRPr="00322A14">
        <w:t>Modified Fast Aneuploidy Screening Test-Sequencing System (</w:t>
      </w:r>
      <w:proofErr w:type="spellStart"/>
      <w:r w:rsidRPr="00322A14">
        <w:t>mFAST-SeqS</w:t>
      </w:r>
      <w:proofErr w:type="spellEnd"/>
      <w:r w:rsidRPr="00322A14">
        <w:t>)</w:t>
      </w:r>
      <w:bookmarkEnd w:id="2"/>
    </w:p>
    <w:p w14:paraId="1DE9A808" w14:textId="0439E96C" w:rsidR="00045D2C" w:rsidRPr="00AE14AD" w:rsidRDefault="00000000" w:rsidP="005A6760">
      <w:pPr>
        <w:pStyle w:val="NormalWeb"/>
        <w:spacing w:after="60" w:line="360" w:lineRule="auto"/>
        <w:jc w:val="both"/>
        <w:rPr>
          <w:rFonts w:ascii="Calibri" w:eastAsia="SimSun" w:hAnsi="Calibri" w:cs="Times New Roman"/>
          <w:sz w:val="22"/>
          <w:szCs w:val="22"/>
          <w:lang w:val="en-US" w:eastAsia="zh-CN" w:bidi="ar"/>
        </w:rPr>
      </w:pPr>
      <w:r>
        <w:rPr>
          <w:rFonts w:ascii="Calibri" w:eastAsia="SimSun" w:hAnsi="Calibri" w:cs="Times New Roman"/>
          <w:sz w:val="22"/>
          <w:szCs w:val="22"/>
          <w:lang w:val="en-US" w:eastAsia="zh-CN" w:bidi="ar"/>
        </w:rPr>
        <w:t xml:space="preserve">To estimate aneuploidy and tumor fraction, </w:t>
      </w:r>
      <w:proofErr w:type="spellStart"/>
      <w:r>
        <w:rPr>
          <w:rFonts w:ascii="Calibri" w:eastAsia="SimSun" w:hAnsi="Calibri" w:cs="Times New Roman"/>
          <w:sz w:val="22"/>
          <w:szCs w:val="22"/>
          <w:lang w:val="en-US" w:eastAsia="zh-CN" w:bidi="ar"/>
        </w:rPr>
        <w:t>mFAST-SeqS</w:t>
      </w:r>
      <w:proofErr w:type="spellEnd"/>
      <w:r>
        <w:rPr>
          <w:rFonts w:ascii="Calibri" w:eastAsia="SimSun" w:hAnsi="Calibri" w:cs="Times New Roman"/>
          <w:sz w:val="22"/>
          <w:szCs w:val="22"/>
          <w:lang w:val="en-US" w:eastAsia="zh-CN" w:bidi="ar"/>
        </w:rPr>
        <w:t xml:space="preserve"> was used, as previously described </w:t>
      </w:r>
      <w:r>
        <w:rPr>
          <w:rFonts w:ascii="Calibri" w:eastAsia="SimSun" w:hAnsi="Calibri" w:cs="Times New Roman"/>
          <w:sz w:val="22"/>
          <w:szCs w:val="22"/>
          <w:lang w:val="en-US" w:eastAsia="zh-CN" w:bidi="ar"/>
        </w:rPr>
        <w:fldChar w:fldCharType="begin" w:fldLock="1"/>
      </w:r>
      <w:r w:rsidR="00E632E8">
        <w:rPr>
          <w:rFonts w:ascii="Calibri" w:eastAsia="SimSun" w:hAnsi="Calibri" w:cs="Times New Roman"/>
          <w:sz w:val="22"/>
          <w:szCs w:val="22"/>
          <w:lang w:val="en-US" w:eastAsia="zh-CN" w:bidi="ar"/>
        </w:rPr>
        <w:instrText xml:space="preserve"> ADDIN ZOTERO_ITEM CSL_CITATION {"citationID":"WDoEy6IK","properties":{"formattedCitation":"(2)","plainCitation":"(2)","noteIndex":0},"citationItems":[{"id":"lU5A22Of/yWuAko36","uris":["http://www.mendeley.com/documents/?uuid=b58bdde4-3355-41d1-98b9-88071ed56ec1"],"itemData":{"DOI":"10.1373/clinchem.2014.234286","ISSN":"0009-9147","abstract":"Recent progress in the analysis of cell-free DNA fragments [cell-free circulating tumor DNA (ctDNA)] now allows monitoring of tumor genomes by noninvasive means. However, previous studies with plasma DNA from patients with cancer demonstrated highly variable allele frequencies of ctDNA. The comprehensive analysis of tumor genomes is greatly facilitated when plasma DNA has increased amounts of ctDNA. Therefore, a fast and cost-effective prescreening method to identify such plasma samples without previous knowledge about alterations in the respective tumor genome could assist in the selection of samples suitable for further extensive qualitative analysis.We adapted the recently described Fast Aneuploidy Screening Test-Sequencing System (FAST-SeqS) method, which was originally established as a simple, effective, noninvasive screening method for fetal aneuploidy from maternal blood.We show that our modified FAST-SeqS method (mFAST-SeqS) can be used as a prescreening tool for an estimation of ctDNA percentage. With a combined evaluation of genome-wide and chromosome arm–specific z-scores from dilution series with cell line DNA and by comparisons of plasma-Seq profiles wit</w:instrText>
      </w:r>
      <w:r w:rsidR="00E632E8">
        <w:rPr>
          <w:rFonts w:ascii="Calibri" w:eastAsia="SimSun" w:hAnsi="Calibri" w:cs="Times New Roman" w:hint="eastAsia"/>
          <w:sz w:val="22"/>
          <w:szCs w:val="22"/>
          <w:lang w:val="en-US" w:eastAsia="zh-CN" w:bidi="ar"/>
        </w:rPr>
        <w:instrText xml:space="preserve">h data from mFAST-SeqS, we established a detection limit of </w:instrText>
      </w:r>
      <w:r w:rsidR="00E632E8">
        <w:rPr>
          <w:rFonts w:ascii="Calibri" w:eastAsia="SimSun" w:hAnsi="Calibri" w:cs="Times New Roman" w:hint="eastAsia"/>
          <w:sz w:val="22"/>
          <w:szCs w:val="22"/>
          <w:lang w:val="en-US" w:eastAsia="zh-CN" w:bidi="ar"/>
        </w:rPr>
        <w:instrText>≥</w:instrText>
      </w:r>
      <w:r w:rsidR="00E632E8">
        <w:rPr>
          <w:rFonts w:ascii="Calibri" w:eastAsia="SimSun" w:hAnsi="Calibri" w:cs="Times New Roman" w:hint="eastAsia"/>
          <w:sz w:val="22"/>
          <w:szCs w:val="22"/>
          <w:lang w:val="en-US" w:eastAsia="zh-CN" w:bidi="ar"/>
        </w:rPr>
        <w:instrText>10% mutant alleles. Plasma samples with an mFAST-SeqS z-score &amp;gt;5 showed results that were highly concordant with those of copy number profiles obtained from our previously described plasma-Se</w:instrText>
      </w:r>
      <w:r w:rsidR="00E632E8">
        <w:rPr>
          <w:rFonts w:ascii="Calibri" w:eastAsia="SimSun" w:hAnsi="Calibri" w:cs="Times New Roman"/>
          <w:sz w:val="22"/>
          <w:szCs w:val="22"/>
          <w:lang w:val="en-US" w:eastAsia="zh-CN" w:bidi="ar"/>
        </w:rPr>
        <w:instrText xml:space="preserve">q approach.Advantages of this approach include the speed and cost-effectiveness of the assay and that no prior knowledge about the genetic composition of tumor samples is necessary to identify plasma DNA samples with &amp;gt;10% ctDNA content.","author":[{"dropping-particle":"","family":"Belic","given":"Jelena","non-dropping-particle":"","parse-names":false,"suffix":""},{"dropping-particle":"","family":"Koch","given":"Marina","non-dropping-particle":"","parse-names":false,"suffix":""},{"dropping-particle":"","family":"Ulz","given":"Peter","non-dropping-particle":"","parse-names":false,"suffix":""},{"dropping-particle":"","family":"Auer","given":"Martina","non-dropping-particle":"","parse-names":false,"suffix":""},{"dropping-particle":"","family":"Gerhalter","given":"Teresa","non-dropping-particle":"","parse-names":false,"suffix":""},{"dropping-particle":"","family":"Mohan","given":"Sumitra","non-dropping-particle":"","parse-names":false,"suffix":""},{"dropping-particle":"","family":"Fischereder","given":"Katja","non-dropping-particle":"","parse-names":false,"suffix":""},{"dropping-particle":"","family":"Petru","given":"Edgar","non-dropping-particle":"","parse-names":false,"suffix":""},{"dropping-particle":"","family":"Bauernhofer","given":"Thomas","non-dropping-particle":"","parse-names":false,"suffix":""},{"dropping-particle":"","family":"Geigl","given":"Jochen B","non-dropping-particle":"","parse-names":false,"suffix":""},{"dropping-particle":"","family":"Speicher","given":"Michael R","non-dropping-particle":"","parse-names":false,"suffix":""},{"dropping-particle":"","family":"Heitzer","given":"Ellen","non-dropping-particle":"","parse-names":false,"suffix":""}],"container-title":"Clinical Chemistry","id":"ITEM-1","issue":"6","issued":{"date-parts":[["2015","6","1"]]},"page":"838-849","title":"Rapid Identification of Plasma DNA Samples with Increased ctDNA Levels by a Modified FAST-SeqS Approach","type":"article-journal","volume":"61"}}],"schema":"https://github.com/citation-style-language/schema/raw/master/csl-citation.json"} </w:instrText>
      </w:r>
      <w:r>
        <w:rPr>
          <w:rFonts w:ascii="Calibri" w:eastAsia="SimSun" w:hAnsi="Calibri" w:cs="Times New Roman"/>
          <w:sz w:val="22"/>
          <w:szCs w:val="22"/>
          <w:lang w:val="en-US" w:eastAsia="zh-CN" w:bidi="ar"/>
        </w:rPr>
        <w:fldChar w:fldCharType="separate"/>
      </w:r>
      <w:r w:rsidR="00D9683F" w:rsidRPr="00D9683F">
        <w:rPr>
          <w:rFonts w:ascii="Calibri" w:hAnsi="Calibri" w:cs="Calibri"/>
          <w:sz w:val="22"/>
          <w:lang w:val="en-US"/>
        </w:rPr>
        <w:t>(2)</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This method detects copy number changes across the genome by amplifying and sequencing repetitive LINE-1 elements that are evenly distributed across chromosomes. Briefly, 1 ng of cfDNA was amplified with LINE1-specific primers (five PCR cycles), purified with </w:t>
      </w:r>
      <w:proofErr w:type="spellStart"/>
      <w:r>
        <w:rPr>
          <w:rFonts w:ascii="Calibri" w:eastAsia="SimSun" w:hAnsi="Calibri" w:cs="Times New Roman"/>
          <w:sz w:val="22"/>
          <w:szCs w:val="22"/>
          <w:lang w:val="en-US" w:eastAsia="zh-CN" w:bidi="ar"/>
        </w:rPr>
        <w:t>AMPure</w:t>
      </w:r>
      <w:proofErr w:type="spellEnd"/>
      <w:r>
        <w:rPr>
          <w:rFonts w:ascii="Calibri" w:eastAsia="SimSun" w:hAnsi="Calibri" w:cs="Times New Roman"/>
          <w:sz w:val="22"/>
          <w:szCs w:val="22"/>
          <w:lang w:val="en-US" w:eastAsia="zh-CN" w:bidi="ar"/>
        </w:rPr>
        <w:t xml:space="preserve"> beads (Beckman Coulter, Brea, CA, USA), and further amplified by 18-cycle PCR with Illumina adapters and indices. After purification and quantification, libraries were sequenced on the Illumina platform in paired-end mode aiming for 100k reads. Reads were aligned to hg19/GRCh37 using </w:t>
      </w:r>
      <w:r>
        <w:rPr>
          <w:rFonts w:ascii="Calibri" w:eastAsia="SimSun" w:hAnsi="Calibri" w:cs="Times New Roman"/>
          <w:bCs/>
          <w:sz w:val="22"/>
          <w:szCs w:val="22"/>
          <w:lang w:val="en-US" w:eastAsia="zh-CN" w:bidi="ar"/>
        </w:rPr>
        <w:t>BWA-MEM2</w:t>
      </w:r>
      <w:r>
        <w:rPr>
          <w:rFonts w:ascii="Calibri" w:eastAsia="SimSun" w:hAnsi="Calibri" w:cs="Times New Roman"/>
          <w:sz w:val="22"/>
          <w:szCs w:val="22"/>
          <w:lang w:val="en-US" w:eastAsia="zh-CN" w:bidi="ar"/>
        </w:rPr>
        <w:t xml:space="preserve"> </w:t>
      </w:r>
      <w:bookmarkStart w:id="3" w:name="_Hlk212227398"/>
      <w:r>
        <w:rPr>
          <w:rFonts w:ascii="Calibri" w:eastAsia="SimSun" w:hAnsi="Calibri" w:cs="Times New Roman"/>
          <w:sz w:val="22"/>
          <w:szCs w:val="22"/>
          <w:lang w:val="en-US" w:eastAsia="zh-CN" w:bidi="ar"/>
        </w:rPr>
        <w:t>(RRID: SCR_022192, v.0.7.4)</w:t>
      </w:r>
      <w:bookmarkEnd w:id="3"/>
      <w:r w:rsidR="00E71097">
        <w:rPr>
          <w:rFonts w:ascii="Calibri" w:eastAsia="SimSun" w:hAnsi="Calibri" w:cs="Times New Roman"/>
          <w:sz w:val="22"/>
          <w:szCs w:val="22"/>
          <w:lang w:val="en-US" w:eastAsia="zh-CN" w:bidi="ar"/>
        </w:rPr>
        <w:t xml:space="preserve"> </w:t>
      </w:r>
      <w:r w:rsidR="00E71097">
        <w:rPr>
          <w:rFonts w:ascii="Calibri" w:eastAsia="SimSun" w:hAnsi="Calibri" w:cs="Times New Roman"/>
          <w:sz w:val="22"/>
          <w:szCs w:val="22"/>
          <w:lang w:val="en-US" w:eastAsia="zh-CN" w:bidi="ar"/>
        </w:rPr>
        <w:fldChar w:fldCharType="begin"/>
      </w:r>
      <w:r w:rsidR="00E71097">
        <w:rPr>
          <w:rFonts w:ascii="Calibri" w:eastAsia="SimSun" w:hAnsi="Calibri" w:cs="Times New Roman"/>
          <w:sz w:val="22"/>
          <w:szCs w:val="22"/>
          <w:lang w:val="en-US" w:eastAsia="zh-CN" w:bidi="ar"/>
        </w:rPr>
        <w:instrText xml:space="preserve"> ADDIN ZOTERO_ITEM CSL_CITATION {"citationID":"5IYvg6Pb","properties":{"formattedCitation":"(3)","plainCitation":"(3)","noteIndex":0},"citationItems":[{"id":658,"uris":["http://zotero.org/users/15533866/items/9SJ2V6RN"],"itemData":{"id":658,"type":"article","abstract":"Innovations in Next-Generation Sequencing are enabling generation of DNA sequence data at ever faster rates and at very low cost. Large sequencing centers typically employ hundreds of such systems. Such high-throughput and low-cost generation of data underscores the need for commensurate acceleration in downstream computational analysis of the sequencing data. A fundamental step in downstream analysis is mapping of the reads to a long reference DNA sequence, such as a reference human genome. Sequence mapping is a compute-intensive step that accounts for more than 30% of the overall time of the GATK workflow. BWA-MEM is one of the most widely used tools for sequence mapping and has tens of thousands of users. In this work, we focus on accelerating BWA-MEM through an efficient architecture aware implementation, while maintaining identical output. The volume of data requires distributed computing environment, usually deploying multicore processors. Since the application can be easily parallelized for distributed memory systems, we focus on performance improvements on a single socket multicore processor. BWA-MEM run time is dominated by three kernels, collectively responsible for more than 85% of the overall compute time. We improved the performance of these kernels by 1) improving cache reuse, 2) simplifying the algorithms, 3) replacing small fragmented memory allocations with a few large contiguous ones, 4) software prefetching, and 5) SIMD utilization wherever applicable - and massive reorganization of the source code enabling these improvements. As a result, we achieved nearly 2x, 183x, and 8x speedups on the three kernels, respectively, resulting in up to 3.5x and 2.4x speedups on end-to-end compute time over the original BWA-MEM on single thread and single socket of Intel Xeon Skylake processor. To the best of our knowledge, this is the highest reported speedup over BWA-MEM.","DOI":"10.48550/ARXIV.1907.12931","license":"Creative Commons Attribution Non Commercial Share Alike 4.0 International","note":"version: 1","publisher":"arXiv","source":"DOI.org (Datacite)","title":"Efficient Architecture-Aware Acceleration of BWA-MEM for Multicore Systems","URL":"https://arxiv.org/abs/1907.12931","author":[{"family":"Md","given":"Vasimuddin"},{"family":"Misra","given":"Sanchit"},{"family":"Li","given":"Heng"},{"family":"Aluru","given":"Srinivas"}],"accessed":{"date-parts":[["2025",10,24]]},"issued":{"date-parts":[["2019"]]}}}],"schema":"https://github.com/citation-style-language/schema/raw/master/csl-citation.json"} </w:instrText>
      </w:r>
      <w:r w:rsidR="00E71097">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(3)</w:t>
      </w:r>
      <w:r w:rsidR="00E71097">
        <w:rPr>
          <w:rFonts w:ascii="Calibri" w:eastAsia="SimSun" w:hAnsi="Calibri" w:cs="Times New Roman"/>
          <w:sz w:val="22"/>
          <w:szCs w:val="22"/>
          <w:lang w:val="en-US" w:eastAsia="zh-CN" w:bidi="ar"/>
        </w:rPr>
        <w:fldChar w:fldCharType="end"/>
      </w:r>
      <w:r w:rsidR="00E71097">
        <w:rPr>
          <w:rFonts w:ascii="Calibri" w:eastAsia="SimSun" w:hAnsi="Calibri" w:cs="Times New Roman"/>
          <w:sz w:val="22"/>
          <w:szCs w:val="22"/>
          <w:lang w:val="en-US" w:eastAsia="zh-CN" w:bidi="ar"/>
        </w:rPr>
        <w:t xml:space="preserve">, </w:t>
      </w:r>
      <w:r>
        <w:rPr>
          <w:rFonts w:ascii="Calibri" w:eastAsia="SimSun" w:hAnsi="Calibri" w:cs="Times New Roman"/>
          <w:sz w:val="22"/>
          <w:szCs w:val="22"/>
          <w:lang w:val="en-US" w:eastAsia="zh-CN" w:bidi="ar"/>
        </w:rPr>
        <w:t xml:space="preserve">and those with a mapping </w:t>
      </w:r>
      <w:r w:rsidRPr="00AE14AD">
        <w:rPr>
          <w:rFonts w:ascii="Calibri" w:eastAsia="SimSun" w:hAnsi="Calibri" w:cs="Times New Roman"/>
          <w:sz w:val="22"/>
          <w:szCs w:val="22"/>
          <w:lang w:val="en-US" w:eastAsia="zh-CN" w:bidi="ar"/>
        </w:rPr>
        <w:t>quality &gt;15 were counted per chromosome arm. Z-scores were calculated by normalizing read counts against those of 35 healthy controls to assess chromosomal arm-level aneuploidy. A genome-wide z-score was derived by summing the squared normalized values across all chromosome arms.</w:t>
      </w:r>
    </w:p>
    <w:p w14:paraId="3629F0D8" w14:textId="02096D42" w:rsidR="005A6760" w:rsidRPr="00AE14AD" w:rsidRDefault="005A6760" w:rsidP="005A6760">
      <w:pPr>
        <w:pStyle w:val="NormalWeb"/>
        <w:spacing w:after="60" w:line="360" w:lineRule="auto"/>
        <w:jc w:val="both"/>
        <w:rPr>
          <w:sz w:val="22"/>
          <w:szCs w:val="22"/>
          <w:lang w:val="en-US"/>
        </w:rPr>
      </w:pPr>
      <w:r w:rsidRPr="00AE14AD">
        <w:rPr>
          <w:sz w:val="22"/>
          <w:szCs w:val="22"/>
          <w:lang w:val="en-US"/>
        </w:rPr>
        <w:t>From this analysis, 106 plasma samples were identified and proceeded to targeted sequencing for detailed characterization of HRR gene alterations. As this was an observational exploratory study designed to characterize HRD-associated cfDNA features rather than to test a predefined effect size, no formal power calculation was performed. The final cohort size (n = 106) was determined by the availability of high-quality plasma samples meeting sequencing and tumor fraction criteria.</w:t>
      </w:r>
    </w:p>
    <w:p w14:paraId="01501119" w14:textId="3EB127D6" w:rsidR="005A6760" w:rsidRPr="00AE14AD" w:rsidRDefault="005A6760" w:rsidP="005A6760">
      <w:pPr>
        <w:pStyle w:val="NormalWeb"/>
        <w:spacing w:after="60" w:line="360" w:lineRule="auto"/>
        <w:jc w:val="both"/>
        <w:rPr>
          <w:sz w:val="22"/>
          <w:szCs w:val="22"/>
          <w:lang w:val="en-US"/>
        </w:rPr>
      </w:pPr>
    </w:p>
    <w:p w14:paraId="27DFF2CE" w14:textId="77777777" w:rsidR="00045D2C" w:rsidRPr="00AE14AD" w:rsidRDefault="00000000" w:rsidP="005A6760">
      <w:pPr>
        <w:pStyle w:val="Heading2"/>
        <w:spacing w:line="360" w:lineRule="auto"/>
        <w:rPr>
          <w:color w:val="auto"/>
        </w:rPr>
      </w:pPr>
      <w:bookmarkStart w:id="4" w:name="_Toc212073428"/>
      <w:r w:rsidRPr="00AE14AD">
        <w:rPr>
          <w:color w:val="auto"/>
        </w:rPr>
        <w:t>Panel analysis of clinically relevant genes</w:t>
      </w:r>
      <w:bookmarkEnd w:id="4"/>
    </w:p>
    <w:p w14:paraId="55728FA4" w14:textId="77777777" w:rsidR="00045D2C" w:rsidRDefault="00000000" w:rsidP="005A6760">
      <w:pPr>
        <w:pStyle w:val="NormalWeb"/>
        <w:spacing w:after="60" w:line="360" w:lineRule="auto"/>
        <w:jc w:val="both"/>
        <w:rPr>
          <w:sz w:val="22"/>
          <w:szCs w:val="22"/>
          <w:lang w:val="en-US"/>
        </w:rPr>
      </w:pPr>
      <w:r w:rsidRPr="00AE14AD">
        <w:rPr>
          <w:rFonts w:ascii="Calibri" w:eastAsia="SimSun" w:hAnsi="Calibri" w:cs="Times New Roman"/>
          <w:sz w:val="22"/>
          <w:szCs w:val="22"/>
          <w:lang w:val="en-US" w:eastAsia="zh-CN" w:bidi="ar"/>
        </w:rPr>
        <w:t xml:space="preserve">Mutations in HRR genes were assessed using the </w:t>
      </w:r>
      <w:proofErr w:type="spellStart"/>
      <w:r w:rsidRPr="00AE14AD">
        <w:rPr>
          <w:rFonts w:ascii="Calibri" w:eastAsia="SimSun" w:hAnsi="Calibri" w:cs="Times New Roman"/>
          <w:sz w:val="22"/>
          <w:szCs w:val="22"/>
          <w:lang w:val="en-US" w:eastAsia="zh-CN" w:bidi="ar"/>
        </w:rPr>
        <w:t>QIAseq</w:t>
      </w:r>
      <w:proofErr w:type="spellEnd"/>
      <w:r w:rsidRPr="00AE14AD">
        <w:rPr>
          <w:rFonts w:ascii="Calibri" w:eastAsia="SimSun" w:hAnsi="Calibri" w:cs="Times New Roman"/>
          <w:sz w:val="22"/>
          <w:szCs w:val="22"/>
          <w:lang w:val="en-US" w:eastAsia="zh-CN" w:bidi="ar"/>
        </w:rPr>
        <w:t xml:space="preserve"> HRR </w:t>
      </w:r>
      <w:r>
        <w:rPr>
          <w:rFonts w:ascii="Calibri" w:eastAsia="SimSun" w:hAnsi="Calibri" w:cs="Times New Roman"/>
          <w:sz w:val="22"/>
          <w:szCs w:val="22"/>
          <w:lang w:val="en-US" w:eastAsia="zh-CN" w:bidi="ar"/>
        </w:rPr>
        <w:t xml:space="preserve">panel (Qiagen, Hilden, Germany) targeting </w:t>
      </w:r>
      <w:r>
        <w:rPr>
          <w:rFonts w:ascii="Calibri" w:eastAsia="SimSun" w:hAnsi="Calibri" w:cs="Times New Roman"/>
          <w:i/>
          <w:sz w:val="22"/>
          <w:szCs w:val="22"/>
          <w:lang w:val="en-US" w:eastAsia="zh-CN" w:bidi="ar"/>
        </w:rPr>
        <w:t>ATM, BARD1, BRCA1, BRCA2, BRIP1, CDK12, CHEK1, CHEK2, FANCL, PALB2, PPP2R2A, RAD51B, RAD51C, RAD51D</w:t>
      </w:r>
      <w:r>
        <w:rPr>
          <w:rFonts w:ascii="Calibri" w:eastAsia="SimSun" w:hAnsi="Calibri" w:cs="Times New Roman"/>
          <w:sz w:val="22"/>
          <w:szCs w:val="22"/>
          <w:lang w:val="en-US" w:eastAsia="zh-CN" w:bidi="ar"/>
        </w:rPr>
        <w:t xml:space="preserve">, and </w:t>
      </w:r>
      <w:r>
        <w:rPr>
          <w:rFonts w:ascii="Calibri" w:eastAsia="SimSun" w:hAnsi="Calibri" w:cs="Times New Roman"/>
          <w:i/>
          <w:sz w:val="22"/>
          <w:szCs w:val="22"/>
          <w:lang w:val="en-US" w:eastAsia="zh-CN" w:bidi="ar"/>
        </w:rPr>
        <w:t>RAD54L</w:t>
      </w:r>
      <w:r>
        <w:rPr>
          <w:rFonts w:ascii="Calibri" w:eastAsia="SimSun" w:hAnsi="Calibri" w:cs="Times New Roman"/>
          <w:sz w:val="22"/>
          <w:szCs w:val="22"/>
          <w:lang w:val="en-US" w:eastAsia="zh-CN" w:bidi="ar"/>
        </w:rPr>
        <w:t xml:space="preserve">. Additionally, we customized the panel by including primers covering the entire coding region of </w:t>
      </w:r>
      <w:r>
        <w:rPr>
          <w:rFonts w:ascii="Calibri" w:eastAsia="SimSun" w:hAnsi="Calibri" w:cs="Times New Roman"/>
          <w:i/>
          <w:sz w:val="22"/>
          <w:szCs w:val="22"/>
          <w:lang w:val="en-US" w:eastAsia="zh-CN" w:bidi="ar"/>
        </w:rPr>
        <w:t>RB1, PTEN,</w:t>
      </w:r>
      <w:r>
        <w:rPr>
          <w:rFonts w:ascii="Calibri" w:eastAsia="SimSun" w:hAnsi="Calibri" w:cs="Times New Roman"/>
          <w:sz w:val="22"/>
          <w:szCs w:val="22"/>
          <w:lang w:val="en-US" w:eastAsia="zh-CN" w:bidi="ar"/>
        </w:rPr>
        <w:t xml:space="preserve"> and </w:t>
      </w:r>
      <w:r>
        <w:rPr>
          <w:rFonts w:ascii="Calibri" w:eastAsia="SimSun" w:hAnsi="Calibri" w:cs="Times New Roman"/>
          <w:i/>
          <w:sz w:val="22"/>
          <w:szCs w:val="22"/>
          <w:lang w:val="en-US" w:eastAsia="zh-CN" w:bidi="ar"/>
        </w:rPr>
        <w:t>TP53</w:t>
      </w:r>
      <w:r>
        <w:rPr>
          <w:rFonts w:ascii="Calibri" w:eastAsia="SimSun" w:hAnsi="Calibri" w:cs="Times New Roman"/>
          <w:sz w:val="22"/>
          <w:szCs w:val="22"/>
          <w:lang w:val="en-US" w:eastAsia="zh-CN" w:bidi="ar"/>
        </w:rPr>
        <w:t xml:space="preserve">. Assay performance was evaluated using </w:t>
      </w:r>
      <w:proofErr w:type="spellStart"/>
      <w:r>
        <w:rPr>
          <w:rFonts w:ascii="Calibri" w:eastAsia="SimSun" w:hAnsi="Calibri" w:cs="Times New Roman"/>
          <w:sz w:val="22"/>
          <w:szCs w:val="22"/>
          <w:lang w:val="en-US" w:eastAsia="zh-CN" w:bidi="ar"/>
        </w:rPr>
        <w:t>Seraseq</w:t>
      </w:r>
      <w:proofErr w:type="spellEnd"/>
      <w:r>
        <w:rPr>
          <w:rFonts w:ascii="Calibri" w:eastAsia="SimSun" w:hAnsi="Calibri" w:cs="Times New Roman"/>
          <w:sz w:val="22"/>
          <w:szCs w:val="22"/>
          <w:lang w:val="en-US" w:eastAsia="zh-CN" w:bidi="ar"/>
        </w:rPr>
        <w:t xml:space="preserve"> ctDNA Complete™ Mutation Mix standards (</w:t>
      </w:r>
      <w:proofErr w:type="spellStart"/>
      <w:r>
        <w:rPr>
          <w:rFonts w:ascii="Calibri" w:eastAsia="SimSun" w:hAnsi="Calibri" w:cs="Times New Roman"/>
          <w:sz w:val="22"/>
          <w:szCs w:val="22"/>
          <w:lang w:val="en-US" w:eastAsia="zh-CN" w:bidi="ar"/>
        </w:rPr>
        <w:t>Seracare</w:t>
      </w:r>
      <w:proofErr w:type="spellEnd"/>
      <w:r>
        <w:rPr>
          <w:rFonts w:ascii="Calibri" w:eastAsia="SimSun" w:hAnsi="Calibri" w:cs="Times New Roman"/>
          <w:sz w:val="22"/>
          <w:szCs w:val="22"/>
          <w:lang w:val="en-US" w:eastAsia="zh-CN" w:bidi="ar"/>
        </w:rPr>
        <w:t xml:space="preserve">, MA, USA) at VAFs of 5%, 2.5%, 1%, 0.5%, 0.1%, and wild-type, and the extended panel was validated with the ctDNA™ Mutation Mix v2 (1%, 0.5%, </w:t>
      </w:r>
      <w:r>
        <w:rPr>
          <w:rFonts w:ascii="Calibri" w:eastAsia="SimSun" w:hAnsi="Calibri" w:cs="Times New Roman"/>
          <w:sz w:val="22"/>
          <w:szCs w:val="22"/>
          <w:lang w:val="en-US" w:eastAsia="zh-CN" w:bidi="ar"/>
        </w:rPr>
        <w:lastRenderedPageBreak/>
        <w:t xml:space="preserve">0.125% VAFs, and WT), mimicking plasma conditions across the entire workflow. Libraries were prepared from 10 to 40 ng of cfDNA, according to the manufacturer’s recommendations. The DNA was enzymatically fragmented and ligated with adapters containing Unique Molecular Identifiers (UMIs) and indices. Target regions were enriched via an 8-cycle PCR followed by 20-cycle universal PCR. Library quality and size were assessed using an Agilent 2100 Bioanalyzer (RRID: SCR_018043), and quantification was performed with </w:t>
      </w:r>
      <w:proofErr w:type="spellStart"/>
      <w:r>
        <w:rPr>
          <w:rFonts w:ascii="Calibri" w:eastAsia="SimSun" w:hAnsi="Calibri" w:cs="Times New Roman"/>
          <w:sz w:val="22"/>
          <w:szCs w:val="22"/>
          <w:lang w:val="en-US" w:eastAsia="zh-CN" w:bidi="ar"/>
        </w:rPr>
        <w:t>StepOne</w:t>
      </w:r>
      <w:proofErr w:type="spellEnd"/>
      <w:r>
        <w:rPr>
          <w:rFonts w:ascii="Calibri" w:eastAsia="SimSun" w:hAnsi="Calibri" w:cs="Times New Roman"/>
          <w:sz w:val="22"/>
          <w:szCs w:val="22"/>
          <w:lang w:val="en-US" w:eastAsia="zh-CN" w:bidi="ar"/>
        </w:rPr>
        <w:t xml:space="preserve"> qPCR (RRID: SCR_023455) using the </w:t>
      </w:r>
      <w:proofErr w:type="spellStart"/>
      <w:r>
        <w:rPr>
          <w:rFonts w:ascii="Calibri" w:eastAsia="SimSun" w:hAnsi="Calibri" w:cs="Times New Roman"/>
          <w:sz w:val="22"/>
          <w:szCs w:val="22"/>
          <w:lang w:val="en-US" w:eastAsia="zh-CN" w:bidi="ar"/>
        </w:rPr>
        <w:t>QIAseq</w:t>
      </w:r>
      <w:proofErr w:type="spellEnd"/>
      <w:r>
        <w:rPr>
          <w:rFonts w:ascii="Calibri" w:eastAsia="SimSun" w:hAnsi="Calibri" w:cs="Times New Roman"/>
          <w:sz w:val="22"/>
          <w:szCs w:val="22"/>
          <w:lang w:val="en-US" w:eastAsia="zh-CN" w:bidi="ar"/>
        </w:rPr>
        <w:t xml:space="preserve"> Library Quant Assay (Qiagen, Hilden, Germany). Libraries were pooled equimolarly and sequenced in 2 × 150 paired-end mode on an Illumina </w:t>
      </w:r>
      <w:proofErr w:type="spellStart"/>
      <w:r>
        <w:rPr>
          <w:rFonts w:ascii="Calibri" w:eastAsia="SimSun" w:hAnsi="Calibri" w:cs="Times New Roman"/>
          <w:sz w:val="22"/>
          <w:szCs w:val="22"/>
          <w:lang w:val="en-US" w:eastAsia="zh-CN" w:bidi="ar"/>
        </w:rPr>
        <w:t>NextSeq</w:t>
      </w:r>
      <w:proofErr w:type="spellEnd"/>
      <w:r>
        <w:rPr>
          <w:rFonts w:ascii="Calibri" w:eastAsia="SimSun" w:hAnsi="Calibri" w:cs="Times New Roman"/>
          <w:sz w:val="22"/>
          <w:szCs w:val="22"/>
          <w:lang w:val="en-US" w:eastAsia="zh-CN" w:bidi="ar"/>
        </w:rPr>
        <w:t xml:space="preserve"> 550 (RRID: SCR_016384) or </w:t>
      </w:r>
      <w:proofErr w:type="spellStart"/>
      <w:r>
        <w:rPr>
          <w:rFonts w:ascii="Calibri" w:eastAsia="SimSun" w:hAnsi="Calibri" w:cs="Times New Roman"/>
          <w:sz w:val="22"/>
          <w:szCs w:val="22"/>
          <w:lang w:val="en-US" w:eastAsia="zh-CN" w:bidi="ar"/>
        </w:rPr>
        <w:t>NovaSeq</w:t>
      </w:r>
      <w:proofErr w:type="spellEnd"/>
      <w:r>
        <w:rPr>
          <w:rFonts w:ascii="Calibri" w:eastAsia="SimSun" w:hAnsi="Calibri" w:cs="Times New Roman"/>
          <w:sz w:val="22"/>
          <w:szCs w:val="22"/>
          <w:lang w:val="en-US" w:eastAsia="zh-CN" w:bidi="ar"/>
        </w:rPr>
        <w:t xml:space="preserve"> 6000 (RRID: SCR_016387), aiming for ≥25,600× coverage to reliably detect variants at 1% VAF. </w:t>
      </w:r>
    </w:p>
    <w:p w14:paraId="26FD795F" w14:textId="70592FEB" w:rsidR="00045D2C" w:rsidRDefault="00000000" w:rsidP="005A6760">
      <w:pPr>
        <w:pStyle w:val="NormalWeb"/>
        <w:spacing w:after="60" w:line="360" w:lineRule="auto"/>
        <w:jc w:val="both"/>
        <w:rPr>
          <w:rFonts w:ascii="Calibri" w:eastAsia="SimSun" w:hAnsi="Calibri" w:cs="Times New Roman"/>
          <w:sz w:val="22"/>
          <w:szCs w:val="22"/>
          <w:lang w:val="en-US" w:eastAsia="zh-CN" w:bidi="ar"/>
        </w:rPr>
      </w:pPr>
      <w:r>
        <w:rPr>
          <w:rFonts w:ascii="Calibri" w:eastAsia="SimSun" w:hAnsi="Calibri" w:cs="Times New Roman"/>
          <w:sz w:val="22"/>
          <w:szCs w:val="22"/>
          <w:lang w:val="en-US" w:eastAsia="zh-CN" w:bidi="ar"/>
        </w:rPr>
        <w:t xml:space="preserve">FASTQ files from targeted panel sequencing were processed on the </w:t>
      </w:r>
      <w:proofErr w:type="spellStart"/>
      <w:r>
        <w:rPr>
          <w:rFonts w:ascii="Calibri" w:eastAsia="SimSun" w:hAnsi="Calibri" w:cs="Times New Roman"/>
          <w:sz w:val="22"/>
          <w:szCs w:val="22"/>
          <w:lang w:val="en-US" w:eastAsia="zh-CN" w:bidi="ar"/>
        </w:rPr>
        <w:t>GeneGlobe</w:t>
      </w:r>
      <w:proofErr w:type="spellEnd"/>
      <w:r>
        <w:rPr>
          <w:rFonts w:ascii="Calibri" w:eastAsia="SimSun" w:hAnsi="Calibri" w:cs="Times New Roman"/>
          <w:sz w:val="22"/>
          <w:szCs w:val="22"/>
          <w:lang w:val="en-US" w:eastAsia="zh-CN" w:bidi="ar"/>
        </w:rPr>
        <w:t xml:space="preserve"> platform (RRID: SCR_021211, QIAGEN), which included adapter trimming and filtering of short reads. The reads were aligned to the hg19/GRCh37 reference genome using BWA-MEM2 (RRID: SCR_022192, v0.7.9a-r786). Unique Molecular Identifiers (UMIs</w:t>
      </w:r>
      <w:r w:rsidRPr="00E71097">
        <w:rPr>
          <w:rFonts w:ascii="Calibri" w:eastAsia="SimSun" w:hAnsi="Calibri" w:cs="Times New Roman"/>
          <w:sz w:val="22"/>
          <w:szCs w:val="22"/>
          <w:lang w:val="en-US" w:eastAsia="zh-CN" w:bidi="ar"/>
        </w:rPr>
        <w:t xml:space="preserve">) were clustered before variant calling using </w:t>
      </w:r>
      <w:r w:rsidRPr="00E71097">
        <w:rPr>
          <w:rStyle w:val="Strong"/>
          <w:rFonts w:ascii="Calibri" w:eastAsia="SimSun" w:hAnsi="Calibri" w:cs="Times New Roman"/>
          <w:b w:val="0"/>
          <w:bCs w:val="0"/>
          <w:sz w:val="22"/>
          <w:szCs w:val="22"/>
          <w:lang w:val="en-US" w:eastAsia="zh-CN" w:bidi="ar"/>
        </w:rPr>
        <w:t>smCounter2</w:t>
      </w:r>
      <w:r w:rsidRPr="00E71097">
        <w:rPr>
          <w:rFonts w:ascii="Calibri" w:eastAsia="SimSun" w:hAnsi="Calibri" w:cs="Times New Roman"/>
          <w:sz w:val="22"/>
          <w:szCs w:val="22"/>
          <w:lang w:val="en-US" w:eastAsia="zh-CN" w:bidi="ar"/>
        </w:rPr>
        <w:t xml:space="preserve"> </w:t>
      </w:r>
      <w:r w:rsidRPr="00E71097">
        <w:rPr>
          <w:rFonts w:ascii="Calibri" w:eastAsia="SimSun" w:hAnsi="Calibri" w:cs="Times New Roman"/>
          <w:sz w:val="22"/>
          <w:szCs w:val="22"/>
          <w:lang w:val="en-US" w:eastAsia="zh-CN" w:bidi="ar"/>
        </w:rPr>
        <w:fldChar w:fldCharType="begin" w:fldLock="1"/>
      </w:r>
      <w:r w:rsidR="00E632E8">
        <w:rPr>
          <w:rFonts w:ascii="Calibri" w:eastAsia="SimSun" w:hAnsi="Calibri" w:cs="Times New Roman"/>
          <w:sz w:val="22"/>
          <w:szCs w:val="22"/>
          <w:lang w:val="en-US" w:eastAsia="zh-CN" w:bidi="ar"/>
        </w:rPr>
        <w:instrText xml:space="preserve"> ADDIN ZOTERO_ITEM CSL_CITATION {"citationID":"PmhaJB3Q","properties":{"formattedCitation":"(4)","plainCitation":"(4)","noteIndex":0},"citationItems":[{"id":"lU5A22Of/Si8dI3cF","uris":["http://www.mendeley.com/documents/?uuid=ef247b0c-1d19-43da-9a3d-a07f24f150c8"],"itemData":{"DOI":"10.1093/bioinformatics/bty790","ISSN":"1367-4803","abstract":"Low-frequency DNA mutations are often confounded with technical artifacts from sample preparation and sequencing. With unique molecular identifiers (UMIs), most of the sequencing errors can be corrected. However, errors before UMI tagging, such as DNA polymerase errors during end repair and the first PCR cycle, cannot be corrected with single-strand UMIs and impose fundamental limits to UMI-based variant calling.We developed smCounter2, a UMI-based variant caller for targeted sequencing data and an upgrade from the current version of smCounter. Compared to smCounter, smCounter2 features lower detection limit that decreases from 1 to 0.5%, better overall accuracy (particularly in non-coding regions), a consistent threshold that can be applied to both deep and shallow sequencing runs, and easier use via a Docker image and code for read pre-processing. We benchmarked smCounter2 against several state-of-the-art UMI-based variant calling methods using multiple datasets and demonstrated smCounter2’s superior performance in detecting somatic variants. At the core of smCounter2 is a statistical test to determine whether the allele frequency of the putative variant is significantly above the background error rate, which was carefully modeled using an independent dataset. The improved accuracy in non-coding regions was mainly achieved using novel repetitive region filters that were specifically designed for UMI data.The entire pipeline is available at https://github.com/qiaseq/qiaseq-dna under MIT license.Supplementary data are available at Bioinformatics online.","author":[{"dropping-particle":"","family":"Xu","given":"Chang","non-dropping-particle":"","parse-names":false,"suffix":""},{"dropping-particle":"","family":"Gu","given":"Xiujing","non-dropping-particle":"","parse-names":false,"suffix":""},{"dropping-particle":"","family":"Padmanabhan","given":"Raghavendra","non-dropping-particle":"","parse-names":false,"suffix":""},{"dropping-particle":"","family":"Wu","given":"Zhong","non-dropping-particle":"","parse-names":false,"suffix":""},{"dropping-particle":"","family":"Peng","given":"Quan","non-dropping-particle":"","parse-names":false,"suffix":""},{"dropping-particle":"","family":"DiCarlo","given":"John","non-dropping-particle":"","parse-names":false,"suffix":""},{"dropping-particle":"","family":"Wang","given":"Yexun","non-dropping-particle":"","parse-names":false,"suffix":""}],"container-title":"Bioinformatics","id":"ITEM-1","issue":"8","issued":{"date-parts":[["2019","4","15"]]},"page":"1299-1309","title":"smCounter2: an accurate low-frequency variant caller for targeted sequencing data with unique molecular identifiers","type":"article-journal","volume":"35"}}],"schema":"https://github.com/citation-style-language/schema/raw/master/csl-citation.json"} </w:instrText>
      </w:r>
      <w:r w:rsidRPr="00E71097">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(4)</w:t>
      </w:r>
      <w:r w:rsidRPr="00E71097">
        <w:rPr>
          <w:rFonts w:ascii="Calibri" w:eastAsia="SimSun" w:hAnsi="Calibri" w:cs="Times New Roman"/>
          <w:sz w:val="22"/>
          <w:szCs w:val="22"/>
          <w:lang w:val="en-US" w:eastAsia="zh-CN" w:bidi="ar"/>
        </w:rPr>
        <w:fldChar w:fldCharType="end"/>
      </w:r>
      <w:r w:rsidRPr="00E71097">
        <w:rPr>
          <w:rFonts w:ascii="Calibri" w:eastAsia="SimSun" w:hAnsi="Calibri" w:cs="Times New Roman"/>
          <w:sz w:val="22"/>
          <w:szCs w:val="22"/>
          <w:lang w:val="en-US" w:eastAsia="zh-CN" w:bidi="ar"/>
        </w:rPr>
        <w:t xml:space="preserve">. Variant annotation was performed using </w:t>
      </w:r>
      <w:r w:rsidRPr="00E71097">
        <w:rPr>
          <w:rStyle w:val="Strong"/>
          <w:rFonts w:ascii="Calibri" w:eastAsia="SimSun" w:hAnsi="Calibri" w:cs="Times New Roman"/>
          <w:b w:val="0"/>
          <w:bCs w:val="0"/>
          <w:sz w:val="22"/>
          <w:szCs w:val="22"/>
          <w:lang w:val="en-US" w:eastAsia="zh-CN" w:bidi="ar"/>
        </w:rPr>
        <w:t xml:space="preserve">Golden Helix </w:t>
      </w:r>
      <w:proofErr w:type="spellStart"/>
      <w:r w:rsidRPr="00E71097">
        <w:rPr>
          <w:rStyle w:val="Strong"/>
          <w:rFonts w:ascii="Calibri" w:eastAsia="SimSun" w:hAnsi="Calibri" w:cs="Times New Roman"/>
          <w:b w:val="0"/>
          <w:bCs w:val="0"/>
          <w:sz w:val="22"/>
          <w:szCs w:val="22"/>
          <w:lang w:val="en-US" w:eastAsia="zh-CN" w:bidi="ar"/>
        </w:rPr>
        <w:t>VarSeq</w:t>
      </w:r>
      <w:proofErr w:type="spellEnd"/>
      <w:r w:rsidRPr="00E71097">
        <w:rPr>
          <w:rStyle w:val="Strong"/>
          <w:rFonts w:ascii="Calibri" w:eastAsia="SimSun" w:hAnsi="Calibri" w:cs="Times New Roman"/>
          <w:b w:val="0"/>
          <w:bCs w:val="0"/>
          <w:sz w:val="22"/>
          <w:szCs w:val="22"/>
          <w:lang w:val="en-US" w:eastAsia="zh-CN" w:bidi="ar"/>
        </w:rPr>
        <w:t xml:space="preserve"> (RRID: SCR_001285, v2.2.0</w:t>
      </w:r>
      <w:r w:rsidR="00E71097" w:rsidRPr="00E71097">
        <w:rPr>
          <w:rStyle w:val="Strong"/>
          <w:rFonts w:ascii="Calibri" w:eastAsia="SimSun" w:hAnsi="Calibri" w:cs="Times New Roman"/>
          <w:b w:val="0"/>
          <w:bCs w:val="0"/>
          <w:sz w:val="22"/>
          <w:szCs w:val="22"/>
          <w:lang w:val="en-US" w:eastAsia="zh-CN" w:bidi="ar"/>
        </w:rPr>
        <w:t>)</w:t>
      </w:r>
      <w:r w:rsidRPr="00E71097">
        <w:rPr>
          <w:rStyle w:val="Strong"/>
          <w:rFonts w:ascii="Calibri" w:eastAsia="SimSun" w:hAnsi="Calibri" w:cs="Times New Roman"/>
          <w:b w:val="0"/>
          <w:bCs w:val="0"/>
          <w:sz w:val="22"/>
          <w:szCs w:val="22"/>
          <w:lang w:val="en-US" w:eastAsia="zh-CN" w:bidi="ar"/>
        </w:rPr>
        <w:t>,</w:t>
      </w:r>
      <w:r w:rsidRPr="00E71097">
        <w:rPr>
          <w:rStyle w:val="Strong"/>
          <w:rFonts w:ascii="Calibri" w:eastAsia="SimSun" w:hAnsi="Calibri" w:cs="Times New Roman"/>
          <w:sz w:val="22"/>
          <w:szCs w:val="22"/>
          <w:lang w:val="en-US" w:eastAsia="zh-CN" w:bidi="ar"/>
        </w:rPr>
        <w:t xml:space="preserve"> </w:t>
      </w:r>
      <w:r w:rsidRPr="00E71097">
        <w:rPr>
          <w:rFonts w:ascii="Calibri" w:eastAsia="SimSun" w:hAnsi="Calibri" w:cs="Times New Roman"/>
          <w:sz w:val="22"/>
          <w:szCs w:val="22"/>
          <w:lang w:val="en-US" w:eastAsia="zh-CN" w:bidi="ar"/>
        </w:rPr>
        <w:t xml:space="preserve">Golden Helix Inc., Bozeman, USA) with functional predictions based on </w:t>
      </w:r>
      <w:proofErr w:type="spellStart"/>
      <w:r w:rsidRPr="00E71097">
        <w:rPr>
          <w:rStyle w:val="Strong"/>
          <w:rFonts w:ascii="Calibri" w:eastAsia="SimSun" w:hAnsi="Calibri" w:cs="Times New Roman"/>
          <w:b w:val="0"/>
          <w:bCs w:val="0"/>
          <w:sz w:val="22"/>
          <w:szCs w:val="22"/>
          <w:lang w:val="en-US" w:eastAsia="zh-CN" w:bidi="ar"/>
        </w:rPr>
        <w:t>gnomAD</w:t>
      </w:r>
      <w:proofErr w:type="spellEnd"/>
      <w:r w:rsidRPr="00E71097">
        <w:rPr>
          <w:rStyle w:val="Strong"/>
          <w:rFonts w:ascii="Calibri" w:eastAsia="SimSun" w:hAnsi="Calibri" w:cs="Times New Roman"/>
          <w:b w:val="0"/>
          <w:bCs w:val="0"/>
          <w:sz w:val="22"/>
          <w:szCs w:val="22"/>
          <w:lang w:val="en-US" w:eastAsia="zh-CN" w:bidi="ar"/>
        </w:rPr>
        <w:t xml:space="preserve"> (RRID: SCR_014964)</w:t>
      </w:r>
      <w:r w:rsidRPr="00E71097">
        <w:rPr>
          <w:rFonts w:ascii="Calibri" w:eastAsia="SimSun" w:hAnsi="Calibri" w:cs="Times New Roman"/>
          <w:sz w:val="22"/>
          <w:szCs w:val="22"/>
          <w:lang w:val="en-US" w:eastAsia="zh-CN" w:bidi="ar"/>
        </w:rPr>
        <w:t xml:space="preserve"> and </w:t>
      </w:r>
      <w:proofErr w:type="spellStart"/>
      <w:r w:rsidRPr="00E71097">
        <w:rPr>
          <w:rStyle w:val="Strong"/>
          <w:rFonts w:ascii="Calibri" w:eastAsia="SimSun" w:hAnsi="Calibri" w:cs="Times New Roman"/>
          <w:b w:val="0"/>
          <w:bCs w:val="0"/>
          <w:sz w:val="22"/>
          <w:szCs w:val="22"/>
          <w:lang w:val="en-US" w:eastAsia="zh-CN" w:bidi="ar"/>
        </w:rPr>
        <w:t>dbNSFP</w:t>
      </w:r>
      <w:proofErr w:type="spellEnd"/>
      <w:r w:rsidRPr="00E71097">
        <w:rPr>
          <w:rStyle w:val="Strong"/>
          <w:rFonts w:ascii="Calibri" w:eastAsia="SimSun" w:hAnsi="Calibri" w:cs="Times New Roman"/>
          <w:b w:val="0"/>
          <w:bCs w:val="0"/>
          <w:sz w:val="22"/>
          <w:szCs w:val="22"/>
          <w:lang w:val="en-US" w:eastAsia="zh-CN" w:bidi="ar"/>
        </w:rPr>
        <w:t xml:space="preserve"> (RRID: SCR_005178)</w:t>
      </w:r>
      <w:r w:rsidRPr="00E71097">
        <w:rPr>
          <w:rFonts w:ascii="Calibri" w:eastAsia="SimSun" w:hAnsi="Calibri" w:cs="Times New Roman"/>
          <w:sz w:val="22"/>
          <w:szCs w:val="22"/>
          <w:lang w:val="en-US" w:eastAsia="zh-CN" w:bidi="ar"/>
        </w:rPr>
        <w:t xml:space="preserve"> </w:t>
      </w:r>
      <w:r w:rsidRPr="00E71097">
        <w:rPr>
          <w:rFonts w:ascii="Calibri" w:eastAsia="SimSun" w:hAnsi="Calibri" w:cs="Times New Roman"/>
          <w:sz w:val="22"/>
          <w:szCs w:val="22"/>
          <w:lang w:val="en-US" w:eastAsia="zh-CN" w:bidi="ar"/>
        </w:rPr>
        <w:fldChar w:fldCharType="begin" w:fldLock="1"/>
      </w:r>
      <w:r w:rsidR="00E632E8">
        <w:rPr>
          <w:rFonts w:ascii="Calibri" w:eastAsia="SimSun" w:hAnsi="Calibri" w:cs="Times New Roman"/>
          <w:sz w:val="22"/>
          <w:szCs w:val="22"/>
          <w:lang w:val="en-US" w:eastAsia="zh-CN" w:bidi="ar"/>
        </w:rPr>
        <w:instrText xml:space="preserve"> ADDIN ZOTERO_ITEM CSL_CITATION {"citationID":"hHTnpcxY","properties":{"formattedCitation":"(5,6)","plainCitation":"(5,6)","noteIndex":0},"citationItems":[{"id":"lU5A22Of/Lh0zQP7s","uris":["http://www.mendeley.com/documents/?uuid=cfbb8eb4-1526-4cfd-b7ae-f196e74cbee8"],"itemData":{"DOI":"https://doi.org/10.1002/humu.22376","ISSN":"1059-7794","abstract":"ABSTRACT dbNSFP is a database developed for functional prediction and annotation of all potential non-synonymous single-nucleotide variants (nsSNVs) in the human genome. This database significantly facilitates the process of querying predictions and annotations from different databases/web-servers for large amounts of nsSNVs discovered in exome-sequencing studies. Here we report a recent major update of the database to version 2.0. We have rebuilt the SNV collection based on GENCODE 9 and currently the database includes 87,347,043 nsSNVs and 2,270,742 essential splice site SNVs (an 18% increase compared to dbNSFP v1.0). For each nsSNV dbNSFP v2.0 has added two prediction scores (MutationAssessor and FATHMM) and two conservation scores (GERP++ and SiPhy). The original five prediction and conservation scores in v1.0 (SIFT, Polyphen2, LRT, MutationTaster and PhyloP) have been updated. Rich functional annotations for SNVs and genes have also been added into the new version, including allele frequencies observed in the 1000 Genomes Project phase 1 data and the NHLBI Exome Sequencing Project, various gene IDs from different databases, functional descriptions of genes, gene expression and gene interaction information, among others. dbNSFP v2.0 is freely available for download at http://sites.google.com/site/jpopgen/dbNSFP. ?2013 Wiley-Liss, Inc.","author":[{"dropping-particle":"","family":"Liu","given":"Xiaoming","non-dropping-particle":"","parse-names":false,"suffix":""},{"dropping-particle":"","family":"Jian","given":"Xueqiu","non-dropping-particle":"","parse-names":false,"suffix":""},{"dropping-particle":"","family":"Boerwinkle","given":"Eric","non-dropping-particle":"","parse-names":false,"suffix":""}],"container-title":"Human Mutation","id":"ITEM-1","issue":"9","issued":{"date-parts":[["2013","9","1"]]},"note":"https://doi.org/10.1002/humu.22376","page":"E2393-E2402","publisher":"John Wiley &amp; Sons, Ltd","title":"dbNSFP v2.0: A Database of Human Non-synonymous SNVs and Their Functional Predictions and Annotations","type":"article-journal","volume":"34"}},{"id":"lU5A22Of/N8TM3jtz","uris":["http://www.mendeley.com/documents/?uuid=931bb589-cb5b-4a91-b935-d8daa5113262"],"itemData":{"DOI":"10.1038/s41586-020-2308-7","ISSN":"1476-4687","abstract":"Genetic variants that inactivate protein-coding genes are a powerful source of information about the phenotypic consequences of gene disruption: genes that are crucial for the function of an organism will be depleted of such variants in natural populations, whereas non-essential genes will tolerate their accumulation. However, predicted loss-of-function variants are enriched for annotation errors, and tend to be found at extremely low frequencies, so their analysis requires careful variant annotation and very large sample sizes1. Here we describe the aggregation of 125,748 exomes and 15,708 genomes from human sequencing studies into the Genome Aggregation Database (gnomAD). We identify 443,769 high-confidence predicted loss-of-function variants in this cohort after filtering for artefacts caused by sequencing and annotation errors. Using an improved model of human mutation rates, we classify human protein-coding genes along a spectrum that represents tolerance to inactivation, validate this classification using data from model organisms and engineered human cells, and show that it can be used to improve the power of gene discovery for both common and rare diseases.","author":[{"dropping-particle":"","family":"Karczewski","given":"Konrad J","non-dropping-particle":"","parse-names":false,"suffix":""},{"dropping-particle":"","family":"Francioli","given":"Laurent C","non-dropping-particle":"","parse-names":false,"suffix":""},{"dropping-particle":"","family":"Tiao","given":"Grace","non-dropping-particle":"","parse-names":false,"suffix":""},{"dropping-particle":"","family":"Cummings","given":"Beryl B","non-dropping-particle":"","parse-names":false,"suffix":""},{"dropping-particle":"","family":"Alföldi","given":"Jessica","non-dropping-particle":"","parse-names":false,"suffix":""},{"dropping-particle":"","family":"Wang","given":"Qingbo","non-dropping-particle":"","parse-names":false,"suffix":""},{"dropping-particle":"","family":"Collins","given":"Ryan L","non-dropping-particle":"","parse-names":false,"suffix":""},{"dropping-particle":"","family":"Laricchia","given":"Kristen M","non-dropping-particle":"","parse-names":false,"suffix":""},{"dropping-particle":"","family":"Ganna","given":"Andrea","non-dropping-particle":"","parse-names":false,"suffix":""},{"dropping-particle":"","family":"Birnbaum","given":"Daniel P","non-dropping-particle":"","parse-names":false,"suffix":""},{"dropping-particle":"","family":"Gauthier","given":"Laura D","non-dropping-particle":"","parse-names":false,"suffix":""},{"dropping-particle":"","family":"Brand","given":"Harrison","non-dropping-particle":"","parse-names":false,"suffix":""},{"dropping-particle":"","family":"Solomonson","given":"Matthew","non-dropping-particle":"","parse-names":false,"suffix":""},{"dropping-particle":"","family":"Watts","given":"Nicholas A","non-dropping-particle":"","parse-names":false,"suffix":""},{"dropping-particle":"","family":"Rhodes","given":"Daniel","non-dropping-particle":"","parse-names":false,"suffix":""},{"dropping-particle":"","family":"Singer-Berk","given":"Moriel","non-dropping-particle":"","parse-names":false,"suffix":""},{"dropping-particle":"","family":"England","given":"Eleina M","non-dropping-particle":"","parse-names":false,"suffix":""},{"dropping-particle":"","family":"Seaby","given":"Eleanor G","non-dropping-particle":"","parse-names":false,"suffix":""},{"dropping-particle":"","family":"Kosmicki","given":"Jack A","non-dropping-particle":"","parse-names":false,"suffix":""},{"dropping-particle":"","family":"Walters","given":"Raymond K","non-dropping-particle":"","parse-names":false,"suffix":""},{"dropping-particle":"","family":"Tashman","given":"Katherine","non-dropping-particle":"","parse-names":false,"suffix":""},{"dropping-particle":"","family":"Farjoun","given":"Yossi","non-dropping-particle":"","parse-names":false,"suffix":""},{"dropping-particle":"","family":"Banks","given":"Eric","non-dropping-particle":"","parse-names":false,"suffix":""},{"dropping-particle":"","family":"Poterba","given":"Timothy","non-dropping-particle":"","parse-names":false,"suffix":""},{"dropping-particle":"","family":"Wang","given":"Arcturus","non-dropping-particle":"","parse-names":false,"suffix":""},{"dropping-particle":"","family":"Seed","given":"Cotton","non-dropping-particle":"","parse-names":false,"suffix":""},{"dropping-particle":"","family":"Whiffin","given":"Nicola","non-dropping-particle":"","parse-names":false,"suffix":""},{"dropping-particle":"","family":"Chong","given":"Jessica X","non-dropping-particle":"","parse-names":false,"suffix":""},{"dropping-particle":"","family":"Samocha","given":"Kaitlin E","non-dropping-particle":"","parse-names":false,"suffix":""},{"dropping-particle":"","family":"Pierce-Hoffman","given":"Emma","non-dropping-particle":"","parse-names":false,"suffix":""},{"dropping-particle":"","family":"Zappala","given":"Zachary","non-dropping-particle":"","parse-names":false,"suffix":""},{"dropping-particle":"","family":"O’Donnell-Luria","given":"Anne H","non-dropping-particle":"","parse-names":false,"suffix":""},{"dropping-particle":"","family":"Minikel","given":"Eric Vallabh","non-dropping-particle":"","parse-names":false,"suffix":""},{"dropping-particle":"","family":"Weisburd","given":"Ben","non-dropping-particle":"","parse-names":false,"suffix":""},{"dropping-particle":"","family":"Lek","given":"Monkol","non-dropping-particle":"","parse-names":false,"suffix":""},{"dropping-particle":"","family":"Ware","given":"James S","non-dropping-particle":"","parse-names":false,"suffix":""},{"dropping-particle":"","family":"Vittal","given":"Christopher","non-dropping-particle":"","parse-names":false,"suffix":""},{"dropping-particle":"","family":"Armean","given":"Irina M","non-dropping-particle":"","parse-names":false,"suffix":""},{"dropping-particle":"","family":"Bergelson","given":"Louis","non-dropping-particle":"","parse-names":false,"suffix":""},{"dropping-particle":"","family":"Cibulskis","given":"Kristian","non-dropping-particle":"","parse-names":false,"suffix":""},{"dropping-particle":"","family":"Connolly","given":"Kristen M","non-dropping-particle":"","parse-names":false,"suffix":""},{"dropping-particle":"","family":"Covarrubias","given":"Miguel","non-dropping-particle":"","parse-names":false,"suffix":""},{"dropping-particle":"","family":"Donnelly","given":"Stacey","non-dropping-particle":"","parse-names":false,"suffix":""},{"dropping-particle":"","family":"Ferriera","given":"Steven","non-dropping-particle":"","parse-names":false,"suffix":""},{"dropping-particle":"","family":"Gabriel","given":"Stacey","non-dropping-particle":"","parse-names":false,"suffix":""},{"dropping-particle":"","family":"Gentry","given":"Jeff","non-dropping-particle":"","parse-names":false,"suffix":""},{"dropping-particle":"","family":"Gupta","given":"Namrata","non-dropping-particle":"","parse-names":false,"suffix":""},{"dropping-particle":"","family":"Jeandet","given":"Thibault","non-dropping-particle":"","parse-names":false,"suffix":""},{"dropping-particle":"","family":"Kaplan","given":"Diane","non-dropping-particle":"","parse-names":false,"suffix":""},{"dropping-particle":"","family":"Llanwarne","given":"Christopher","non-dropping-particle":"","parse-names":false,"suffix":""},{"dropping-particle":"","family":"Munshi","given":"Ruchi","non-dropping-particle":"","parse-names":false,"suffix":""},{"dropping-particle":"","family":"Novod","given":"Sam","non-dropping-particle":"","parse-names":false,"suffix":""},{"dropping-particle":"","family":"Petrillo","given":"Nikelle","non-dropping-particle":"","parse-names":false,"suffix":""},{"dropping-particle":"","family":"Roazen","given":"David","non-dropping-particle":"","parse-names":false,"suffix":""},{"dropping-particle":"","family":"Ruano-Rubio","given":"Valentin","non-dropping-particle":"","parse-names":false,"suffix":""},{"dropping-particle":"","family":"Saltzman","given":"Andrea","non-dropping-particle":"","parse-names":false,"suffix":""},{"dropping-particle":"","family":"Schleicher","given":"Molly","non-dropping-particle":"","parse-names":false,"suffix":""},{"dropping-particle":"","family":"Soto","given":"Jose","non-dropping-particle":"","parse-names":false,"suffix":""},{"dropping-particle":"","family":"Tibbetts","given":"Kathleen","non-dropping-particle":"","parse-names":false,"suffix":""},{"dropping-particle":"","family":"Tolonen","given":"Charlotte","non-dropping-particle":"","parse-names":false,"suffix":""},{"dropping-particle":"","family":"Wade","given":"Gordon","non-dropping-particle":"","parse-names":false,"suffix":""},{"dropping-particle":"","family":"Talkowski","given":"Michael E","non-dropping-particle":"","parse-names":false,"suffix":""},{"dropping-particle":"","family":"Aguilar Salinas","given":"Carlos A","non-dropping-particle":"","parse-names":false,"suffix":""},{"dropping-particle":"","family":"Ahmad","given":"Tariq","non-dropping-particle":"","parse-names":false,"suffix":""},{"dropping-particle":"","family":"Albert","given":"Christine M","non-dropping-particle":"","parse-names":false,"suffix":""},{"dropping-particle":"","family":"Ardissino","given":"Diego","non-dropping-particle":"","parse-names":false,"suffix":""},{"dropping-particle":"","family":"Atzmon","given":"Gil","non-dropping-particle":"","parse-names":false,"suffix":""},{"dropping-particle":"","family":"Barnard","given":"John","non-dropping-particle":"","parse-names":false,"suffix":""},{"dropping-particle":"","family":"Beaugerie","given":"Laurent","non-dropping-particle":"","parse-names":false,"suffix":""},{"dropping-particle":"","family":"Benjamin","given":"Emelia J","non-dropping-particle":"","parse-names":false,"suffix":""},{"dropping-particle":"","family":"Boehnke","given":"Michael","non-dropping-particle":"","parse-names":false,"suffix":""},{"dropping-particle":"","family":"Bonnycastle","given":"Lori L","non-dropping-particle":"","parse-names":false,"suffix":""},{"dropping-particle":"","family":"Bottinger","given":"Erwin P","non-dropping-particle":"","parse-names":false,"suffix":""},{"dropping-particle":"","family":"Bowden","given":"Donald W","non-dropping-particle":"","parse-names":false,"suffix":""},{"dropping-particle":"","family":"Bown","given":"Matthew J","non-dropping-particle":"","parse-names":false,"suffix":""},{"dropping-particle":"","family":"Chambers","given":"John C","non-dropping-particle":"","parse-names":false,"suffix":""},{"dropping-particle":"","family":"Chan","given":"Juliana C","non-dropping-particle":"","parse-names":false,"suffix":""},{"dropping-particle":"","family":"Chasman","given":"Daniel","non-dropping-particle":"","parse-names":false,"suffix":""},{"dropping-particle":"","family":"Cho","given":"Judy","non-dropping-particle":"","parse-names":false,"suffix":""},{"dropping-particle":"","family":"Chung","given":"Mina K","non-dropping-particle":"","parse-names":false,"suffix":""},{"dropping-particle":"","family":"Cohen","given":"Bruce","non-dropping-particle":"","parse-names":false,"suffix":""},{"dropping-particle":"","family":"Correa","given":"Adolfo","non-dropping-particle":"","parse-names":false,"suffix":""},{"dropping-particle":"","family":"Dabelea","given":"Dana","non-dropping-particle":"","parse-names":false,"suffix":""},{"dropping-particle":"","family":"Daly","given":"Mark J","non-dropping-particle":"","parse-names":false,"suffix":""},{"dropping-particle":"","family":"Darbar","given":"Dawood","non-dropping-particle":"","parse-names":false,"suffix":""},{"dropping-particle":"","family":"Duggirala","given":"Ravindranath","non-dropping-particle":"","parse-names":false,"suffix":""},{"dropping-particle":"","family":"Dupuis","given":"Josée","non-dropping-particle":"","parse-names":false,"suffix":""},{"dropping-particle":"","family":"Ellinor","given":"Patrick T","non-dropping-particle":"","parse-names":false,"suffix":""},{"dropping-particle":"","family":"Elosua","given":"Roberto","non-dropping-particle":"","parse-names":false,"suffix":""},{"dropping-particle":"","family":"Erdmann","given":"Jeanette","non-dropping-particle":"","parse-names":false,"suffix":""},{"dropping-particle":"","family":"Esko","given":"Tõnu","non-dropping-particle":"","parse-names":false,"suffix":""},{"dropping-particle":"","family":"Färkkilä","given":"Martti","non-dropping-particle":"","parse-names":false,"suffix":""},{"dropping-particle":"","family":"Florez","given":"Jose","non-dropping-particle":"","parse-names":false,"suffix":""},{"dropping-particle":"","family":"Franke","given":"Andre","non-dropping-particle":"","parse-names":false,"suffix":""},{"dropping-particle":"","family":"Getz","given":"Gad","non-dropping-particle":"","parse-names":false,"suffix":""},{"dropping-particle":"","family":"Glaser","given":"Benjamin","non-dropping-particle":"","parse-names":false,"suffix":""},{"dropping-particle":"","family":"Glatt","given":"Stephen J","non-dropping-particle":"","parse-names":false,"suffix":""},{"dropping-particle":"","family":"Goldstein","given":"David","non-dropping-particle":"","parse-names":false,"suffix":""},{"dropping-particle":"","family":"Gonzalez","given":"Clicerio","non-dropping-particle":"","parse-names":false,"suffix":""},{"dropping-particle":"","family":"Groop","given":"Leif","non-dropping-particle":"","parse-names":false,"suffix":""},{"dropping-particle":"","family":"Haiman","given":"Christopher","non-dropping-particle":"","parse-names":false,"suffix":""},{"dropping-particle":"","family":"Hanis","given":"Craig","non-dropping-particle":"","parse-names":false,"suffix":""},{"dropping-particle":"","family":"Harms","given":"Matthew","non-dropping-particle":"","parse-names":false,"suffix":""},{"dropping-particle":"","family":"Hiltunen","given":"Mikko","non-dropping-particle":"","parse-names":false,"suffix":""},{"dropping-particle":"","family":"Holi","given":"Matti M","non-dropping-particle":"","parse-names":false,"suffix":""},{"dropping-particle":"","family":"Hultman","given":"Christina M","non-dropping-particle":"","parse-names":false,"suffix":""},{"dropping-particle":"","family":"Kallela","given":"Mikko","non-dropping-particle":"","parse-names":false,"suffix":""},{"dropping-particle":"","family":"Kaprio","given":"Jaakko","non-dropping-particle":"","parse-names":false,"suffix":""},{"dropping-particle":"","family":"Kathiresan","given":"Sekar","non-dropping-particle":"","parse-names":false,"suffix":""},{"dropping-particle":"","family":"Kim","given":"Bong-Jo","non-dropping-particle":"","parse-names":false,"suffix":""},{"dropping-particle":"","family":"Kim","given":"Young Jin","non-dropping-particle":"","parse-names":false,"suffix":""},{"dropping-particle":"","family":"Kirov","given":"George","non-dropping-particle":"","parse-names":false,"suffix":""},{"dropping-particle":"","family":"Kooner","given":"Jaspal","non-dropping-particle":"","parse-names":false,"suffix":""},{"dropping-particle":"","family":"Koskinen","given":"Seppo","non-dropping-particle":"","parse-names":false,"suffix":""},{"dropping-particle":"","family":"Krumholz","given":"Harlan M","non-dropping-particle":"","parse-names":false,"suffix":""},{"dropping-particle":"","family":"Kugathasan","given":"Subra","non-dropping-particle":"","parse-names":false,"suffix":""},{"dropping-particle":"","family":"Kwak","given":"Soo Heon","non-dropping-particle":"","parse-names":false,"suffix":""},{"dropping-particle":"","family":"Laakso","given":"Markku","non-dropping-particle":"","parse-names":false,"suffix":""},{"dropping-particle":"","family":"Lehtimäki","given":"Terho","non-dropping-particle":"","parse-names":false,"suffix":""},{"dropping-particle":"","family":"Loos","given":"Ruth J F","non-dropping-particle":"","parse-names":false,"suffix":""},{"dropping-particle":"","family":"Lubitz","given":"Steven A","non-dropping-particle":"","parse-names":false,"suffix":""},{"dropping-particle":"","family":"Ma","given":"Ronald C W","non-dropping-particle":"","parse-names":false,"suffix":""},{"dropping-particle":"","family":"MacArthur","given":"Daniel G","non-dropping-particle":"","parse-names":false,"suffix":""},{"dropping-particle":"","family":"Marrugat","given":"Jaume","non-dropping-particle":"","parse-names":false,"suffix":""},{"dropping-particle":"","family":"Mattila","given":"Kari M","non-dropping-particle":"","parse-names":false,"suffix":""},{"dropping-particle":"","family":"McCarroll","given":"Steven","non-dropping-particle":"","parse-names":false,"suffix":""},{"dropping-particle":"","family":"McCarthy","given":"Mark I","non-dropping-particle":"","parse-names":false,"suffix":""},{"dropping-particle":"","family":"McGovern","given":"Dermot","non-dropping-particle":"","parse-names":false,"suffix":""},{"dropping-particle":"","family":"McPherson","given":"Ruth","non-dropping-particle":"","parse-names":false,"suffix":""},{"dropping-particle":"","family":"Meigs","given":"James B","non-dropping-particle":"","parse-names":false,"suffix":""},{"dropping-particle":"","family":"Melander","given":"Olle","non-dropping-particle":"","parse-names":false,"suffix":""},{"dropping-particle":"","family":"Metspalu","given":"Andres","non-dropping-particle":"","parse-names":false,"suffix":""},{"dropping-particle":"","family":"Neale","given":"Benjamin M","non-dropping-particle":"","parse-names":false,"suffix":""},{"dropping-particle":"","family":"Nilsson","given":"Peter M","non-dropping-particle":"","parse-names":false,"suffix":""},{"dropping-particle":"","family":"O’Donovan","given":"Michael C","non-dropping-particle":"","parse-names":false,"suffix":""},{"dropping-particle":"","family":"Ongur","given":"Dost","non-dropping-particle":"","parse-names":false,"suffix":""},{"dropping-particle":"","family":"Orozco","given":"Lorena","non-dropping-particle":"","parse-names":false,"suffix":""},{"dropping-particle":"","family":"Owen","given":"Michael J","non-dropping-particle":"","parse-names":false,"suffix":""},{"dropping-particle":"","family":"Palmer","given":"Colin N A","non-dropping-particle":"","parse-names":false,"suffix":""},{"dropping-particle":"","family":"Palotie","given":"Aarno","non-dropping-particle":"","parse-names":false,"suffix":""},{"dropping-particle":"","family":"Park","given":"Kyong Soo","non-dropping-particle":"","parse-names":false,"suffix":""},{"dropping-particle":"","family":"Pato","given":"Carlos","non-dropping-particle":"","parse-names":false,"suffix":""},{"dropping-particle":"","family":"Pulver","given":"Ann E","non-dropping-particle":"","parse-names":false,"suffix":""},{"dropping-particle":"","family":"Rahman","given":"Nazneen","non-dropping-particle":"","parse-names":false,"suffix":""},{"dropping-particle":"","family":"Remes","given":"Anne M","non-dropping-particle":"","parse-names":false,"suffix":""},{"dropping-particle":"","family":"Rioux","given":"John D","non-dropping-particle":"","parse-names":false,"suffix":""},{"dropping-particle":"","family":"Ripatti","given":"Samuli","non-dropping-particle":"","parse-names":false,"suffix":""},{"dropping-particle":"","family":"Roden","given":"Dan M","non-dropping-particle":"","parse-names":false,"suffix":""},{"dropping-particle":"","family":"Saleheen","given":"Danish","non-dropping-particle":"","parse-names":false,"suffix":""},{"dropping-particle":"","family":"Salomaa","given":"Veikko","non-dropping-particle":"","parse-names":false,"suffix":""},{"dropping-particle":"","family":"Samani","given":"Nilesh J","non-dropping-particle":"","parse-names":false,"suffix":""},{"dropping-particle":"","family":"Scharf","given":"Jeremiah","non-dropping-particle":"","parse-names":false,"suffix":""},{"dropping-particle":"","family":"Schunkert","given":"Heribert","non-dropping-particle":"","parse-names":false,"suffix":""},{"dropping-particle":"","family":"Shoemaker","given":"Moore B","non-dropping-particle":"","parse-names":false,"suffix":""},{"dropping-particle":"","family":"Sklar","given":"Pamela","non-dropping-particle":"","parse-names":false,"suffix":""},{"dropping-particle":"","family":"Soininen","given":"Hilkka","non-dropping-particle":"","parse-names":false,"suffix":""},{"dropping-particle":"","family":"Sokol","given":"Harry","non-dropping-particle":"","parse-names":false,"suffix":""},{"dropping-particle":"","family":"Spector","given":"Tim","non-dropping-particle":"","parse-names":false,"suffix":""},{"dropping-particle":"","family":"Sullivan","given":"Patrick F","non-dropping-particle":"","parse-names":false,"suffix":""},{"dropping-particle":"","family":"Suvisaari","given":"Jaana","non-dropping-particle":"","parse-names":false,"suffix":""},{"dropping-particle":"","family":"Tai","given":"E Shyong","non-dropping-particle":"","parse-names":false,"suffix":""},{"dropping-particle":"","family":"Teo","given":"Yik Ying","non-dropping-particle":"","parse-names":false,"suffix":""},{"dropping-particle":"","family":"Tiinamaija","given":"Tuomi","non-dropping-particle":"","parse-names":false,"suffix":""},{"dropping-particle":"","family":"Tsuang","given":"Ming","non-dropping-particle":"","parse-names":false,"suffix":""},{"dropping-particle":"","family":"Turner","given":"Dan","non-dropping-particle":"","parse-names":false,"suffix":""},{"dropping-particle":"","family":"Tusie-Luna","given":"Teresa","non-dropping-particle":"","parse-names":false,"suffix":""},{"dropping-particle":"","family":"Vartiainen","given":"Erkki","non-dropping-particle":"","parse-names":false,"suffix":""},{"dropping-particle":"","family":"Vawter","given":"Marquis P","non-dropping-particle":"","parse-names":false,"suffix":""},{"dropping-particle":"","family":"Ware","given":"James S","non-dropping-particle":"","parse-names":false,"suffix":""},{"dropping-particle":"","family":"Watkins","given":"Hugh","non-dropping-particle":"","parse-names":false,"suffix":""},{"dropping-particle":"","family":"Weersma","given":"Rinse K","non-dropping-particle":"","parse-names":false,"suffix":""},{"dropping-particle":"","family":"Wessman","given":"Maija","non-dropping-particle":"","parse-names":false,"suffix":""},{"dropping-particle":"","family":"Wilson","given":"James G","non-dropping-particle":"","parse-names":false,"suffix":""},{"dropping-particle":"","family":"Xavier","given":"Ramnik J","non-dropping-particle":"","parse-names":false,"suffix":""},{"dropping-particle":"","family":"Neale","given":"Benjamin M","non-dropping-particle":"","parse-names":false,"suffix":""},{"dropping-particle":"","family":"Daly","given":"Mark J","non-dropping-particle":"","parse-names":false,"suffix":""},{"dropping-particle":"","family":"MacArthur","given":"Daniel G","non-dropping-particle":"","parse-names":false,"suffix":""},{"dropping-particle":"","family":"Consortium","given":"Genome Aggregation Database","non-dropping-particle":"","parse-names":false,"suffix":""}],"container-title":"Nature","id":"ITEM-2","issue":"7809","issued":{"date-parts":[["2020"]]},"page":"434-443","title":"The mutational constraint spectrum quantified from variation in 141,456 humans","type":"article-journal","volume":"581"}}],"schema":"https://github.com/citation-style-language/schema/raw/master/csl-citation.json"} </w:instrText>
      </w:r>
      <w:r w:rsidRPr="00E71097">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(5,6)</w:t>
      </w:r>
      <w:r w:rsidRPr="00E71097">
        <w:rPr>
          <w:rFonts w:ascii="Calibri" w:eastAsia="SimSun" w:hAnsi="Calibri" w:cs="Times New Roman"/>
          <w:sz w:val="22"/>
          <w:szCs w:val="22"/>
          <w:lang w:val="en-US" w:eastAsia="zh-CN" w:bidi="ar"/>
        </w:rPr>
        <w:fldChar w:fldCharType="end"/>
      </w:r>
      <w:r w:rsidRPr="00E71097">
        <w:rPr>
          <w:rFonts w:ascii="Calibri" w:eastAsia="SimSun" w:hAnsi="Calibri" w:cs="Times New Roman"/>
          <w:sz w:val="22"/>
          <w:szCs w:val="22"/>
          <w:lang w:val="en-US" w:eastAsia="zh-CN" w:bidi="ar"/>
        </w:rPr>
        <w:t xml:space="preserve">. Variants were classified into five categories according to </w:t>
      </w:r>
      <w:r w:rsidRPr="00E71097">
        <w:rPr>
          <w:rStyle w:val="Strong"/>
          <w:rFonts w:ascii="Calibri" w:eastAsia="SimSun" w:hAnsi="Calibri" w:cs="Times New Roman"/>
          <w:b w:val="0"/>
          <w:bCs w:val="0"/>
          <w:sz w:val="22"/>
          <w:szCs w:val="22"/>
          <w:lang w:val="en-US" w:eastAsia="zh-CN" w:bidi="ar"/>
        </w:rPr>
        <w:t>ACMG-AMP (RRID: SCR_005769) guidelines</w:t>
      </w:r>
      <w:r w:rsidRPr="00E71097">
        <w:rPr>
          <w:rFonts w:ascii="Calibri" w:eastAsia="SimSun" w:hAnsi="Calibri" w:cs="Times New Roman"/>
          <w:sz w:val="22"/>
          <w:szCs w:val="22"/>
          <w:lang w:val="en-US" w:eastAsia="zh-CN" w:bidi="ar"/>
        </w:rPr>
        <w:t xml:space="preserve"> </w:t>
      </w:r>
      <w:r w:rsidRPr="00E71097">
        <w:rPr>
          <w:rFonts w:ascii="Calibri" w:eastAsia="SimSun" w:hAnsi="Calibri" w:cs="Times New Roman"/>
          <w:sz w:val="22"/>
          <w:szCs w:val="22"/>
          <w:lang w:val="en-US" w:eastAsia="zh-CN" w:bidi="ar"/>
        </w:rPr>
        <w:fldChar w:fldCharType="begin" w:fldLock="1"/>
      </w:r>
      <w:r w:rsidR="00E632E8">
        <w:rPr>
          <w:rFonts w:ascii="Calibri" w:eastAsia="SimSun" w:hAnsi="Calibri" w:cs="Times New Roman"/>
          <w:sz w:val="22"/>
          <w:szCs w:val="22"/>
          <w:lang w:val="en-US" w:eastAsia="zh-CN" w:bidi="ar"/>
        </w:rPr>
        <w:instrText xml:space="preserve"> ADDIN ZOTERO_ITEM CSL_CITATION {"citationID":"Clq1ZjqH","properties":{"formattedCitation":"(7)","plainCitation":"(7)","noteIndex":0},"citationItems":[{"id":"lU5A22Of/IHL9i9xu","uris":["http://www.mendeley.com/documents/?uuid=4b433611-0a57-40ba-ae27-d9aab2b2de42"],"itemData":{"DOI":"10.1038/gim.2015.30","ISSN":"1098-3600","author":[{"dropping-particle":"","family":"Richards","given":"Sue","non-dropping-particle":"","parse-names":false,"suffix":""},{"dropping-particle":"","family":"Aziz","given":"Nazneen","non-dropping-particle":"","parse-names":false,"suffix":""},{"dropping-particle":"","family":"Bale","given":"Sherri","non-dropping-particle":"","parse-names":false,"suffix":""},{"dropping-particle":"","family":"Bick","given":"David","non-dropping-particle":"","parse-names":false,"suffix":""},{"dropping-particle":"","family":"Das","given":"Soma","non-dropping-particle":"","parse-names":false,"suffix":""},{"dropping-particle":"","family":"Gastier-Foster","given":"Julie","non-dropping-particle":"","parse-names":false,"suffix":""},{"dropping-particle":"","family":"Grody","given":"Wayne W","non-dropping-particle":"","parse-names":false,"suffix":""},{"dropping-particle":"","family":"Hegde","given":"Madhuri","non-dropping-particle":"","parse-names":false,"suffix":""},{"dropping-particle":"","family":"Lyon","given":"Elaine","non-dropping-particle":"","parse-names":false,"suffix":""},{"dropping-particle":"","family":"Spector","given":"Elaine","non-dropping-particle":"","parse-names":false,"suffix":""},{"dropping-particle":"","family":"Voelkerding","given":"Karl","non-dropping-particle":"","parse-names":false,"suffix":""},{"dropping-particle":"","family":"Rehm","given":"Heidi L","non-dropping-particle":"","parse-names":false,"suffix":""}],"container-title":"Genetics in Medicine","id":"ITEM-1","issue":"5","issued":{"date-parts":[["2015","5","1"]]},"note":"doi: 10.1038/gim.2015.30","page":"405-424","publisher":"Elsevier","title":"Standards and guidelines for the interpretation of sequence variants: a joint consensus recommendation of the American College of Medical Genetics and Genomics and the Association for Molecular Pathology","type":"article-journal","volume":"17"}}],"schema":"https://github.com/citation-style-language/schema/raw/master/csl-citation.json"} </w:instrText>
      </w:r>
      <w:r w:rsidRPr="00E71097">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(7)</w:t>
      </w:r>
      <w:r w:rsidRPr="00E71097">
        <w:rPr>
          <w:rFonts w:ascii="Calibri" w:eastAsia="SimSun" w:hAnsi="Calibri" w:cs="Times New Roman"/>
          <w:sz w:val="22"/>
          <w:szCs w:val="22"/>
          <w:lang w:val="en-US" w:eastAsia="zh-CN" w:bidi="ar"/>
        </w:rPr>
        <w:fldChar w:fldCharType="end"/>
      </w:r>
      <w:r w:rsidRPr="00E71097">
        <w:rPr>
          <w:rFonts w:ascii="Calibri" w:eastAsia="SimSun" w:hAnsi="Calibri" w:cs="Times New Roman"/>
          <w:sz w:val="22"/>
          <w:szCs w:val="22"/>
          <w:lang w:val="en-US" w:eastAsia="zh-CN" w:bidi="ar"/>
        </w:rPr>
        <w:t>: benign, likely benign, VUS, likely pathogenic, and pathogenic. Manual curation was performed for variants</w:t>
      </w:r>
      <w:r>
        <w:rPr>
          <w:rFonts w:ascii="Calibri" w:eastAsia="SimSun" w:hAnsi="Calibri" w:cs="Times New Roman"/>
          <w:sz w:val="22"/>
          <w:szCs w:val="22"/>
          <w:lang w:val="en-US" w:eastAsia="zh-CN" w:bidi="ar"/>
        </w:rPr>
        <w:t xml:space="preserve"> with VAFs &lt;0.5% as low-frequency mutations were reliably detected during assay validation.</w:t>
      </w:r>
    </w:p>
    <w:p w14:paraId="6E52B5E7" w14:textId="77777777" w:rsidR="00684FE4" w:rsidRDefault="00684FE4" w:rsidP="005A6760">
      <w:pPr>
        <w:pStyle w:val="NormalWeb"/>
        <w:spacing w:after="60" w:line="360" w:lineRule="auto"/>
        <w:jc w:val="both"/>
        <w:rPr>
          <w:sz w:val="22"/>
          <w:szCs w:val="22"/>
          <w:lang w:val="en-US"/>
        </w:rPr>
      </w:pPr>
    </w:p>
    <w:p w14:paraId="6525EF7A" w14:textId="77777777" w:rsidR="00045D2C" w:rsidRPr="00322A14" w:rsidRDefault="00000000" w:rsidP="005A6760">
      <w:pPr>
        <w:pStyle w:val="Heading2"/>
        <w:spacing w:line="360" w:lineRule="auto"/>
      </w:pPr>
      <w:bookmarkStart w:id="5" w:name="_Toc212073429"/>
      <w:r w:rsidRPr="00322A14">
        <w:rPr>
          <w:lang w:bidi="ar"/>
        </w:rPr>
        <w:t>Co-occurrence analysis</w:t>
      </w:r>
      <w:bookmarkEnd w:id="5"/>
    </w:p>
    <w:p w14:paraId="7B60FD79" w14:textId="5C53234C" w:rsidR="00045D2C" w:rsidRDefault="00000000" w:rsidP="005A6760">
      <w:pPr>
        <w:pStyle w:val="NormalWeb"/>
        <w:spacing w:after="60" w:line="360" w:lineRule="auto"/>
        <w:jc w:val="both"/>
        <w:rPr>
          <w:rFonts w:ascii="Calibri" w:eastAsia="SimSun" w:hAnsi="Calibri" w:cs="Times New Roman"/>
          <w:sz w:val="22"/>
          <w:szCs w:val="22"/>
          <w:lang w:val="en-US" w:eastAsia="zh-CN" w:bidi="ar"/>
        </w:rPr>
      </w:pPr>
      <w:r>
        <w:rPr>
          <w:rFonts w:ascii="Calibri" w:eastAsia="SimSun" w:hAnsi="Calibri" w:cs="Times New Roman"/>
          <w:sz w:val="22"/>
          <w:szCs w:val="22"/>
          <w:lang w:val="en-US" w:eastAsia="zh-CN" w:bidi="ar"/>
        </w:rPr>
        <w:t xml:space="preserve">The calculation of expected co-occurrence is based on the assumption that two alterations occur independently. For each alteration A, the probability P(A) was calculated by dividing the number of patients with the alteration by the total number of patients. The expected number of co-occurrences between alterations A and B is the product of their individual probabilities multiplied by the Total Number of Patients expected to co-occur (A, B) = P(A) × P(B) × Total Number of Patients </w:t>
      </w:r>
      <w:r>
        <w:rPr>
          <w:rFonts w:ascii="Calibri" w:eastAsia="SimSun" w:hAnsi="Calibri" w:cs="Times New Roman"/>
          <w:sz w:val="22"/>
          <w:szCs w:val="22"/>
          <w:lang w:val="en-US" w:eastAsia="zh-CN" w:bidi="ar"/>
        </w:rPr>
        <w:fldChar w:fldCharType="begin"/>
      </w:r>
      <w:r w:rsidR="00E71097">
        <w:rPr>
          <w:rFonts w:ascii="Calibri" w:eastAsia="SimSun" w:hAnsi="Calibri" w:cs="Times New Roman"/>
          <w:sz w:val="22"/>
          <w:szCs w:val="22"/>
          <w:lang w:val="en-US" w:eastAsia="zh-CN" w:bidi="ar"/>
        </w:rPr>
        <w:instrText xml:space="preserve"> ADDIN ZOTERO_ITEM CSL_CITATION {"citationID":"XcOF7Rrr","properties":{"formattedCitation":"(8)","plainCitation":"(8)","noteIndex":0},"citationItems":[{"id":497,"uris":["http://zotero.org/users/15533866/items/GNM22HQG"],"itemData":{"id":497,"type":"book","ISBN":"978-0-12-407948-9","language":"en","note":"DOI: 10.1016/C2012-0-03564-8","publisher":"Elsevier","source":"https://doi.org/10.1016/C2012-0-03564-8","title":"Introduction to Probability Models","author":[{"family":"Sheldon M.","given":"Ross"}],"issued":{"date-parts":[["2014"]]}}}],"schema":"https://github.com/citation-style-language/schema/raw/master/csl-citation.json"} </w:instrText>
      </w:r>
      <w:r>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(8)</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w:t>
      </w:r>
    </w:p>
    <w:p w14:paraId="40A3C187" w14:textId="77777777" w:rsidR="005A6760" w:rsidRDefault="005A6760" w:rsidP="005A6760">
      <w:pPr>
        <w:pStyle w:val="NormalWeb"/>
        <w:spacing w:after="60" w:line="360" w:lineRule="auto"/>
        <w:jc w:val="both"/>
        <w:rPr>
          <w:sz w:val="22"/>
          <w:szCs w:val="22"/>
          <w:lang w:val="en-US"/>
        </w:rPr>
      </w:pPr>
    </w:p>
    <w:p w14:paraId="52E90936" w14:textId="77777777" w:rsidR="00045D2C" w:rsidRPr="00322A14" w:rsidRDefault="00000000" w:rsidP="005A6760">
      <w:pPr>
        <w:pStyle w:val="Heading2"/>
        <w:spacing w:line="360" w:lineRule="auto"/>
      </w:pPr>
      <w:bookmarkStart w:id="6" w:name="_Toc212073430"/>
      <w:r w:rsidRPr="00322A14">
        <w:t>WES library preparation and sequencing</w:t>
      </w:r>
      <w:bookmarkEnd w:id="6"/>
    </w:p>
    <w:p w14:paraId="51133901" w14:textId="77777777" w:rsidR="00045D2C" w:rsidRDefault="00000000" w:rsidP="005A6760">
      <w:pPr>
        <w:pStyle w:val="NormalWeb"/>
        <w:spacing w:after="60" w:line="360" w:lineRule="auto"/>
        <w:jc w:val="both"/>
        <w:rPr>
          <w:sz w:val="22"/>
          <w:szCs w:val="22"/>
          <w:lang w:val="en-US"/>
        </w:rPr>
      </w:pPr>
      <w:r>
        <w:rPr>
          <w:rFonts w:ascii="Calibri" w:eastAsia="SimSun" w:hAnsi="Calibri" w:cs="Times New Roman"/>
          <w:sz w:val="22"/>
          <w:szCs w:val="22"/>
          <w:lang w:val="en-US" w:eastAsia="zh-CN" w:bidi="ar"/>
        </w:rPr>
        <w:t>Whole-exome sequencing was performed on 21 cfDNA tumor samples and matched germline DNA from peripheral blood using a tumor-normal design.</w:t>
      </w:r>
      <w:r>
        <w:rPr>
          <w:rFonts w:ascii="Calibri" w:eastAsia="Calibri" w:hAnsi="Calibri" w:cs="Times New Roman"/>
          <w:b/>
          <w:bCs/>
          <w:sz w:val="22"/>
          <w:szCs w:val="22"/>
          <w:lang w:val="en-US" w:eastAsia="zh-CN" w:bidi="ar"/>
        </w:rPr>
        <w:t xml:space="preserve"> </w:t>
      </w:r>
      <w:r>
        <w:rPr>
          <w:rFonts w:ascii="Calibri" w:eastAsia="SimSun" w:hAnsi="Calibri" w:cs="Times New Roman"/>
          <w:sz w:val="22"/>
          <w:szCs w:val="22"/>
          <w:lang w:val="en-US" w:eastAsia="zh-CN" w:bidi="ar"/>
        </w:rPr>
        <w:t xml:space="preserve">For each tumor sample, 20 ng of cfDNA was used as input for library preparation using the Illumina DNA Prep with Exome 2.5 Enrichment kit, which includes the Twist Exome 2.5 panel. Germline libraries were prepared using Twist Human Exome 2.0. Libraries were quantified using the Qubit™ dsDNA HS Assay and </w:t>
      </w:r>
      <w:proofErr w:type="spellStart"/>
      <w:r>
        <w:rPr>
          <w:rFonts w:ascii="Calibri" w:eastAsia="SimSun" w:hAnsi="Calibri" w:cs="Times New Roman"/>
          <w:sz w:val="22"/>
          <w:szCs w:val="22"/>
          <w:lang w:val="en-US" w:eastAsia="zh-CN" w:bidi="ar"/>
        </w:rPr>
        <w:t>StepOne</w:t>
      </w:r>
      <w:proofErr w:type="spellEnd"/>
      <w:r>
        <w:rPr>
          <w:rFonts w:ascii="Calibri" w:eastAsia="SimSun" w:hAnsi="Calibri" w:cs="Times New Roman"/>
          <w:sz w:val="22"/>
          <w:szCs w:val="22"/>
          <w:lang w:val="en-US" w:eastAsia="zh-CN" w:bidi="ar"/>
        </w:rPr>
        <w:t xml:space="preserve"> qPCR (RRID: SCR_023455), and fragment sizes were assessed using Agilent 7500 kits. Plasma libraries were sequenced in three </w:t>
      </w:r>
      <w:proofErr w:type="spellStart"/>
      <w:r>
        <w:rPr>
          <w:rFonts w:ascii="Calibri" w:eastAsia="SimSun" w:hAnsi="Calibri" w:cs="Times New Roman"/>
          <w:sz w:val="22"/>
          <w:szCs w:val="22"/>
          <w:lang w:val="en-US" w:eastAsia="zh-CN" w:bidi="ar"/>
        </w:rPr>
        <w:lastRenderedPageBreak/>
        <w:t>NovaSeq</w:t>
      </w:r>
      <w:proofErr w:type="spellEnd"/>
      <w:r>
        <w:rPr>
          <w:rFonts w:ascii="Calibri" w:eastAsia="SimSun" w:hAnsi="Calibri" w:cs="Times New Roman"/>
          <w:sz w:val="22"/>
          <w:szCs w:val="22"/>
          <w:lang w:val="en-US" w:eastAsia="zh-CN" w:bidi="ar"/>
        </w:rPr>
        <w:t xml:space="preserve"> 6000 S4 flow cells (eight samples per flow cell), while germline samples were sequenced on a single S1 flow cell. All sequencing was performed in 2×150 bp paired-end mode. The average coverage for the tumor libraries exceeded 1500×, and the two reference standards used had &gt;1600× coverage. The germline coverage ranged from 28× to 288× (mean: 150×, median: 178×).</w:t>
      </w:r>
    </w:p>
    <w:p w14:paraId="697EB3C7" w14:textId="77777777" w:rsidR="00045D2C" w:rsidRDefault="00000000" w:rsidP="005A6760">
      <w:pPr>
        <w:pStyle w:val="NormalWeb"/>
        <w:spacing w:after="60" w:line="360" w:lineRule="auto"/>
        <w:jc w:val="both"/>
        <w:rPr>
          <w:rFonts w:ascii="Calibri" w:eastAsia="SimSun" w:hAnsi="Calibri" w:cs="Times New Roman"/>
          <w:b/>
          <w:bCs/>
          <w:lang w:val="en-US" w:eastAsia="zh-CN" w:bidi="ar"/>
        </w:rPr>
      </w:pPr>
      <w:r>
        <w:rPr>
          <w:rFonts w:ascii="Calibri" w:eastAsia="SimSun" w:hAnsi="Calibri" w:cs="Times New Roman"/>
          <w:sz w:val="22"/>
          <w:szCs w:val="22"/>
          <w:lang w:val="en-US" w:eastAsia="zh-CN" w:bidi="ar"/>
        </w:rPr>
        <w:t xml:space="preserve">Variant calling sensitivity was evaluated using the Twist cfDNA Pan-Cancer Reference Standard, v2. Of the 151 expected clinically relevant mutations, 100% of the 5% VAF variants and 94.7% of the 1% VAF variants were detected </w:t>
      </w:r>
      <w:r w:rsidRPr="005A6760">
        <w:rPr>
          <w:rFonts w:ascii="Calibri" w:eastAsia="SimSun" w:hAnsi="Calibri" w:cs="Times New Roman"/>
          <w:b/>
          <w:bCs/>
          <w:sz w:val="22"/>
          <w:szCs w:val="22"/>
          <w:lang w:val="en-US" w:eastAsia="zh-CN" w:bidi="ar"/>
        </w:rPr>
        <w:t>(</w:t>
      </w:r>
      <w:r w:rsidRPr="005A6760">
        <w:rPr>
          <w:rFonts w:ascii="Calibri" w:eastAsia="SimSun" w:hAnsi="Calibri" w:cs="Times New Roman"/>
          <w:b/>
          <w:bCs/>
          <w:i/>
          <w:sz w:val="22"/>
          <w:szCs w:val="22"/>
          <w:lang w:val="en-US" w:eastAsia="zh-CN" w:bidi="ar"/>
        </w:rPr>
        <w:t>Supplementary Figure 8</w:t>
      </w:r>
      <w:r w:rsidRPr="005A6760">
        <w:rPr>
          <w:rFonts w:ascii="Calibri" w:eastAsia="SimSun" w:hAnsi="Calibri" w:cs="Times New Roman"/>
          <w:b/>
          <w:bCs/>
          <w:sz w:val="22"/>
          <w:szCs w:val="22"/>
          <w:lang w:val="en-US" w:eastAsia="zh-CN" w:bidi="ar"/>
        </w:rPr>
        <w:t>).</w:t>
      </w:r>
    </w:p>
    <w:p w14:paraId="062BC667" w14:textId="77777777" w:rsidR="005A6760" w:rsidRDefault="005A6760" w:rsidP="005A6760">
      <w:pPr>
        <w:pStyle w:val="NormalWeb"/>
        <w:spacing w:after="60" w:line="360" w:lineRule="auto"/>
        <w:jc w:val="both"/>
        <w:rPr>
          <w:sz w:val="22"/>
          <w:szCs w:val="22"/>
          <w:lang w:val="en-US"/>
        </w:rPr>
      </w:pPr>
    </w:p>
    <w:p w14:paraId="3CC3C005" w14:textId="77777777" w:rsidR="00045D2C" w:rsidRPr="00322A14" w:rsidRDefault="00000000" w:rsidP="005A6760">
      <w:pPr>
        <w:pStyle w:val="Heading2"/>
        <w:spacing w:line="360" w:lineRule="auto"/>
      </w:pPr>
      <w:bookmarkStart w:id="7" w:name="_Toc212073431"/>
      <w:r w:rsidRPr="00322A14">
        <w:rPr>
          <w:lang w:bidi="ar"/>
        </w:rPr>
        <w:t>Mutational signature analysis</w:t>
      </w:r>
      <w:bookmarkEnd w:id="7"/>
    </w:p>
    <w:p w14:paraId="3CAA5AC8" w14:textId="14E05DD8" w:rsidR="00045D2C" w:rsidRDefault="00000000" w:rsidP="005A6760">
      <w:pPr>
        <w:pStyle w:val="NormalWeb"/>
        <w:spacing w:after="60" w:line="360" w:lineRule="auto"/>
        <w:jc w:val="both"/>
        <w:rPr>
          <w:rFonts w:ascii="Calibri" w:eastAsia="SimSun" w:hAnsi="Calibri" w:cs="Times New Roman"/>
          <w:sz w:val="22"/>
          <w:szCs w:val="22"/>
          <w:lang w:val="en-US" w:eastAsia="zh-CN" w:bidi="ar"/>
        </w:rPr>
      </w:pPr>
      <w:r>
        <w:rPr>
          <w:rFonts w:ascii="Calibri" w:eastAsia="SimSun" w:hAnsi="Calibri" w:cs="Times New Roman"/>
          <w:sz w:val="22"/>
          <w:szCs w:val="22"/>
          <w:lang w:val="en-US" w:eastAsia="zh-CN" w:bidi="ar"/>
        </w:rPr>
        <w:t xml:space="preserve">Mutational signatures for SBS, DBS, and ID were called using the </w:t>
      </w:r>
      <w:proofErr w:type="spellStart"/>
      <w:r>
        <w:rPr>
          <w:rFonts w:ascii="Calibri" w:eastAsia="SimSun" w:hAnsi="Calibri" w:cs="Times New Roman"/>
          <w:sz w:val="22"/>
          <w:szCs w:val="22"/>
          <w:lang w:val="en-US" w:eastAsia="zh-CN" w:bidi="ar"/>
        </w:rPr>
        <w:t>MutationalPatterns</w:t>
      </w:r>
      <w:proofErr w:type="spellEnd"/>
      <w:r>
        <w:rPr>
          <w:rFonts w:ascii="Calibri" w:eastAsia="SimSun" w:hAnsi="Calibri" w:cs="Times New Roman"/>
          <w:sz w:val="22"/>
          <w:szCs w:val="22"/>
          <w:lang w:val="en-US" w:eastAsia="zh-CN" w:bidi="ar"/>
        </w:rPr>
        <w:t xml:space="preserve"> (RRID: SCR_024247) package with the strict refit method, utilizing COSMIC (RRID: SCR_002260, v3.4) for signature refitting </w:t>
      </w:r>
      <w:r>
        <w:rPr>
          <w:rFonts w:ascii="Calibri" w:eastAsia="SimSun" w:hAnsi="Calibri" w:cs="Times New Roman"/>
          <w:sz w:val="22"/>
          <w:szCs w:val="22"/>
          <w:lang w:val="en-US" w:eastAsia="zh-CN" w:bidi="ar"/>
        </w:rPr>
        <w:fldChar w:fldCharType="begin"/>
      </w:r>
      <w:r w:rsidR="00E71097">
        <w:rPr>
          <w:rFonts w:ascii="Calibri" w:eastAsia="SimSun" w:hAnsi="Calibri" w:cs="Times New Roman"/>
          <w:sz w:val="22"/>
          <w:szCs w:val="22"/>
          <w:lang w:val="en-US" w:eastAsia="zh-CN" w:bidi="ar"/>
        </w:rPr>
        <w:instrText xml:space="preserve"> ADDIN ZOTERO_ITEM CSL_CITATION {"citationID":"udUq2xZ9","properties":{"formattedCitation":"(9,10)","plainCitation":"(9,10)","noteIndex":0},"citationItems":[{"id":490,"uris":["http://zotero.org/users/15533866/items/7CCBFEP7"],"itemData":{"id":490,"type":"article-journal","abstract":"BACKGROUND: Base substitution catalogues represent historical records of mutational processes that have been active in a cell. Such processes can be distinguished by various characteristics, like mutation type, sequence context, transcriptional and replicative strand bias, genomic distribution and association with (epi)-genomic features.\nRESULTS: We have created MutationalPatterns, an R/Bioconductor package that allows researchers to characterize a broad range of patterns in base substitution catalogues to dissect the underlying molecular mechanisms. Furthermore, it offers an efficient method to quantify the contribution of known mutational signatures within single samples. This analysis can be used to determine whether certain DNA repair mechanisms are perturbed and to further characterize the processes underlying known mutational signatures.\nCONCLUSIONS: MutationalPatterns allows for easy characterization and visualization of mutational patterns. These analyses willsupport fundamental research into mutational mechanisms and may ultimately improve cancer diagnosis and treatment strategies. MutationalPatterns is freely available at http://bioconductor.org/packages/MutationalPatterns .","container-title":"Genome Medicine","DOI":"10.1186/s13073-018-0539-0","ISSN":"1756-994X","issue":"1","journalAbbreviation":"Genome Med","language":"eng","note":"PMID: 29695279\nPMCID: PMC5922316","page":"33","source":"PubMed","title":"MutationalPatterns: comprehensive genome-wide analysis of mutational processes","title-short":"MutationalPatterns","volume":"10","author":[{"family":"Blokzijl","given":"Francis"},{"family":"Janssen","given":"Roel"},{"family":"Boxtel","given":"Ruben","non-dropping-particle":"van"},{"family":"Cuppen","given":"Edwin"}],"issued":{"date-parts":[["2018",4,25]]}}},{"id":61,"uris":["http://zotero.org/users/15533866/items/MV7BKGBU"],"itemData":{"id":61,"type":"article-journal","abstract":"Somatic mutations in cancer genomes are caused by multiple mutational processes, each of which generates a characteristic mutational signature1. Here, as part of the Pan-Cancer Analysis of Whole Genomes (PCAWG) Consortium2 of the International Cancer Genome Consortium (ICGC) and The Cancer Genome Atlas (TCGA), we characterized mutational signatures using 84,729,690 somatic mutations from 4,645 whole-genome and 19,184 exome sequences that encompass most types of cancer. We identified 49 single-base-substitution, 11 doublet-base-substitution, 4 clustered-base-substitution and 17 small insertion-and-deletion signatures. The substantial size of our dataset, compared with previous analyses3–15, enabled the discovery of new signatures, the separation of overlapping signatures and the decomposition of signatures into components that may represent associated—but distinct—DNA damage, repair and/or replication mechanisms. By estimating the contribution of each signature to the mutational catalogues of individual cancer genomes, we revealed associations of signatures to exogenous or endogenous exposures, as well as to defective DNA-maintenance processes. However, many signatures are of unknown cause. This analysis provides a systematic perspective on the repertoire of mutational processes that contribute to the development of human cancer.","container-title":"Nature","DOI":"10.1038/s41586-020-1943-3","ISSN":"1476-4687","issue":"7793","journalAbbreviation":"Nature","page":"94-101","title":"The repertoire of mutational signatures in human cancer","volume":"578","author":[{"family":"Alexandrov","given":"Ludmil B."},{"family":"Kim","given":"Jaegil"},{"family":"Haradhvala","given":"Nicholas J."},{"family":"Huang","given":"Mi Ni"},{"family":"Tian Ng","given":"Alvin Wei"},{"family":"Wu","given":"Yang"},{"family":"Boot","given":"Arnoud"},{"family":"Covington","given":"Kyle R."},{"family":"Gordenin","given":"Dmitry A."},{"family":"Bergstrom","given":"Erik N."},{"family":"Islam","given":"S. M. Ashiqul"},{"family":"Lopez-Bigas","given":"Nuria"},{"family":"Klimczak","given":"Leszek J."},{"family":"McPherson","given":"John R."},{"family":"Morganella","given":"Sandro"},{"family":"Sabarinathan","given":"Radhakrishnan"},{"family":"Wheeler","given":"David A."},{"family":"Mustonen","given":"Ville"},{"family":"Alexandrov","given":"Ludmil B."},{"family":"Bergstrom","given":"Erik N."},{"family":"Boot","given":"Arnoud"},{"family":"Boutros","given":"Paul"},{"family":"Chan","given":"Kin"},{"family":"Covington","given":"Kyle R."},{"family":"Fujimoto","given":"Akihiro"},{"family":"Getz","given":"Gad"},{"family":"Gordenin","given":"Dmitry A."},{"family":"Haradhvala","given":"Nicholas J."},{"family":"Huang","given":"Mi Ni"},{"family":"Islam","given":"S. M. Ashiqul"},{"family":"Kazanov","given":"Marat"},{"family":"Kim","given":"Jaegil"},{"family":"Klimczak","given":"Leszek J."},{"family":"Lopez-Bigas","given":"Nuria"},{"family":"Lawrence","given":"Michael"},{"family":"Martincorena","given":"Iñigo"},{"family":"McPherson","given":"John R."},{"family":"Morganella","given":"Sandro"},{"family":"Mustonen","given":"Ville"},{"family":"Nakagawa","given":"Hidewaki"},{"family":"Tian Ng","given":"Alvin Wei"},{"family":"Polak","given":"Paz"},{"family":"Prokopec","given":"Stephenie"},{"family":"Roberts","given":"Steven A."},{"family":"Rozen","given":"Steven G."},{"family":"Sabarinathan","given":"Radhakrishnan"},{"family":"Saini","given":"Natalie"},{"family":"Shibata","given":"Tatsuhiro"},{"family":"Shiraishi","given":"Yuichi"},{"family":"Stratton","given":"Michael R."},{"family":"Teh","given":"Bin Tean"},{"family":"Vázquez-García","given":"Ignacio"},{"family":"Wheeler","given":"David A."},{"family":"Wu","given":"Yang"},{"family":"Yousif","given":"Fouad"},{"family":"Yu","given":"Willie"},{"family":"Getz","given":"Gad"},{"family":"Rozen","given":"Steven G."},{"family":"Stratton","given":"Michael R."},{"family":"Aaltonen","given":"Lauri A."},{"family":"Abascal","given":"Federico"},{"family":"Abeshouse","given":"Adam"},{"family":"Aburatani","given":"Hiroyuki"},{"family":"Adams","given":"David J."},{"family":"Agrawal","given":"Nishant"},{"family":"Ahn","given":"Keun Soo"},{"family":"Ahn","given":"Sung-Min"},{"family":"Aikata","given":"Hiroshi"},{"family":"Akbani","given":"Rehan"},{"family":"Akdemir","given":"Kadir C."},{"family":"Al-Ahmadie","given":"Hikmat"},{"family":"Al-Sedairy","given":"Sultan T."},{"family":"Al-Shahrour","given":"Fatima"},{"family":"Alawi","given":"Malik"},{"family":"Albert","given":"Monique"},{"family":"Aldape","given":"Kenneth"},{"family":"Alexandrov","given":"Ludmil B."},{"family":"Ally","given":"Adrian"},{"family":"Alsop","given":"Kathryn"},{"family":"Alvarez","given":"Eva G."},{"family":"Amary","given":"Fernanda"},{"family":"Amin","given":"Samirkumar B."},{"family":"Aminou","given":"Brice"},{"family":"Ammerpohl","given":"Ole"},{"family":"Anderson","given":"Matthew J."},{"family":"Ang","given":"Yeng"},{"family":"Antonello","given":"Davide"},{"family":"Anur","given":"Pavana"},{"family":"Aparicio","given":"Samuel"},{"family":"Appelbaum","given":"Elizabeth L."},{"family":"Arai","given":"Yasuhito"},{"family":"Aretz","given":"Axel"},{"family":"Arihiro","given":"Koji"},{"family":"Ariizumi","given":"Shun-ichi"},{"family":"Armenia","given":"Joshua"},{"family":"Arnould","given":"Laurent"},{"family":"Asa","given":"Sylvia"},{"family":"Assenov","given":"Yassen"},{"family":"Atwal","given":"Gurnit"},{"family":"Aukema","given":"Sietse"},{"family":"Auman","given":"J. Todd"},{"family":"Aure","given":"Miriam R. R."},{"family":"Awadalla","given":"Philip"},{"family":"Aymerich","given":"Marta"},{"family":"Bader","given":"Gary D."},{"family":"Baez-Ortega","given":"Adrian"},{"family":"Bailey","given":"Matthew H."},{"family":"Bailey","given":"Peter J."},{"family":"Balasundaram","given":"Miruna"},{"family":"Balu","given":"Saianand"},{"family":"Bandopadhayay","given":"Pratiti"},{"family":"Banks","given":"Rosamonde E."},{"family":"Barbi","given":"Stefano"},{"family":"Barbour","given":"Andrew P."},{"family":"Barenboim","given":"Jonathan"},{"family":"Barnholtz-Sloan","given":"Jill"},{"family":"Barr","given":"Hugh"},{"family":"Barrera","given":"Elisabet"},{"family":"Bartlett","given":"John"},{"family":"Bartolome","given":"Javier"},{"family":"Bassi","given":"Claudio"},{"family":"Bathe","given":"Oliver F."},{"family":"Baumhoer","given":"Daniel"},{"family":"Bavi","given":"Prashant"},{"family":"Baylin","given":"Stephen B."},{"family":"Bazant","given":"Wojciech"},{"family":"Beardsmore","given":"Duncan"},{"family":"Beck","given":"Timothy A."},{"family":"Behjati","given":"Sam"},{"family":"Behren","given":"Andreas"},{"family":"Niu","given":"Beifang"},{"family":"Bell","given":"Cindy"},{"family":"Beltran","given":"Sergi"},{"family":"Benz","given":"Christopher"},{"family":"Berchuck","given":"Andrew"},{"family":"Bergmann","given":"Anke K."},{"family":"Bergstrom","given":"Erik N."},{"family":"Berman","given":"Benjamin P."},{"family":"Berney","given":"Daniel M."},{"family":"Bernhart","given":"Stephan H."},{"family":"Beroukhim","given":"Rameen"},{"family":"Berrios","given":"Mario"},{"family":"Bersani","given":"Samantha"},{"family":"Bertl","given":"Johanna"},{"family":"Betancourt","given":"Miguel"},{"family":"Bhandari","given":"Vinayak"},{"family":"Bhosle","given":"Shriram G."},{"family":"Biankin","given":"Andrew V."},{"family":"Bieg","given":"Matthias"},{"family":"Bigner","given":"Darell"},{"family":"Binder","given":"Hans"},{"family":"Birney","given":"Ewan"},{"family":"Birrer","given":"Michael"},{"family":"Biswas","given":"Nidhan K."},{"family":"Bjerkehagen","given":"Bodil"},{"family":"Bodenheimer","given":"Tom"},{"family":"Boice","given":"Lori"},{"family":"Bonizzato","given":"Giada"},{"family":"De Bono","given":"Johann S."},{"family":"Boot","given":"Arnoud"},{"family":"Bootwalla","given":"Moiz S."},{"family":"Borg","given":"Ake"},{"family":"Borkhardt","given":"Arndt"},{"family":"Boroevich","given":"Keith A."},{"family":"Borozan","given":"Ivan"},{"family":"Borst","given":"Christoph"},{"family":"Bosenberg","given":"Marcus"},{"family":"Bosio","given":"Mattia"},{"family":"Boultwood","given":"Jacqueline"},{"family":"Bourque","given":"Guillaume"},{"family":"Boutros","given":"Paul C."},{"family":"Bova","given":"G. Steven"},{"family":"Bowen","given":"David T."},{"family":"Bowlby","given":"Reanne"},{"family":"Bowtell","given":"David D. L."},{"family":"Boyault","given":"Sandrine"},{"family":"Boyce","given":"Rich"},{"family":"Boyd","given":"Jeffrey"},{"family":"Brazma","given":"Alvis"},{"family":"Brennan","given":"Paul"},{"family":"Brewer","given":"Daniel S."},{"family":"Brinkman","given":"Arie B."},{"family":"Bristow","given":"Robert G."},{"family":"Broaddus","given":"Russell R."},{"family":"Brock","given":"Jane E."},{"family":"Brock","given":"Malcolm"},{"family":"Broeks","given":"Annegien"},{"family":"Brooks","given":"Angela N."},{"family":"Brooks","given":"Denise"},{"family":"Brors","given":"Benedikt"},{"family":"Brunak","given":"Søren"},{"family":"Bruxner","given":"Timothy J. C."},{"family":"Bruzos","given":"Alicia L."},{"family":"Buchanan","given":"Alex"},{"family":"Buchhalter","given":"Ivo"},{"family":"Buchholz","given":"Christiane"},{"family":"Bullman","given":"Susan"},{"family":"Burke","given":"Hazel"},{"family":"Burkhardt","given":"Birgit"},{"family":"Burns","given":"Kathleen H."},{"family":"Busanovich","given":"John"},{"family":"Bustamante","given":"Carlos D."},{"family":"Butler","given":"Adam P."},{"family":"Butte","given":"Atul J."},{"family":"Byrne","given":"Niall J."},{"family":"Børresen-Dale","given":"Anne-Lise"},{"family":"Caesar-Johnson","given":"Samantha J."},{"family":"Cafferkey","given":"Andy"},{"family":"Cahill","given":"Declan"},{"family":"Calabrese","given":"Claudia"},{"family":"Caldas","given":"Carlos"},{"family":"Calvo","given":"Fabien"},{"family":"Camacho","given":"Niedzica"},{"family":"Campbell","given":"Peter J."},{"family":"Campo","given":"Elias"},{"family":"Cantù","given":"Cinzia"},{"family":"Cao","given":"Shaolong"},{"family":"Carey","given":"Thomas E."},{"family":"Carlevaro-Fita","given":"Joana"},{"family":"Carlsen","given":"Rebecca"},{"family":"Cataldo","given":"Ivana"},{"family":"Cazzola","given":"Mario"},{"family":"Cebon","given":"Jonathan"},{"family":"Cerfolio","given":"Robert"},{"family":"Chadwick","given":"Dianne E."},{"family":"Chakravarty","given":"Dimple"},{"family":"Chalmers","given":"Don"},{"family":"Chan","given":"Calvin Wing Yiu"},{"family":"Chan","given":"Kin"},{"family":"Chan-Seng-Yue","given":"Michelle"},{"family":"Chandan","given":"Vishal S."},{"family":"Chang","given":"David K."},{"family":"Chanock","given":"Stephen J."},{"family":"Chantrill","given":"Lorraine A."},{"family":"Chateigner","given":"Aurélien"},{"family":"Chatterjee","given":"Nilanjan"},{"family":"Chayama","given":"Kazuaki"},{"family":"Chen","given":"Hsiao-Wei"},{"family":"Chen","given":"Jieming"},{"family":"Chen","given":"Ken"},{"family":"Chen","given":"Yiwen"},{"family":"Chen","given":"Zhaohong"},{"family":"Cherniack","given":"Andrew D."},{"family":"Chien","given":"Jeremy"},{"family":"Chiew","given":"Yoke-Eng"},{"family":"Chin","given":"Suet-Feung"},{"family":"Cho","given":"Juok"},{"family":"Cho","given":"Sunghoon"},{"family":"Choi","given":"Jung Kyoon"},{"family":"Choi","given":"Wan"},{"family":"Chomienne","given":"Christine"},{"family":"Chong","given":"Zechen"},{"family":"Choo","given":"Su Pin"},{"family":"Chou","given":"Angela"},{"family":"Christ","given":"Angelika N."},{"family":"Christie","given":"Elizabeth L."},{"family":"Chuah","given":"Eric"},{"family":"Cibulskis","given":"Carrie"},{"family":"Cibulskis","given":"Kristian"},{"family":"Cingarlini","given":"Sara"},{"family":"Clapham","given":"Peter"},{"family":"Claviez","given":"Alexander"},{"family":"Cleary","given":"Sean"},{"family":"Cloonan","given":"Nicole"},{"family":"Cmero","given":"Marek"},{"family":"Collins","given":"Colin C."},{"family":"Connor","given":"Ashton A."},{"family":"Cooke","given":"Susanna L."},{"family":"Cooper","given":"Colin S."},{"family":"Cope","given":"Leslie"},{"family":"Corbo","given":"Vincenzo"},{"family":"Cordes","given":"Matthew G."},{"family":"Cordner","given":"Stephen M."},{"family":"Cortés-Ciriano","given":"Isidro"},{"family":"Covington","given":"Kyle"},{"family":"Cowin","given":"Prue A."},{"family":"Craft","given":"Brian"},{"family":"Craft","given":"David"},{"family":"Creighton","given":"Chad J."},{"family":"Cun","given":"Yupeng"},{"family":"Curley","given":"Erin"},{"family":"Cutcutache","given":"Ioana"},{"family":"Czajka","given":"Karolina"},{"family":"Czerniak","given":"Bogdan"},{"family":"Dagg","given":"Rebecca A."},{"family":"Danilova","given":"Ludmila"},{"family":"Davi","given":"Maria Vittoria"},{"family":"Davidson","given":"Natalie R."},{"family":"Davies","given":"Helen"},{"family":"Davis","given":"Ian J."},{"family":"Davis-Dusenbery","given":"Brandi N."},{"family":"Dawson","given":"Kevin J."},{"family":"De La Vega","given":"Francisco M."},{"family":"De Paoli-Iseppi","given":"Ricardo"},{"family":"Defreitas","given":"Timothy"},{"family":"Tos","given":"Angelo P. Dei"},{"family":"Delaneau","given":"Olivier"},{"family":"Demchok","given":"John A."},{"literal":"PCAWG Mutational Signatures Working Group"},{"literal":"PCAWG Consortium"}],"issued":{"date-parts":[["2020",2,1]]}}}],"schema":"https://github.com/citation-style-language/schema/raw/master/csl-citation.json"} </w:instrText>
      </w:r>
      <w:r>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(9,10)</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Alignment of FASTQ files was performed with BWA-MEM2 (RRID: SCR_022192, v0.7.9a-r786)</w:t>
      </w:r>
      <w:r w:rsidR="00517F08">
        <w:rPr>
          <w:rFonts w:ascii="Calibri" w:eastAsia="SimSun" w:hAnsi="Calibri" w:cs="Times New Roman"/>
          <w:sz w:val="22"/>
          <w:szCs w:val="22"/>
          <w:lang w:val="en-US" w:eastAsia="zh-CN" w:bidi="ar"/>
        </w:rPr>
        <w:t xml:space="preserve"> </w:t>
      </w:r>
      <w:r w:rsidR="00517F08">
        <w:rPr>
          <w:rFonts w:ascii="Calibri" w:eastAsia="SimSun" w:hAnsi="Calibri" w:cs="Times New Roman"/>
          <w:sz w:val="22"/>
          <w:szCs w:val="22"/>
          <w:lang w:val="en-US" w:eastAsia="zh-CN" w:bidi="ar"/>
        </w:rPr>
        <w:fldChar w:fldCharType="begin"/>
      </w:r>
      <w:r w:rsidR="00517F08">
        <w:rPr>
          <w:rFonts w:ascii="Calibri" w:eastAsia="SimSun" w:hAnsi="Calibri" w:cs="Times New Roman"/>
          <w:sz w:val="22"/>
          <w:szCs w:val="22"/>
          <w:lang w:val="en-US" w:eastAsia="zh-CN" w:bidi="ar"/>
        </w:rPr>
        <w:instrText xml:space="preserve"> ADDIN ZOTERO_ITEM CSL_CITATION {"citationID":"rxGUWyg7","properties":{"formattedCitation":"(3)","plainCitation":"(3)","noteIndex":0},"citationItems":[{"id":658,"uris":["http://zotero.org/users/15533866/items/9SJ2V6RN"],"itemData":{"id":658,"type":"article","abstract":"Innovations in Next-Generation Sequencing are enabling generation of DNA sequence data at ever faster rates and at very low cost. Large sequencing centers typically employ hundreds of such systems. Such high-throughput and low-cost generation of data underscores the need for commensurate acceleration in downstream computational analysis of the sequencing data. A fundamental step in downstream analysis is mapping of the reads to a long reference DNA sequence, such as a reference human genome. Sequence mapping is a compute-intensive step that accounts for more than 30% of the overall time of the GATK workflow. BWA-MEM is one of the most widely used tools for sequence mapping and has tens of thousands of users. In this work, we focus on accelerating BWA-MEM through an efficient architecture aware implementation, while maintaining identical output. The volume of data requires distributed computing environment, usually deploying multicore processors. Since the application can be easily parallelized for distributed memory systems, we focus on performance improvements on a single socket multicore processor. BWA-MEM run time is dominated by three kernels, collectively responsible for more than 85% of the overall compute time. We improved the performance of these kernels by 1) improving cache reuse, 2) simplifying the algorithms, 3) replacing small fragmented memory allocations with a few large contiguous ones, 4) software prefetching, and 5) SIMD utilization wherever applicable - and massive reorganization of the source code enabling these improvements. As a result, we achieved nearly 2x, 183x, and 8x speedups on the three kernels, respectively, resulting in up to 3.5x and 2.4x speedups on end-to-end compute time over the original BWA-MEM on single thread and single socket of Intel Xeon Skylake processor. To the best of our knowledge, this is the highest reported speedup over BWA-MEM.","DOI":"10.48550/ARXIV.1907.12931","license":"Creative Commons Attribution Non Commercial Share Alike 4.0 International","note":"version: 1","publisher":"arXiv","source":"DOI.org (Datacite)","title":"Efficient Architecture-Aware Acceleration of BWA-MEM for Multicore Systems","URL":"https://arxiv.org/abs/1907.12931","author":[{"family":"Md","given":"Vasimuddin"},{"family":"Misra","given":"Sanchit"},{"family":"Li","given":"Heng"},{"family":"Aluru","given":"Srinivas"}],"accessed":{"date-parts":[["2025",10,24]]},"issued":{"date-parts":[["2019"]]}}}],"schema":"https://github.com/citation-style-language/schema/raw/master/csl-citation.json"} </w:instrText>
      </w:r>
      <w:r w:rsidR="00517F08">
        <w:rPr>
          <w:rFonts w:ascii="Calibri" w:eastAsia="SimSun" w:hAnsi="Calibri" w:cs="Times New Roman"/>
          <w:sz w:val="22"/>
          <w:szCs w:val="22"/>
          <w:lang w:val="en-US" w:eastAsia="zh-CN" w:bidi="ar"/>
        </w:rPr>
        <w:fldChar w:fldCharType="separate"/>
      </w:r>
      <w:r w:rsidR="00517F08" w:rsidRPr="00517F08">
        <w:rPr>
          <w:rFonts w:ascii="Calibri" w:hAnsi="Calibri" w:cs="Calibri"/>
          <w:sz w:val="22"/>
          <w:lang w:val="en-US"/>
        </w:rPr>
        <w:t>(3)</w:t>
      </w:r>
      <w:r w:rsidR="00517F08">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on the hg38 reference genome, and variants were called using Mutect2 (RRID: SCR_026692), following GATK (RRID: SCR_001876) best practices. CN signatures were called using </w:t>
      </w:r>
      <w:proofErr w:type="spellStart"/>
      <w:r>
        <w:rPr>
          <w:rFonts w:ascii="Calibri" w:eastAsia="SimSun" w:hAnsi="Calibri" w:cs="Times New Roman"/>
          <w:sz w:val="22"/>
          <w:szCs w:val="22"/>
          <w:lang w:val="en-US" w:eastAsia="zh-CN" w:bidi="ar"/>
        </w:rPr>
        <w:t>SigProfilerExtractor</w:t>
      </w:r>
      <w:proofErr w:type="spellEnd"/>
      <w:r>
        <w:rPr>
          <w:rFonts w:ascii="Calibri" w:eastAsia="SimSun" w:hAnsi="Calibri" w:cs="Times New Roman"/>
          <w:sz w:val="22"/>
          <w:szCs w:val="22"/>
          <w:lang w:val="en-US" w:eastAsia="zh-CN" w:bidi="ar"/>
        </w:rPr>
        <w:t xml:space="preserve"> with the VCF files generated from variant calling and allele-specific copy number alterations identified using </w:t>
      </w:r>
      <w:proofErr w:type="spellStart"/>
      <w:r>
        <w:rPr>
          <w:rFonts w:ascii="Calibri" w:eastAsia="SimSun" w:hAnsi="Calibri" w:cs="Times New Roman"/>
          <w:sz w:val="22"/>
          <w:szCs w:val="22"/>
          <w:lang w:val="en-US" w:eastAsia="zh-CN" w:bidi="ar"/>
        </w:rPr>
        <w:t>Sequenza</w:t>
      </w:r>
      <w:proofErr w:type="spellEnd"/>
      <w:r>
        <w:rPr>
          <w:rFonts w:ascii="Calibri" w:eastAsia="SimSun" w:hAnsi="Calibri" w:cs="Times New Roman"/>
          <w:sz w:val="22"/>
          <w:szCs w:val="22"/>
          <w:lang w:val="en-US" w:eastAsia="zh-CN" w:bidi="ar"/>
        </w:rPr>
        <w:t xml:space="preserve"> (RRID: SCR_016662) </w:t>
      </w:r>
      <w:r>
        <w:rPr>
          <w:rFonts w:ascii="Calibri" w:eastAsia="SimSun" w:hAnsi="Calibri" w:cs="Times New Roman"/>
          <w:sz w:val="22"/>
          <w:szCs w:val="22"/>
          <w:lang w:val="en-US" w:eastAsia="zh-CN" w:bidi="ar"/>
        </w:rPr>
        <w:fldChar w:fldCharType="begin"/>
      </w:r>
      <w:r w:rsidR="00E71097">
        <w:rPr>
          <w:rFonts w:ascii="Calibri" w:eastAsia="SimSun" w:hAnsi="Calibri" w:cs="Times New Roman"/>
          <w:sz w:val="22"/>
          <w:szCs w:val="22"/>
          <w:lang w:val="en-US" w:eastAsia="zh-CN" w:bidi="ar"/>
        </w:rPr>
        <w:instrText xml:space="preserve"> ADDIN ZOTERO_ITEM CSL_CITATION {"citationID":"rGRusGr2","properties":{"formattedCitation":"(11)","plainCitation":"(11)","noteIndex":0},"citationItems":[{"id":493,"uris":["http://zotero.org/users/15533866/items/VTWLSR5F"],"itemData":{"id":493,"type":"article-journal","container-title":"Annals of Oncology","DOI":"10.1093/annonc/mdu479","ISSN":"09237534","issue":"1","journalAbbreviation":"Annals of Oncology","language":"en","license":"https://www.elsevier.com/tdm/userlicense/1.0/","page":"64-70","source":"DOI.org (Crossref)","title":"Sequenza: allele-specific copy number and mutation profiles from tumor sequencing data","title-short":"Sequenza","volume":"26","author":[{"family":"Favero","given":"F."},{"family":"Joshi","given":"T."},{"family":"Marquard","given":"A.M."},{"family":"Birkbak","given":"N.J."},{"family":"Krzystanek","given":"M."},{"family":"Li","given":"Q."},{"family":"Szallasi","given":"Z."},{"family":"Eklund","given":"A.C."}],"issued":{"date-parts":[["2015",1]]}}}],"schema":"https://github.com/citation-style-language/schema/raw/master/csl-citation.json"} </w:instrText>
      </w:r>
      <w:r>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(11)</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Data normality was assessed using the Shapiro-Wilk test. </w:t>
      </w:r>
      <w:r w:rsidR="00F20B57">
        <w:rPr>
          <w:rFonts w:ascii="Calibri" w:eastAsia="SimSun" w:hAnsi="Calibri" w:cs="Times New Roman"/>
          <w:sz w:val="22"/>
          <w:szCs w:val="22"/>
          <w:lang w:val="en-US" w:eastAsia="zh-CN" w:bidi="ar"/>
        </w:rPr>
        <w:t xml:space="preserve">Two-sided </w:t>
      </w:r>
      <w:r>
        <w:rPr>
          <w:rFonts w:ascii="Calibri" w:eastAsia="SimSun" w:hAnsi="Calibri" w:cs="Times New Roman"/>
          <w:sz w:val="22"/>
          <w:szCs w:val="22"/>
          <w:lang w:val="en-US" w:eastAsia="zh-CN" w:bidi="ar"/>
        </w:rPr>
        <w:t xml:space="preserve">Analysis of variance (ANOVA) and </w:t>
      </w:r>
      <w:r w:rsidR="00F20B57">
        <w:rPr>
          <w:rFonts w:ascii="Calibri" w:eastAsia="SimSun" w:hAnsi="Calibri" w:cs="Times New Roman"/>
          <w:sz w:val="22"/>
          <w:szCs w:val="22"/>
          <w:lang w:val="en-US" w:eastAsia="zh-CN" w:bidi="ar"/>
        </w:rPr>
        <w:t xml:space="preserve">two-sided </w:t>
      </w:r>
      <w:r>
        <w:rPr>
          <w:rFonts w:ascii="Calibri" w:eastAsia="SimSun" w:hAnsi="Calibri" w:cs="Times New Roman"/>
          <w:sz w:val="22"/>
          <w:szCs w:val="22"/>
          <w:lang w:val="en-US" w:eastAsia="zh-CN" w:bidi="ar"/>
        </w:rPr>
        <w:t xml:space="preserve">Mann-Whitney U tests were used to compare signature contributions across groups. Statistical significance was defined as p&lt;0.05, and analysis was performed using </w:t>
      </w:r>
      <w:r w:rsidR="003146B9">
        <w:rPr>
          <w:rFonts w:ascii="Calibri" w:eastAsia="SimSun" w:hAnsi="Calibri" w:cs="Times New Roman"/>
          <w:sz w:val="22"/>
          <w:szCs w:val="22"/>
          <w:lang w:val="en-US" w:eastAsia="zh-CN" w:bidi="ar"/>
        </w:rPr>
        <w:t>P</w:t>
      </w:r>
      <w:r>
        <w:rPr>
          <w:rFonts w:ascii="Calibri" w:eastAsia="SimSun" w:hAnsi="Calibri" w:cs="Times New Roman"/>
          <w:sz w:val="22"/>
          <w:szCs w:val="22"/>
          <w:lang w:val="en-US" w:eastAsia="zh-CN" w:bidi="ar"/>
        </w:rPr>
        <w:t>ython (RRID: SCR_008394, 3.11.7)</w:t>
      </w:r>
    </w:p>
    <w:p w14:paraId="616F9008" w14:textId="77777777" w:rsidR="005A6760" w:rsidRDefault="005A6760" w:rsidP="005A6760">
      <w:pPr>
        <w:pStyle w:val="NormalWeb"/>
        <w:spacing w:after="60" w:line="360" w:lineRule="auto"/>
        <w:jc w:val="both"/>
        <w:rPr>
          <w:sz w:val="22"/>
          <w:szCs w:val="22"/>
          <w:lang w:val="en-US"/>
        </w:rPr>
      </w:pPr>
    </w:p>
    <w:p w14:paraId="6E6971C3" w14:textId="77777777" w:rsidR="00045D2C" w:rsidRPr="00322A14" w:rsidRDefault="00000000" w:rsidP="005A6760">
      <w:pPr>
        <w:pStyle w:val="Heading2"/>
        <w:spacing w:line="360" w:lineRule="auto"/>
      </w:pPr>
      <w:bookmarkStart w:id="8" w:name="_Toc212073432"/>
      <w:r w:rsidRPr="00322A14">
        <w:t>Whole genome sequencing</w:t>
      </w:r>
      <w:bookmarkEnd w:id="8"/>
    </w:p>
    <w:p w14:paraId="5E3E2E23" w14:textId="0CCED5D9" w:rsidR="00045D2C" w:rsidRDefault="00000000" w:rsidP="005A6760">
      <w:pPr>
        <w:pStyle w:val="NormalWeb"/>
        <w:spacing w:after="60" w:line="360" w:lineRule="auto"/>
        <w:jc w:val="both"/>
        <w:rPr>
          <w:sz w:val="22"/>
          <w:szCs w:val="22"/>
          <w:lang w:val="en-US"/>
        </w:rPr>
      </w:pPr>
      <w:r>
        <w:rPr>
          <w:rFonts w:ascii="Calibri" w:eastAsia="SimSun" w:hAnsi="Calibri" w:cs="Times New Roman"/>
          <w:sz w:val="22"/>
          <w:szCs w:val="22"/>
          <w:lang w:val="en-US" w:eastAsia="zh-CN" w:bidi="ar"/>
        </w:rPr>
        <w:t xml:space="preserve">WGS libraries were prepared from 10 ng of cfDNA using the </w:t>
      </w:r>
      <w:proofErr w:type="spellStart"/>
      <w:r>
        <w:rPr>
          <w:rFonts w:ascii="Calibri" w:eastAsia="SimSun" w:hAnsi="Calibri" w:cs="Times New Roman"/>
          <w:sz w:val="22"/>
          <w:szCs w:val="22"/>
          <w:lang w:val="en-US" w:eastAsia="zh-CN" w:bidi="ar"/>
        </w:rPr>
        <w:t>TruSeq</w:t>
      </w:r>
      <w:proofErr w:type="spellEnd"/>
      <w:r>
        <w:rPr>
          <w:rFonts w:ascii="Calibri" w:eastAsia="SimSun" w:hAnsi="Calibri" w:cs="Times New Roman"/>
          <w:sz w:val="22"/>
          <w:szCs w:val="22"/>
          <w:lang w:val="en-US" w:eastAsia="zh-CN" w:bidi="ar"/>
        </w:rPr>
        <w:t xml:space="preserve"> DNA Nano Sample Preparation Kit (Illumina, San Diego, CA, USA) as described previously </w:t>
      </w:r>
      <w:r>
        <w:rPr>
          <w:rFonts w:ascii="Calibri" w:eastAsia="SimSun" w:hAnsi="Calibri" w:cs="Times New Roman"/>
          <w:sz w:val="22"/>
          <w:szCs w:val="22"/>
          <w:lang w:val="en-US" w:eastAsia="zh-CN" w:bidi="ar"/>
        </w:rPr>
        <w:fldChar w:fldCharType="begin" w:fldLock="1"/>
      </w:r>
      <w:r w:rsidR="00E632E8">
        <w:rPr>
          <w:rFonts w:ascii="Calibri" w:eastAsia="SimSun" w:hAnsi="Calibri" w:cs="Times New Roman"/>
          <w:sz w:val="22"/>
          <w:szCs w:val="22"/>
          <w:lang w:val="en-US" w:eastAsia="zh-CN" w:bidi="ar"/>
        </w:rPr>
        <w:instrText xml:space="preserve"> ADDIN ZOTERO_ITEM CSL_CITATION {"citationID":"fDE4Th1y","properties":{"formattedCitation":"(12)","plainCitation":"(12)","noteIndex":0},"citationItems":[{"id":"lU5A22Of/wm63mARS","uris":["http://www.mendeley.com/documents/?uuid=32a95723-5205-4d2e-a1eb-4c514640caf7"],"itemData":{"DOI":"10.1186/gm434","ISSN":"1756-994X","abstract":"Patients with prostate cancer may present with metastatic or recurrent disease despite initial curative treatment. The propensity of metastatic prostate cancer to spread to the bone has limited repeated sampling of tumor deposits. Hence, considerably less is understood about this lethal metastatic disease, as it is not commonly studied. Here we explored whole-genome sequencing of plasma DNA to scan the tumor genomes of these patients non-invasively.","author":[{"dropping-particle":"","family":"Heitzer","given":"Ellen","non-dropping-particle":"","parse-names":false,"suffix":""},{"dropping-particle":"","family":"Ulz","given":"Peter","non-dropping-particle":"","parse-names":false,"suffix":""},{"dropping-particle":"","family":"Belic","given":"Jelena","non-dropping-particle":"","parse-names":false,"suffix":""},{"dropping-particle":"","family":"Gutschi","given":"Stefan","non-dropping-particle":"","parse-names":false,"suffix":""},{"dropping-particle":"","family":"Quehenberger","given":"Franz","non-dropping-particle":"","parse-names":false,"suffix":""},{"dropping-particle":"","family":"Fischereder","given":"Katja","non-dropping-particle":"","parse-names":false,"suffix":""},{"dropping-particle":"","family":"Benezeder","given":"Theresa","non-dropping-particle":"","parse-names":false,"suffix":""},{"dropping-particle":"","family":"Auer","given":"Martina","non-dropping-particle":"","parse-names":false,"suffix":""},{"dropping-particle":"","family":"Pischler","given":"Carina","non-dropping-particle":"","parse-names":false,"suffix":""},{"dropping-particle":"","family":"Mannweiler","given":"Sebastian","non-dropping-particle":"","parse-names":false,"suffix":""},{"dropping-particle":"","family":"Pichler","given":"Martin","non-dropping-particle":"","parse-names":false,"suffix":""},{"dropping-particle":"","family":"Eisner","given":"Florian","non-dropping-particle":"","parse-names":false,"suffix":""},{"dropping-particle":"","family":"Haeusler","given":"Martin","non-dropping-particle":"","parse-names":false,"suffix":""},{"dropping-particle":"","family":"Riethdorf","given":"Sabine","non-dropping-particle":"","parse-names":false,"suffix":""},{"dropping-particle":"","family":"Pantel","given":"Klaus","non-dropping-particle":"","parse-names":false,"suffix":""},{"dropping-particle":"","family":"Samonigg","given":"Hellmut","non-dropping-particle":"","parse-names":false,"suffix":""},{"dropping-particle":"","family":"Hoefler","given":"Gerald","non-dropping-particle":"","parse-names":false,"suffix":""},{"dropping-particle":"","family":"Augustin","given":"Herbert","non-dropping-particle":"","parse-names":false,"suffix":""},{"dropping-particle":"","family":"Geigl","given":"Jochen B","non-dropping-particle":"","parse-names":false,"suffix":""},{"dropping-particle":"","family":"Speicher","given":"Michael R","non-dropping-particle":"","parse-names":false,"suffix":""}],"container-title":"Genome Medicine","id":"ITEM-1","issue":"4","issued":{"date-parts":[["2013"]]},"page":"30","title":"Tumor-associated copy number changes in the circulation of patients with prostate cancer identified through whole-genome sequencing","type":"article-journal","volume":"5"}}],"schema":"https://github.com/citation-style-language/schema/raw/master/csl-citation.json"} </w:instrText>
      </w:r>
      <w:r>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(12)</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Libraries were quantified using the Qubit™ dsDNA High Sensitivity Assay Kit (Invitrogen, </w:t>
      </w:r>
      <w:proofErr w:type="spellStart"/>
      <w:r>
        <w:rPr>
          <w:rFonts w:ascii="Calibri" w:eastAsia="SimSun" w:hAnsi="Calibri" w:cs="Times New Roman"/>
          <w:sz w:val="22"/>
          <w:szCs w:val="22"/>
          <w:lang w:val="en-US" w:eastAsia="zh-CN" w:bidi="ar"/>
        </w:rPr>
        <w:t>ThermoFisher</w:t>
      </w:r>
      <w:proofErr w:type="spellEnd"/>
      <w:r>
        <w:rPr>
          <w:rFonts w:ascii="Calibri" w:eastAsia="SimSun" w:hAnsi="Calibri" w:cs="Times New Roman"/>
          <w:sz w:val="22"/>
          <w:szCs w:val="22"/>
          <w:lang w:val="en-US" w:eastAsia="zh-CN" w:bidi="ar"/>
        </w:rPr>
        <w:t xml:space="preserve"> Scientific, USA) and quality-checked using the Agilent DNA 7500 Kit (Agilent, Santa Clara, USA). Pooled libraries were quantified by qPCR using the </w:t>
      </w:r>
      <w:proofErr w:type="spellStart"/>
      <w:r>
        <w:rPr>
          <w:rFonts w:ascii="Calibri" w:eastAsia="SimSun" w:hAnsi="Calibri" w:cs="Times New Roman"/>
          <w:sz w:val="22"/>
          <w:szCs w:val="22"/>
          <w:lang w:val="en-US" w:eastAsia="zh-CN" w:bidi="ar"/>
        </w:rPr>
        <w:t>StepOne</w:t>
      </w:r>
      <w:proofErr w:type="spellEnd"/>
      <w:r>
        <w:rPr>
          <w:rFonts w:ascii="Calibri" w:eastAsia="SimSun" w:hAnsi="Calibri" w:cs="Times New Roman"/>
          <w:sz w:val="22"/>
          <w:szCs w:val="22"/>
          <w:lang w:val="en-US" w:eastAsia="zh-CN" w:bidi="ar"/>
        </w:rPr>
        <w:t xml:space="preserve"> qPCR System (RRID: SCR_023455). For </w:t>
      </w:r>
      <w:proofErr w:type="spellStart"/>
      <w:r>
        <w:rPr>
          <w:rFonts w:ascii="Calibri" w:eastAsia="SimSun" w:hAnsi="Calibri" w:cs="Times New Roman"/>
          <w:sz w:val="22"/>
          <w:szCs w:val="22"/>
          <w:lang w:val="en-US" w:eastAsia="zh-CN" w:bidi="ar"/>
        </w:rPr>
        <w:t>lpWGS</w:t>
      </w:r>
      <w:proofErr w:type="spellEnd"/>
      <w:r>
        <w:rPr>
          <w:rFonts w:ascii="Calibri" w:eastAsia="SimSun" w:hAnsi="Calibri" w:cs="Times New Roman"/>
          <w:sz w:val="22"/>
          <w:szCs w:val="22"/>
          <w:lang w:val="en-US" w:eastAsia="zh-CN" w:bidi="ar"/>
        </w:rPr>
        <w:t xml:space="preserve">, </w:t>
      </w:r>
      <w:r w:rsidR="00BE1464">
        <w:rPr>
          <w:rFonts w:ascii="Calibri" w:eastAsia="SimSun" w:hAnsi="Calibri" w:cs="Times New Roman"/>
          <w:sz w:val="22"/>
          <w:szCs w:val="22"/>
          <w:lang w:val="en-US" w:eastAsia="zh-CN" w:bidi="ar"/>
        </w:rPr>
        <w:t>106</w:t>
      </w:r>
      <w:r>
        <w:rPr>
          <w:rFonts w:ascii="Calibri" w:eastAsia="SimSun" w:hAnsi="Calibri" w:cs="Times New Roman"/>
          <w:sz w:val="22"/>
          <w:szCs w:val="22"/>
          <w:lang w:val="en-US" w:eastAsia="zh-CN" w:bidi="ar"/>
        </w:rPr>
        <w:t xml:space="preserve"> libraries were pooled equimolarly and sequenced on a </w:t>
      </w:r>
      <w:proofErr w:type="spellStart"/>
      <w:r>
        <w:rPr>
          <w:rFonts w:ascii="Calibri" w:eastAsia="SimSun" w:hAnsi="Calibri" w:cs="Times New Roman"/>
          <w:sz w:val="22"/>
          <w:szCs w:val="22"/>
          <w:lang w:val="en-US" w:eastAsia="zh-CN" w:bidi="ar"/>
        </w:rPr>
        <w:t>NovaSeq</w:t>
      </w:r>
      <w:proofErr w:type="spellEnd"/>
      <w:r>
        <w:rPr>
          <w:rFonts w:ascii="Calibri" w:eastAsia="SimSun" w:hAnsi="Calibri" w:cs="Times New Roman"/>
          <w:sz w:val="22"/>
          <w:szCs w:val="22"/>
          <w:lang w:val="en-US" w:eastAsia="zh-CN" w:bidi="ar"/>
        </w:rPr>
        <w:t xml:space="preserve"> 6000 system (RRID: SCR_016387) using an SP flow cell, generating approximately 0.1–0.2× coverage per sample. High-coverage WGS (</w:t>
      </w:r>
      <w:proofErr w:type="spellStart"/>
      <w:r>
        <w:rPr>
          <w:rFonts w:ascii="Calibri" w:eastAsia="SimSun" w:hAnsi="Calibri" w:cs="Times New Roman"/>
          <w:sz w:val="22"/>
          <w:szCs w:val="22"/>
          <w:lang w:val="en-US" w:eastAsia="zh-CN" w:bidi="ar"/>
        </w:rPr>
        <w:t>hcWGS</w:t>
      </w:r>
      <w:proofErr w:type="spellEnd"/>
      <w:r>
        <w:rPr>
          <w:rFonts w:ascii="Calibri" w:eastAsia="SimSun" w:hAnsi="Calibri" w:cs="Times New Roman"/>
          <w:sz w:val="22"/>
          <w:szCs w:val="22"/>
          <w:lang w:val="en-US" w:eastAsia="zh-CN" w:bidi="ar"/>
        </w:rPr>
        <w:t xml:space="preserve">) was performed on 42 cfDNA samples to enable comprehensive genomic analysis, including mutational signature calling and copy number profiling. These libraries were sequenced on a </w:t>
      </w:r>
      <w:proofErr w:type="spellStart"/>
      <w:r>
        <w:rPr>
          <w:rFonts w:ascii="Calibri" w:eastAsia="SimSun" w:hAnsi="Calibri" w:cs="Times New Roman"/>
          <w:sz w:val="22"/>
          <w:szCs w:val="22"/>
          <w:lang w:val="en-US" w:eastAsia="zh-CN" w:bidi="ar"/>
        </w:rPr>
        <w:t>NovaSeq</w:t>
      </w:r>
      <w:proofErr w:type="spellEnd"/>
      <w:r>
        <w:rPr>
          <w:rFonts w:ascii="Calibri" w:eastAsia="SimSun" w:hAnsi="Calibri" w:cs="Times New Roman"/>
          <w:sz w:val="22"/>
          <w:szCs w:val="22"/>
          <w:lang w:val="en-US" w:eastAsia="zh-CN" w:bidi="ar"/>
        </w:rPr>
        <w:t xml:space="preserve"> 6000 S4 flow cell in 2×101 bp mode, achieving an average coverage of ~30× per sample.</w:t>
      </w:r>
    </w:p>
    <w:p w14:paraId="127CEEED" w14:textId="012DF21D" w:rsidR="00045D2C" w:rsidRDefault="00000000" w:rsidP="005A6760">
      <w:pPr>
        <w:pStyle w:val="NormalWeb"/>
        <w:spacing w:after="60" w:line="360" w:lineRule="auto"/>
        <w:jc w:val="both"/>
        <w:rPr>
          <w:sz w:val="22"/>
          <w:szCs w:val="22"/>
          <w:lang w:val="en-US"/>
        </w:rPr>
      </w:pPr>
      <w:r>
        <w:rPr>
          <w:rFonts w:ascii="Calibri" w:eastAsia="SimSun" w:hAnsi="Calibri" w:cs="Times New Roman"/>
          <w:sz w:val="22"/>
          <w:szCs w:val="22"/>
          <w:lang w:val="en-US" w:eastAsia="zh-CN" w:bidi="ar"/>
        </w:rPr>
        <w:t xml:space="preserve">The aligned BAM files were generated using the hg19 reference genome. PCR duplicates were identified and marked using Picard’s </w:t>
      </w:r>
      <w:proofErr w:type="spellStart"/>
      <w:r>
        <w:rPr>
          <w:rFonts w:ascii="Calibri" w:eastAsia="SimSun" w:hAnsi="Calibri" w:cs="Times New Roman"/>
          <w:sz w:val="22"/>
          <w:szCs w:val="22"/>
          <w:lang w:val="en-US" w:eastAsia="zh-CN" w:bidi="ar"/>
        </w:rPr>
        <w:t>MarkDuplicates</w:t>
      </w:r>
      <w:proofErr w:type="spellEnd"/>
      <w:r>
        <w:rPr>
          <w:rFonts w:ascii="Calibri" w:eastAsia="SimSun" w:hAnsi="Calibri" w:cs="Times New Roman"/>
          <w:sz w:val="22"/>
          <w:szCs w:val="22"/>
          <w:lang w:val="en-US" w:eastAsia="zh-CN" w:bidi="ar"/>
        </w:rPr>
        <w:t xml:space="preserve"> (RRID: SCR_006525) </w:t>
      </w:r>
      <w:r>
        <w:rPr>
          <w:rFonts w:ascii="Calibri" w:eastAsia="SimSun" w:hAnsi="Calibri" w:cs="Times New Roman"/>
          <w:sz w:val="22"/>
          <w:szCs w:val="22"/>
          <w:lang w:val="en-US" w:eastAsia="zh-CN" w:bidi="ar"/>
        </w:rPr>
        <w:fldChar w:fldCharType="begin"/>
      </w:r>
      <w:r w:rsidR="00E71097">
        <w:rPr>
          <w:rFonts w:ascii="Calibri" w:eastAsia="SimSun" w:hAnsi="Calibri" w:cs="Times New Roman"/>
          <w:sz w:val="22"/>
          <w:szCs w:val="22"/>
          <w:lang w:val="en-US" w:eastAsia="zh-CN" w:bidi="ar"/>
        </w:rPr>
        <w:instrText xml:space="preserve"> ADDIN ZOTERO_ITEM CSL_CITATION {"citationID":"ZIR4cB2e","properties":{"formattedCitation":"(13)","plainCitation":"(13)","noteIndex":0},"citationItems":[{"id":400,"uris":["http://zotero.org/users/15533866/items/69Q4LEQ2"],"itemData":{"id":400,"type":"document","publisher":"Broad Institute, GitHub repository","title":"Picard Toolkit","URL":"http://broadinstitute.github.io/picard/","author":[{"family":"Broad Institute","given":""}],"issued":{"date-parts":[["2018"]]}}}],"schema":"https://github.com/citation-style-language/schema/raw/master/csl-citation.json"} </w:instrText>
      </w:r>
      <w:r>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(13)</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Reads failing quality control, such as unmapped reads, secondary or supplementary alignments, and those with mapping </w:t>
      </w:r>
      <w:r>
        <w:rPr>
          <w:rFonts w:ascii="Calibri" w:eastAsia="SimSun" w:hAnsi="Calibri" w:cs="Times New Roman"/>
          <w:sz w:val="22"/>
          <w:szCs w:val="22"/>
          <w:lang w:val="en-US" w:eastAsia="zh-CN" w:bidi="ar"/>
        </w:rPr>
        <w:lastRenderedPageBreak/>
        <w:t xml:space="preserve">quality &lt;20 were excluded from downstream analysis. Copy number alterations (CNAs) were called using </w:t>
      </w:r>
      <w:proofErr w:type="spellStart"/>
      <w:r>
        <w:rPr>
          <w:rFonts w:ascii="Calibri" w:eastAsia="SimSun" w:hAnsi="Calibri" w:cs="Times New Roman"/>
          <w:sz w:val="22"/>
          <w:szCs w:val="22"/>
          <w:lang w:val="en-US" w:eastAsia="zh-CN" w:bidi="ar"/>
        </w:rPr>
        <w:t>ichorCNA</w:t>
      </w:r>
      <w:proofErr w:type="spellEnd"/>
      <w:r>
        <w:rPr>
          <w:rFonts w:ascii="Calibri" w:eastAsia="SimSun" w:hAnsi="Calibri" w:cs="Times New Roman"/>
          <w:sz w:val="22"/>
          <w:szCs w:val="22"/>
          <w:lang w:val="en-US" w:eastAsia="zh-CN" w:bidi="ar"/>
        </w:rPr>
        <w:t xml:space="preserve">  (RRID: SCR_024768) on </w:t>
      </w:r>
      <w:proofErr w:type="spellStart"/>
      <w:r>
        <w:rPr>
          <w:rFonts w:ascii="Calibri" w:eastAsia="SimSun" w:hAnsi="Calibri" w:cs="Times New Roman"/>
          <w:sz w:val="22"/>
          <w:szCs w:val="22"/>
          <w:lang w:val="en-US" w:eastAsia="zh-CN" w:bidi="ar"/>
        </w:rPr>
        <w:t>lpWGS</w:t>
      </w:r>
      <w:proofErr w:type="spellEnd"/>
      <w:r>
        <w:rPr>
          <w:rFonts w:ascii="Calibri" w:eastAsia="SimSun" w:hAnsi="Calibri" w:cs="Times New Roman"/>
          <w:sz w:val="22"/>
          <w:szCs w:val="22"/>
          <w:lang w:val="en-US" w:eastAsia="zh-CN" w:bidi="ar"/>
        </w:rPr>
        <w:t xml:space="preserve"> data (</w:t>
      </w:r>
      <w:r>
        <w:rPr>
          <w:rFonts w:ascii="Cambria Math" w:eastAsia="Cambria Math" w:hAnsi="Cambria Math" w:cs="Cambria Math"/>
          <w:sz w:val="22"/>
          <w:szCs w:val="22"/>
          <w:lang w:val="en-US" w:eastAsia="zh-CN" w:bidi="ar"/>
        </w:rPr>
        <w:t>∼</w:t>
      </w:r>
      <w:r>
        <w:rPr>
          <w:rFonts w:ascii="Calibri" w:eastAsia="SimSun" w:hAnsi="Calibri" w:cs="Times New Roman"/>
          <w:sz w:val="22"/>
          <w:szCs w:val="22"/>
          <w:lang w:val="en-US" w:eastAsia="zh-CN" w:bidi="ar"/>
        </w:rPr>
        <w:t xml:space="preserve">0.1–0.2 × coverage) </w:t>
      </w:r>
      <w:r>
        <w:rPr>
          <w:rFonts w:ascii="Calibri" w:eastAsia="SimSun" w:hAnsi="Calibri" w:cs="Times New Roman"/>
          <w:sz w:val="22"/>
          <w:szCs w:val="22"/>
          <w:lang w:val="en-US" w:eastAsia="zh-CN" w:bidi="ar"/>
        </w:rPr>
        <w:fldChar w:fldCharType="begin"/>
      </w:r>
      <w:r w:rsidR="00E71097">
        <w:rPr>
          <w:rFonts w:ascii="Calibri" w:eastAsia="SimSun" w:hAnsi="Calibri" w:cs="Times New Roman"/>
          <w:sz w:val="22"/>
          <w:szCs w:val="22"/>
          <w:lang w:val="en-US" w:eastAsia="zh-CN" w:bidi="ar"/>
        </w:rPr>
        <w:instrText xml:space="preserve"> ADDIN ZOTERO_ITEM CSL_CITATION {"citationID":"Y7tOXmjh","properties":{"formattedCitation":"(14)","plainCitation":"(14)","noteIndex":0},"citationItems":[{"id":100,"uris":["http://zotero.org/users/15533866/items/ZS5659UD"],"itemData":{"id":100,"type":"article-journal","container-title":"Nature communications","ISSN":"2041-1723","issue":"1","journalAbbreviation":"Nature communications","note":"publisher: Nature Publishing Group UK London","page":"1324","title":"Scalable whole-exome sequencing of cell-free DNA reveals high concordance with metastatic tumors","volume":"8","author":[{"family":"Adalsteinsson","given":"Viktor A"},{"family":"Ha","given":"Gavin"},{"family":"Freeman","given":"Samuel S"},{"family":"Choudhury","given":"Atish D"},{"family":"Stover","given":"Daniel G"},{"family":"Parsons","given":"Heather A"},{"family":"Gydush","given":"Gregory"},{"family":"Reed","given":"Sarah C"},{"family":"Rotem","given":"Denisse"},{"family":"Rhoades","given":"Justin"}],"issued":{"date-parts":[["2017"]]}}}],"schema":"https://github.com/citation-style-language/schema/raw/master/csl-citation.json"} </w:instrText>
      </w:r>
      <w:r>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(14)</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A custom script was used to aggregate the segments of 1</w:t>
      </w:r>
      <w:r w:rsidR="00BE1464">
        <w:rPr>
          <w:rFonts w:ascii="Calibri" w:eastAsia="SimSun" w:hAnsi="Calibri" w:cs="Times New Roman"/>
          <w:sz w:val="22"/>
          <w:szCs w:val="22"/>
          <w:lang w:val="en-US" w:eastAsia="zh-CN" w:bidi="ar"/>
        </w:rPr>
        <w:t>06</w:t>
      </w:r>
      <w:r>
        <w:rPr>
          <w:rFonts w:ascii="Calibri" w:eastAsia="SimSun" w:hAnsi="Calibri" w:cs="Times New Roman"/>
          <w:sz w:val="22"/>
          <w:szCs w:val="22"/>
          <w:lang w:val="en-US" w:eastAsia="zh-CN" w:bidi="ar"/>
        </w:rPr>
        <w:t xml:space="preserve"> patient samples. To retrieve heterozygous events, CNA events with an absolute median log2 ratio lower than half of the tumor fraction of the respective sample were filtered out. Events of copy number gain (GAIN, AMP, HLAMP, HLAMP2, and HLAMP3) were compiled into AMP to simplify the analysis. Calls with fewer than five bins were filtered. Gene loci were retrieved from the USCS Genome Browser Gateway </w:t>
      </w:r>
      <w:r>
        <w:rPr>
          <w:rFonts w:ascii="Calibri" w:eastAsia="SimSun" w:hAnsi="Calibri" w:cs="Times New Roman"/>
          <w:sz w:val="22"/>
          <w:szCs w:val="22"/>
          <w:lang w:val="en-US" w:eastAsia="zh-CN" w:bidi="ar"/>
        </w:rPr>
        <w:fldChar w:fldCharType="begin"/>
      </w:r>
      <w:r w:rsidR="00E71097">
        <w:rPr>
          <w:rFonts w:ascii="Calibri" w:eastAsia="SimSun" w:hAnsi="Calibri" w:cs="Times New Roman"/>
          <w:sz w:val="22"/>
          <w:szCs w:val="22"/>
          <w:lang w:val="en-US" w:eastAsia="zh-CN" w:bidi="ar"/>
        </w:rPr>
        <w:instrText xml:space="preserve"> ADDIN ZOTERO_ITEM CSL_CITATION {"citationID":"rMzdckTp","properties":{"formattedCitation":"(15)","plainCitation":"(15)","noteIndex":0},"citationItems":[{"id":398,"uris":["http://zotero.org/users/15533866/items/LFWKTDXX"],"itemData":{"id":398,"type":"article-journal","abstract":"As vertebrate genome sequences near completion and research refocuses to their analysis, the issue of effective genome annotation display becomes critical. A  mature web tool for rapid and reliable display of any requested portion of the  genome at any scale, together with several dozen aligned annotation tracks, is  provided at http://genome.ucsc.edu. This browser displays assembly contigs and  gaps, mRNA and expressed sequence tag alignments, multiple gene predictions,  cross-species homologies, single nucleotide polymorphisms, sequence-tagged sites,  radiation hybrid data, transposon repeats, and more as a stack of coregistered  tracks. Text and sequence-based searches provide quick and precise access to any  region of specific interest. Secondary links from individual features lead to  sequence details and supplementary off-site databases. One-half of the annotation  tracks are computed at the University of California, Santa Cruz from publicly  available sequence data; collaborators worldwide provide the rest. Users can  stably add their own custom tracks to the browser for educational or research  purposes. The conceptual and technical framework of the browser, its underlying  MYSQL database, and overall use are described. The web site currently serves over  50,000 pages per day to over 3000 different users.","container-title":"Genome research","DOI":"10.1101/gr.229102","ISSN":"1088-9051","issue":"6","journalAbbreviation":"Genome Res","language":"eng","note":"publisher-place: United States\nPMID: 12045153 \nPMCID: PMC186604","page":"996-1006","title":"The human genome browser at UCSC.","volume":"12","author":[{"family":"Kent","given":"W. James"},{"family":"Sugnet","given":"Charles W."},{"family":"Furey","given":"Terrence S."},{"family":"Roskin","given":"Krishna M."},{"family":"Pringle","given":"Tom H."},{"family":"Zahler","given":"Alan M."},{"family":"Haussler","given":"David"}],"issued":{"date-parts":[["2002",6]]}}}],"schema":"https://github.com/citation-style-language/schema/raw/master/csl-citation.json"} </w:instrText>
      </w:r>
      <w:r>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(15)</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using human assembly hg19. The events were then matched with the loci of the genes if the start of the altered segment was upstream of the gene locus and the end of the segment downstream of the gene locus. </w:t>
      </w:r>
    </w:p>
    <w:p w14:paraId="5DE6B763" w14:textId="563260D6" w:rsidR="00045D2C" w:rsidRDefault="00000000" w:rsidP="005A6760">
      <w:pPr>
        <w:pStyle w:val="NormalWeb"/>
        <w:spacing w:after="60" w:line="360" w:lineRule="auto"/>
        <w:jc w:val="both"/>
        <w:rPr>
          <w:rFonts w:ascii="Calibri" w:eastAsia="SimSun" w:hAnsi="Calibri" w:cs="Times New Roman"/>
          <w:sz w:val="22"/>
          <w:szCs w:val="22"/>
          <w:lang w:val="en-US" w:eastAsia="zh-CN" w:bidi="ar"/>
        </w:rPr>
      </w:pPr>
      <w:r>
        <w:rPr>
          <w:rFonts w:ascii="Calibri" w:eastAsia="SimSun" w:hAnsi="Calibri" w:cs="Times New Roman"/>
          <w:sz w:val="22"/>
          <w:szCs w:val="22"/>
          <w:lang w:val="en-US" w:eastAsia="zh-CN" w:bidi="ar"/>
        </w:rPr>
        <w:t xml:space="preserve">Genomic instability was assessed using the </w:t>
      </w:r>
      <w:proofErr w:type="spellStart"/>
      <w:r>
        <w:rPr>
          <w:rFonts w:ascii="Calibri" w:eastAsia="SimSun" w:hAnsi="Calibri" w:cs="Times New Roman"/>
          <w:sz w:val="22"/>
          <w:szCs w:val="22"/>
          <w:lang w:val="en-US" w:eastAsia="zh-CN" w:bidi="ar"/>
        </w:rPr>
        <w:t>shallowHRD</w:t>
      </w:r>
      <w:proofErr w:type="spellEnd"/>
      <w:r>
        <w:rPr>
          <w:rFonts w:ascii="Calibri" w:eastAsia="SimSun" w:hAnsi="Calibri" w:cs="Times New Roman"/>
          <w:sz w:val="22"/>
          <w:szCs w:val="22"/>
          <w:lang w:val="en-US" w:eastAsia="zh-CN" w:bidi="ar"/>
        </w:rPr>
        <w:t xml:space="preserve"> tool </w:t>
      </w:r>
      <w:r>
        <w:rPr>
          <w:rFonts w:ascii="Calibri" w:eastAsia="SimSun" w:hAnsi="Calibri" w:cs="Times New Roman"/>
          <w:sz w:val="22"/>
          <w:szCs w:val="22"/>
          <w:lang w:val="en-US" w:eastAsia="zh-CN" w:bidi="ar"/>
        </w:rPr>
        <w:fldChar w:fldCharType="begin"/>
      </w:r>
      <w:r w:rsidR="00E71097">
        <w:rPr>
          <w:rFonts w:ascii="Calibri" w:eastAsia="SimSun" w:hAnsi="Calibri" w:cs="Times New Roman"/>
          <w:sz w:val="22"/>
          <w:szCs w:val="22"/>
          <w:lang w:val="en-US" w:eastAsia="zh-CN" w:bidi="ar"/>
        </w:rPr>
        <w:instrText xml:space="preserve"> ADDIN ZOTERO_ITEM CSL_CITATION {"citationID":"mXi3eAx9","properties":{"formattedCitation":"(16)","plainCitation":"(16)","noteIndex":0},"citationItems":[{"id":101,"uris":["http://zotero.org/users/15533866/items/F9AV32Y3"],"itemData":{"id":101,"type":"article-journal","container-title":"Bioinformatics","ISSN":"1367-4803","issue":"12","journalAbbreviation":"Bioinformatics","note":"publisher: Oxford University Press","page":"3888-3889","title":"ShallowHRD: detection of homologous recombination deficiency from shallow whole genome sequencing","volume":"36","author":[{"family":"Eeckhoutte","given":"Alexandre"},{"family":"Houy","given":"Alexandre"},{"family":"Manié","given":"Elodie"},{"family":"Reverdy","given":"Manon"},{"family":"Bieche","given":"Ivan"},{"family":"Marangoni","given":"Elisabetta"},{"family":"Goundiam","given":"Oumou"},{"family":"Vincent-Salomon","given":"Anne"},{"family":"Stoppa-Lyonnet","given":"Dominique"},{"family":"Bidard","given":"Francois-Clement"}],"issued":{"date-parts":[["2020"]]}}}],"schema":"https://github.com/citation-style-language/schema/raw/master/csl-citation.json"} </w:instrText>
      </w:r>
      <w:r>
        <w:rPr>
          <w:rFonts w:ascii="Calibri" w:eastAsia="SimSun" w:hAnsi="Calibri" w:cs="Times New Roman"/>
          <w:sz w:val="22"/>
          <w:szCs w:val="22"/>
          <w:lang w:val="en-US" w:eastAsia="zh-CN" w:bidi="ar"/>
        </w:rPr>
        <w:fldChar w:fldCharType="separate"/>
      </w:r>
      <w:r w:rsidR="00E71097" w:rsidRPr="00E71097">
        <w:rPr>
          <w:rFonts w:ascii="Calibri" w:hAnsi="Calibri" w:cs="Calibri"/>
          <w:sz w:val="22"/>
          <w:lang w:val="en-US"/>
        </w:rPr>
        <w:t>(16)</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The analysis was performed in R (RRID: SCR_001905, v.4.3.3) using the published </w:t>
      </w:r>
      <w:proofErr w:type="spellStart"/>
      <w:r>
        <w:rPr>
          <w:rFonts w:ascii="Calibri" w:eastAsia="SimSun" w:hAnsi="Calibri" w:cs="Times New Roman"/>
          <w:sz w:val="22"/>
          <w:szCs w:val="22"/>
          <w:lang w:val="en-US" w:eastAsia="zh-CN" w:bidi="ar"/>
        </w:rPr>
        <w:t>shallowHRD</w:t>
      </w:r>
      <w:proofErr w:type="spellEnd"/>
      <w:r>
        <w:rPr>
          <w:rFonts w:ascii="Calibri" w:eastAsia="SimSun" w:hAnsi="Calibri" w:cs="Times New Roman"/>
          <w:sz w:val="22"/>
          <w:szCs w:val="22"/>
          <w:lang w:val="en-US" w:eastAsia="zh-CN" w:bidi="ar"/>
        </w:rPr>
        <w:t xml:space="preserve"> script, which infers HRD status based on the number of large-scale genomic alterations (LGAs) detected from segmented copy number profiles at low coverage. The samples were classified as HRD-positive or non-HRD using established LGA thresholds, as described in the original publication.</w:t>
      </w:r>
    </w:p>
    <w:p w14:paraId="150B8E43" w14:textId="18CEB723" w:rsidR="002450AF" w:rsidRDefault="002450AF" w:rsidP="005A6760">
      <w:pPr>
        <w:pStyle w:val="NormalWeb"/>
        <w:spacing w:after="60" w:line="360" w:lineRule="auto"/>
        <w:jc w:val="both"/>
        <w:rPr>
          <w:sz w:val="22"/>
          <w:szCs w:val="22"/>
          <w:lang w:val="en-US"/>
        </w:rPr>
      </w:pPr>
      <w:r w:rsidRPr="002450AF">
        <w:rPr>
          <w:sz w:val="22"/>
          <w:szCs w:val="22"/>
          <w:lang w:val="en-US"/>
        </w:rPr>
        <w:t xml:space="preserve">Structural variants (SVs) were detected from high-coverage WGS data using Manta v1.6.0 </w:t>
      </w:r>
      <w:r w:rsidR="00B935AE">
        <w:rPr>
          <w:sz w:val="22"/>
          <w:szCs w:val="22"/>
          <w:lang w:val="en-US"/>
        </w:rPr>
        <w:t xml:space="preserve"> </w:t>
      </w:r>
      <w:r w:rsidR="00B935AE" w:rsidRPr="00B935AE">
        <w:rPr>
          <w:sz w:val="22"/>
          <w:szCs w:val="22"/>
          <w:lang w:val="en-US"/>
        </w:rPr>
        <w:t xml:space="preserve">(RRID:SCR_022997) </w:t>
      </w:r>
      <w:r w:rsidRPr="002450AF">
        <w:rPr>
          <w:sz w:val="22"/>
          <w:szCs w:val="22"/>
          <w:lang w:val="en-US"/>
        </w:rPr>
        <w:t>(Illumina, San Diego, CA) in tumor-only mode</w:t>
      </w:r>
      <w:r w:rsidR="00B935AE">
        <w:rPr>
          <w:sz w:val="22"/>
          <w:szCs w:val="22"/>
          <w:lang w:val="en-US"/>
        </w:rPr>
        <w:t xml:space="preserve"> </w:t>
      </w:r>
      <w:r w:rsidR="00B935AE">
        <w:rPr>
          <w:sz w:val="22"/>
          <w:szCs w:val="22"/>
          <w:lang w:val="en-US"/>
        </w:rPr>
        <w:fldChar w:fldCharType="begin"/>
      </w:r>
      <w:r w:rsidR="00B935AE">
        <w:rPr>
          <w:sz w:val="22"/>
          <w:szCs w:val="22"/>
          <w:lang w:val="en-US"/>
        </w:rPr>
        <w:instrText xml:space="preserve"> ADDIN ZOTERO_ITEM CSL_CITATION {"citationID":"mup7dQNV","properties":{"formattedCitation":"(17)","plainCitation":"(17)","noteIndex":0},"citationItems":[{"id":359,"uris":["http://zotero.org/users/15533866/items/Y2SYJ4EU"],"itemData":{"id":359,"type":"article-journal","abstract":": We describe Manta, a method to discover structural variants and indels from next generation sequencing data. Manta is optimized for rapid germline and  somatic analysis, calling structural variants, medium-sized indels and large  insertions on standard compute hardware in less than a tenth of the time that  comparable methods require to identify only subsets of these variant types: for  example NA12878 at 50× genomic coverage is analyzed in less than 20 min. Manta  can discover and score variants based on supporting paired and split-read  evidence, with scoring models optimized for germline analysis of diploid  individuals and somatic analysis of tumor-normal sample pairs. Call quality is  similar to or better than comparable methods, as determined by pedigree  consistency of germline calls and comparison of somatic calls to COSMIC database  variants. Manta consistently assembles a higher fraction of its calls to  base-pair resolution, allowing for improved downstream annotation and analysis of  clinical significance. We provide Manta as a community resource to facilitate  practical and routine structural variant analysis in clinical and research  sequencing scenarios. AVAILABILITY AND IMPLEMENTATION: Manta is released under  the open-source GPLv3 license. Source code, documentation and Linux binaries are  available from https://github.com/Illumina/manta. CONTACT: csaunders@illumina.com  SUPPLEMENTARY INFORMATION: Supplementary data are available at Bioinformatics  online.","container-title":"Bioinformatics (Oxford, England)","DOI":"10.1093/bioinformatics/btv710","ISSN":"1367-4811 1367-4803","issue":"8","journalAbbreviation":"Bioinformatics","language":"eng","license":"© The Author 2015. Published by Oxford University Press. All rights reserved. For Permissions, please e-mail: journals.permissions@oup.com.","note":"publisher-place: England\nPMID: 26647377","page":"1220-1222","title":"Manta: rapid detection of structural variants and indels for germline and cancer sequencing applications.","volume":"32","author":[{"family":"Chen","given":"Xiaoyu"},{"family":"Schulz-Trieglaff","given":"Ole"},{"family":"Shaw","given":"Richard"},{"family":"Barnes","given":"Bret"},{"family":"Schlesinger","given":"Felix"},{"family":"Källberg","given":"Morten"},{"family":"Cox","given":"Anthony J."},{"family":"Kruglyak","given":"Semyon"},{"family":"Saunders","given":"Christopher T."}],"issued":{"date-parts":[["2016",4,15]]}}}],"schema":"https://github.com/citation-style-language/schema/raw/master/csl-citation.json"} </w:instrText>
      </w:r>
      <w:r w:rsidR="00B935AE">
        <w:rPr>
          <w:sz w:val="22"/>
          <w:szCs w:val="22"/>
          <w:lang w:val="en-US"/>
        </w:rPr>
        <w:fldChar w:fldCharType="separate"/>
      </w:r>
      <w:r w:rsidR="00B935AE" w:rsidRPr="00B935AE">
        <w:rPr>
          <w:rFonts w:ascii="Calibri" w:hAnsi="Calibri" w:cs="Calibri"/>
          <w:sz w:val="22"/>
          <w:lang w:val="en-US"/>
        </w:rPr>
        <w:t>(17)</w:t>
      </w:r>
      <w:r w:rsidR="00B935AE">
        <w:rPr>
          <w:sz w:val="22"/>
          <w:szCs w:val="22"/>
          <w:lang w:val="en-US"/>
        </w:rPr>
        <w:fldChar w:fldCharType="end"/>
      </w:r>
      <w:r w:rsidRPr="002450AF">
        <w:rPr>
          <w:sz w:val="22"/>
          <w:szCs w:val="22"/>
          <w:lang w:val="en-US"/>
        </w:rPr>
        <w:t xml:space="preserve">. The hg38 reference genome was used for alignment and variant calling. Resulting VCF files were filtered to retain high-confidence events ≥50 bp, including deletions, duplications, inversions, and translocations. SVs were annotated with the </w:t>
      </w:r>
      <w:proofErr w:type="spellStart"/>
      <w:r w:rsidRPr="002450AF">
        <w:rPr>
          <w:sz w:val="22"/>
          <w:szCs w:val="22"/>
          <w:lang w:val="en-US"/>
        </w:rPr>
        <w:t>Ensembl</w:t>
      </w:r>
      <w:proofErr w:type="spellEnd"/>
      <w:r w:rsidRPr="002450AF">
        <w:rPr>
          <w:sz w:val="22"/>
          <w:szCs w:val="22"/>
          <w:lang w:val="en-US"/>
        </w:rPr>
        <w:t xml:space="preserve"> Variant Effect Predictor (</w:t>
      </w:r>
      <w:r w:rsidR="00CA5236" w:rsidRPr="00CA5236">
        <w:rPr>
          <w:sz w:val="22"/>
          <w:szCs w:val="22"/>
          <w:lang w:val="en-US"/>
        </w:rPr>
        <w:t>RRID:SCR_007931</w:t>
      </w:r>
      <w:r w:rsidR="00CA5236">
        <w:rPr>
          <w:sz w:val="22"/>
          <w:szCs w:val="22"/>
          <w:lang w:val="en-US"/>
        </w:rPr>
        <w:t xml:space="preserve">, </w:t>
      </w:r>
      <w:r w:rsidRPr="002450AF">
        <w:rPr>
          <w:sz w:val="22"/>
          <w:szCs w:val="22"/>
          <w:lang w:val="en-US"/>
        </w:rPr>
        <w:t xml:space="preserve">VEP v115) in offline mode using the corresponding </w:t>
      </w:r>
      <w:proofErr w:type="spellStart"/>
      <w:r w:rsidRPr="002450AF">
        <w:rPr>
          <w:sz w:val="22"/>
          <w:szCs w:val="22"/>
          <w:lang w:val="en-US"/>
        </w:rPr>
        <w:t>Ensembl</w:t>
      </w:r>
      <w:proofErr w:type="spellEnd"/>
      <w:r w:rsidRPr="002450AF">
        <w:rPr>
          <w:sz w:val="22"/>
          <w:szCs w:val="22"/>
          <w:lang w:val="en-US"/>
        </w:rPr>
        <w:t xml:space="preserve"> cache release 115 and the --everything flag for comprehensive functional annotation. Annotated variants were subsequently filtered for events overlapping genes in the homologous recombination repair (HRR) pathway (Supplementary Table 2)</w:t>
      </w:r>
      <w:r w:rsidR="00B935AE">
        <w:rPr>
          <w:sz w:val="22"/>
          <w:szCs w:val="22"/>
          <w:lang w:val="en-US"/>
        </w:rPr>
        <w:t xml:space="preserve"> </w:t>
      </w:r>
      <w:r w:rsidR="00B935AE">
        <w:rPr>
          <w:sz w:val="22"/>
          <w:szCs w:val="22"/>
          <w:lang w:val="en-US"/>
        </w:rPr>
        <w:fldChar w:fldCharType="begin"/>
      </w:r>
      <w:r w:rsidR="00B935AE">
        <w:rPr>
          <w:sz w:val="22"/>
          <w:szCs w:val="22"/>
          <w:lang w:val="en-US"/>
        </w:rPr>
        <w:instrText xml:space="preserve"> ADDIN ZOTERO_ITEM CSL_CITATION {"citationID":"RxQ1PIsr","properties":{"formattedCitation":"(18)","plainCitation":"(18)","noteIndex":0},"citationItems":[{"id":659,"uris":["http://zotero.org/users/15533866/items/2KDI6NJW"],"itemData":{"id":659,"type":"article-journal","container-title":"Genome Biology","DOI":"10.1186/s13059-016-0974-4","ISSN":"1474-760X","issue":"1","journalAbbreviation":"Genome Biol","language":"en","page":"122","source":"DOI.org (Crossref)","title":"The Ensembl Variant Effect Predictor","volume":"17","author":[{"family":"McLaren","given":"William"},{"family":"Gil","given":"Laurent"},{"family":"Hunt","given":"Sarah E."},{"family":"Riat","given":"Harpreet Singh"},{"family":"Ritchie","given":"Graham R. S."},{"family":"Thormann","given":"Anja"},{"family":"Flicek","given":"Paul"},{"family":"Cunningham","given":"Fiona"}],"issued":{"date-parts":[["2016",12]]}}}],"schema":"https://github.com/citation-style-language/schema/raw/master/csl-citation.json"} </w:instrText>
      </w:r>
      <w:r w:rsidR="00B935AE">
        <w:rPr>
          <w:sz w:val="22"/>
          <w:szCs w:val="22"/>
          <w:lang w:val="en-US"/>
        </w:rPr>
        <w:fldChar w:fldCharType="separate"/>
      </w:r>
      <w:r w:rsidR="00B935AE" w:rsidRPr="00B935AE">
        <w:rPr>
          <w:rFonts w:ascii="Calibri" w:hAnsi="Calibri" w:cs="Calibri"/>
          <w:sz w:val="22"/>
          <w:lang w:val="en-US"/>
        </w:rPr>
        <w:t>(18)</w:t>
      </w:r>
      <w:r w:rsidR="00B935AE">
        <w:rPr>
          <w:sz w:val="22"/>
          <w:szCs w:val="22"/>
          <w:lang w:val="en-US"/>
        </w:rPr>
        <w:fldChar w:fldCharType="end"/>
      </w:r>
      <w:r w:rsidRPr="002450AF">
        <w:rPr>
          <w:sz w:val="22"/>
          <w:szCs w:val="22"/>
          <w:lang w:val="en-US"/>
        </w:rPr>
        <w:t>.</w:t>
      </w:r>
    </w:p>
    <w:p w14:paraId="4662FA02" w14:textId="77777777" w:rsidR="00684FE4" w:rsidRPr="002450AF" w:rsidRDefault="00684FE4" w:rsidP="005A6760">
      <w:pPr>
        <w:pStyle w:val="NormalWeb"/>
        <w:spacing w:after="60" w:line="360" w:lineRule="auto"/>
        <w:jc w:val="both"/>
        <w:rPr>
          <w:sz w:val="22"/>
          <w:szCs w:val="22"/>
          <w:lang w:val="en-US"/>
        </w:rPr>
      </w:pPr>
    </w:p>
    <w:p w14:paraId="77164121" w14:textId="77777777" w:rsidR="00045D2C" w:rsidRPr="00322A14" w:rsidRDefault="00000000" w:rsidP="005A6760">
      <w:pPr>
        <w:pStyle w:val="Heading2"/>
        <w:spacing w:line="360" w:lineRule="auto"/>
      </w:pPr>
      <w:bookmarkStart w:id="9" w:name="_Toc212073433"/>
      <w:r w:rsidRPr="00322A14">
        <w:rPr>
          <w:lang w:bidi="ar"/>
        </w:rPr>
        <w:t>Fragment feature analysis</w:t>
      </w:r>
      <w:bookmarkEnd w:id="9"/>
    </w:p>
    <w:p w14:paraId="2BCD8BF8" w14:textId="7816B8A3" w:rsidR="00045D2C" w:rsidRDefault="00000000" w:rsidP="005A6760">
      <w:pPr>
        <w:pStyle w:val="NormalWeb"/>
        <w:spacing w:after="60" w:line="360" w:lineRule="auto"/>
        <w:jc w:val="both"/>
        <w:rPr>
          <w:sz w:val="22"/>
          <w:szCs w:val="22"/>
          <w:lang w:val="en-US"/>
        </w:rPr>
      </w:pPr>
      <w:r>
        <w:rPr>
          <w:rFonts w:ascii="Calibri" w:eastAsia="SimSun" w:hAnsi="Calibri" w:cs="Times New Roman"/>
          <w:sz w:val="22"/>
          <w:szCs w:val="22"/>
          <w:lang w:val="en-US" w:eastAsia="zh-CN" w:bidi="ar"/>
        </w:rPr>
        <w:t xml:space="preserve">After alignment to the hg38 reference genome, PCR duplicates were marked using Picard’s </w:t>
      </w:r>
      <w:proofErr w:type="spellStart"/>
      <w:r>
        <w:rPr>
          <w:rFonts w:ascii="Calibri" w:eastAsia="SimSun" w:hAnsi="Calibri" w:cs="Times New Roman"/>
          <w:sz w:val="22"/>
          <w:szCs w:val="22"/>
          <w:lang w:val="en-US" w:eastAsia="zh-CN" w:bidi="ar"/>
        </w:rPr>
        <w:t>MarkDuplicates</w:t>
      </w:r>
      <w:proofErr w:type="spellEnd"/>
      <w:r>
        <w:rPr>
          <w:rFonts w:ascii="Calibri" w:eastAsia="SimSun" w:hAnsi="Calibri" w:cs="Times New Roman"/>
          <w:sz w:val="22"/>
          <w:szCs w:val="22"/>
          <w:lang w:val="en-US" w:eastAsia="zh-CN" w:bidi="ar"/>
        </w:rPr>
        <w:t xml:space="preserve"> (RRID: SCR_006525) </w:t>
      </w:r>
      <w:r>
        <w:rPr>
          <w:rFonts w:ascii="Calibri" w:eastAsia="SimSun" w:hAnsi="Calibri" w:cs="Times New Roman"/>
          <w:sz w:val="22"/>
          <w:szCs w:val="22"/>
          <w:lang w:val="en-US" w:eastAsia="zh-CN" w:bidi="ar"/>
        </w:rPr>
        <w:fldChar w:fldCharType="begin"/>
      </w:r>
      <w:r w:rsidR="003146B9">
        <w:rPr>
          <w:rFonts w:ascii="Calibri" w:eastAsia="SimSun" w:hAnsi="Calibri" w:cs="Times New Roman"/>
          <w:sz w:val="22"/>
          <w:szCs w:val="22"/>
          <w:lang w:val="en-US" w:eastAsia="zh-CN" w:bidi="ar"/>
        </w:rPr>
        <w:instrText xml:space="preserve"> ADDIN ZOTERO_ITEM CSL_CITATION {"citationID":"XS1I4zns","properties":{"formattedCitation":"(3,13)","plainCitation":"(3,13)","noteIndex":0},"citationItems":[{"id":658,"uris":["http://zotero.org/users/15533866/items/9SJ2V6RN"],"itemData":{"id":658,"type":"article","abstract":"Innovations in Next-Generation Sequencing are enabling generation of DNA sequence data at ever faster rates and at very low cost. Large sequencing centers typically employ hundreds of such systems. Such high-throughput and low-cost generation of data underscores the need for commensurate acceleration in downstream computational analysis of the sequencing data. A fundamental step in downstream analysis is mapping of the reads to a long reference DNA sequence, such as a reference human genome. Sequence mapping is a compute-intensive step that accounts for more than 30% of the overall time of the GATK workflow. BWA-MEM is one of the most widely used tools for sequence mapping and has tens of thousands of users. In this work, we focus on accelerating BWA-MEM through an efficient architecture aware implementation, while maintaining identical output. The volume of data requires distributed computing environment, usually deploying multicore processors. Since the application can be easily parallelized for distributed memory systems, we focus on performance improvements on a single socket multicore processor. BWA-MEM run time is dominated by three kernels, collectively responsible for more than 85% of the overall compute time. We improved the performance of these kernels by 1) improving cache reuse, 2) simplifying the algorithms, 3) replacing small fragmented memory allocations with a few large contiguous ones, 4) software prefetching, and 5) SIMD utilization wherever applicable - and massive reorganization of the source code enabling these improvements. As a result, we achieved nearly 2x, 183x, and 8x speedups on the three kernels, respectively, resulting in up to 3.5x and 2.4x speedups on end-to-end compute time over the original BWA-MEM on single thread and single socket of Intel Xeon Skylake processor. To the best of our knowledge, this is the highest reported speedup over BWA-MEM.","DOI":"10.48550/ARXIV.1907.12931","license":"Creative Commons Attribution Non Commercial Share Alike 4.0 International","note":"version: 1","publisher":"arXiv","source":"DOI.org (Datacite)","title":"Efficient Architecture-Aware Acceleration of BWA-MEM for Multicore Systems","URL":"https://arxiv.org/abs/1907.12931","author":[{"family":"Md","given":"Vasimuddin"},{"family":"Misra","given":"Sanchit"},{"family":"Li","given":"Heng"},{"family":"Aluru","given":"Srinivas"}],"accessed":{"date-parts":[["2025",10,24]]},"issued":{"date-parts":[["2019"]]}}},{"id":400,"uris":["http://zotero.org/users/15533866/items/69Q4LEQ2"],"itemData":{"id":400,"type":"document","publisher":"Broad Institute, GitHub repository","title":"Picard Toolkit","URL":"http://broadinstitute.github.io/picard/","author":[{"family":"Broad Institute","given":""}],"issued":{"date-parts":[["2018"]]}}}],"schema":"https://github.com/citation-style-language/schema/raw/master/csl-citation.json"} </w:instrText>
      </w:r>
      <w:r>
        <w:rPr>
          <w:rFonts w:ascii="Calibri" w:eastAsia="SimSun" w:hAnsi="Calibri" w:cs="Times New Roman"/>
          <w:sz w:val="22"/>
          <w:szCs w:val="22"/>
          <w:lang w:val="en-US" w:eastAsia="zh-CN" w:bidi="ar"/>
        </w:rPr>
        <w:fldChar w:fldCharType="separate"/>
      </w:r>
      <w:r w:rsidR="003146B9" w:rsidRPr="003146B9">
        <w:rPr>
          <w:rFonts w:ascii="Calibri" w:hAnsi="Calibri" w:cs="Calibri"/>
          <w:sz w:val="22"/>
          <w:lang w:val="en-US"/>
        </w:rPr>
        <w:t>(3,13)</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and removed along with unmapped reads, low mapping quality reads (MAPQ &lt; 20), secondary, and supplementary alignments. Fragment lengths were extracted directly from the filtered BAM files. For end-motif analysis, the 4-nucleotide (4-mer) sequence at the 5′ end of each cfDNA fragment was extracted and used as the basis for feature construction.</w:t>
      </w:r>
    </w:p>
    <w:p w14:paraId="077F820A" w14:textId="77777777" w:rsidR="00045D2C" w:rsidRDefault="00000000" w:rsidP="005A6760">
      <w:pPr>
        <w:pStyle w:val="NormalWeb"/>
        <w:spacing w:after="60" w:line="360" w:lineRule="auto"/>
        <w:jc w:val="both"/>
        <w:rPr>
          <w:sz w:val="22"/>
          <w:szCs w:val="22"/>
          <w:lang w:val="en-US"/>
        </w:rPr>
      </w:pPr>
      <w:r>
        <w:rPr>
          <w:rFonts w:ascii="Calibri" w:eastAsia="SimSun" w:hAnsi="Calibri" w:cs="Times New Roman"/>
          <w:sz w:val="22"/>
          <w:szCs w:val="22"/>
          <w:lang w:val="en-US" w:eastAsia="zh-CN" w:bidi="ar"/>
        </w:rPr>
        <w:t xml:space="preserve">Fragment length analysis was limited to cfDNA fragments of 80–400 base pairs (bp). For each sample, fragment length counts were converted to relative frequencies and log10-transformed. A 32 bp rolling average was applied to smooth the frequency distribution, and the resulting values were Z-score standardized using the mean and standard deviation from an independent cohort of 14 healthy </w:t>
      </w:r>
      <w:r>
        <w:rPr>
          <w:rFonts w:ascii="Calibri" w:eastAsia="SimSun" w:hAnsi="Calibri" w:cs="Times New Roman"/>
          <w:sz w:val="22"/>
          <w:szCs w:val="22"/>
          <w:lang w:val="en-US" w:eastAsia="zh-CN" w:bidi="ar"/>
        </w:rPr>
        <w:lastRenderedPageBreak/>
        <w:t>gender- and age-matched control samples. The smoothed z-score distributions were then divided into nine non-overlapping 32 bp bins. The final set of fragment length features consisted of the standard deviation of Z-scores within each bin.</w:t>
      </w:r>
    </w:p>
    <w:p w14:paraId="41AC5E0C" w14:textId="77777777" w:rsidR="00045D2C" w:rsidRDefault="00000000" w:rsidP="005A6760">
      <w:pPr>
        <w:pStyle w:val="NormalWeb"/>
        <w:spacing w:after="60" w:line="360" w:lineRule="auto"/>
        <w:jc w:val="both"/>
        <w:rPr>
          <w:sz w:val="22"/>
          <w:szCs w:val="22"/>
          <w:lang w:val="en-US"/>
        </w:rPr>
      </w:pPr>
      <w:r>
        <w:rPr>
          <w:rFonts w:ascii="Calibri" w:eastAsia="SimSun" w:hAnsi="Calibri" w:cs="Times New Roman"/>
          <w:sz w:val="22"/>
          <w:szCs w:val="22"/>
          <w:lang w:val="en-US" w:eastAsia="zh-CN" w:bidi="ar"/>
        </w:rPr>
        <w:t>The initial set of 256 possible 4-mer end motifs was normalized using Centered Log-Ratio (CLR) transformation. Spectral Clustering was then applied to a target of 25 clusters. To reduce noise from infrequent motifs, clusters composed primarily of low-frequency motifs (mean frequency &lt; 0.008) were excluded following visual inspection, resulting in a refined feature set of 19 representative end-motif clusters.</w:t>
      </w:r>
    </w:p>
    <w:p w14:paraId="0CA0D6D7" w14:textId="77777777" w:rsidR="00045D2C" w:rsidRDefault="00000000" w:rsidP="005A6760">
      <w:pPr>
        <w:pStyle w:val="NormalWeb"/>
        <w:spacing w:after="60" w:line="360" w:lineRule="auto"/>
        <w:jc w:val="both"/>
        <w:rPr>
          <w:sz w:val="22"/>
          <w:szCs w:val="22"/>
          <w:lang w:val="en-US"/>
        </w:rPr>
      </w:pPr>
      <w:r>
        <w:rPr>
          <w:rFonts w:ascii="Calibri" w:eastAsia="SimSun" w:hAnsi="Calibri" w:cs="Times New Roman"/>
          <w:sz w:val="22"/>
          <w:szCs w:val="22"/>
          <w:lang w:val="en-US" w:eastAsia="zh-CN" w:bidi="ar"/>
        </w:rPr>
        <w:t>Owing to the small number of HRD-positive samples, conventional training/test splits were avoided to reduce the variance. Instead, model performance was evaluated using a 100-fold repeated stratified cross-validation. In each iteration, a penalized logistic regression model (L2 regularization, C = 1) is trained on the selected length and motif features. A late fusion strategy was applied by averaging the positive class probabilities across all the 100 models to generate the final prediction scores per sample. This approach allowed for stable estimates and mitigated overfitting owing to class imbalance and sample-size constraints.</w:t>
      </w:r>
    </w:p>
    <w:p w14:paraId="115EBFD7" w14:textId="77777777" w:rsidR="00045D2C" w:rsidRDefault="00000000" w:rsidP="005A6760">
      <w:pPr>
        <w:pStyle w:val="NormalWeb"/>
        <w:spacing w:after="60" w:line="360" w:lineRule="auto"/>
        <w:jc w:val="both"/>
        <w:rPr>
          <w:rFonts w:ascii="Calibri" w:eastAsia="SimSun" w:hAnsi="Calibri" w:cs="Times New Roman"/>
          <w:sz w:val="22"/>
          <w:szCs w:val="22"/>
          <w:lang w:val="en-US" w:eastAsia="zh-CN" w:bidi="ar"/>
        </w:rPr>
      </w:pPr>
      <w:r>
        <w:rPr>
          <w:rFonts w:ascii="Calibri" w:eastAsia="SimSun" w:hAnsi="Calibri" w:cs="Times New Roman"/>
          <w:sz w:val="22"/>
          <w:szCs w:val="22"/>
          <w:lang w:val="en-US" w:eastAsia="zh-CN" w:bidi="ar"/>
        </w:rPr>
        <w:t xml:space="preserve">To address the inherent challenges of a small sample size and class imbalance, we adopted a modeling strategy specifically designed for rare-event detection. Features were engineered using healthy control data alone to prevent data leakage and to capture biologically grounded deviations in cfDNA fragmentation. Rather than relying on aggregate metrics, we extracted localized patterns in fragment length variability and clustered end-motif sequences to retain interpretable structures while reducing noise. The classifier performance was evaluated using repeated stratified cross-validation with model averaging, providing stable and generalizable estimates despite the limited number of HRD-positive cases. This approach balances robustness with interpretability and supports the reliable discrimination of HRD status from subtle cfDNA </w:t>
      </w:r>
      <w:proofErr w:type="spellStart"/>
      <w:r>
        <w:rPr>
          <w:rFonts w:ascii="Calibri" w:eastAsia="SimSun" w:hAnsi="Calibri" w:cs="Times New Roman"/>
          <w:sz w:val="22"/>
          <w:szCs w:val="22"/>
          <w:lang w:val="en-US" w:eastAsia="zh-CN" w:bidi="ar"/>
        </w:rPr>
        <w:t>fragmentomics</w:t>
      </w:r>
      <w:proofErr w:type="spellEnd"/>
      <w:r>
        <w:rPr>
          <w:rFonts w:ascii="Calibri" w:eastAsia="SimSun" w:hAnsi="Calibri" w:cs="Times New Roman"/>
          <w:sz w:val="22"/>
          <w:szCs w:val="22"/>
          <w:lang w:val="en-US" w:eastAsia="zh-CN" w:bidi="ar"/>
        </w:rPr>
        <w:t xml:space="preserve"> signals.</w:t>
      </w:r>
    </w:p>
    <w:p w14:paraId="5674B4B5" w14:textId="77777777" w:rsidR="005A6760" w:rsidRDefault="005A6760" w:rsidP="005A6760">
      <w:pPr>
        <w:pStyle w:val="NormalWeb"/>
        <w:spacing w:after="60" w:line="360" w:lineRule="auto"/>
        <w:jc w:val="both"/>
        <w:rPr>
          <w:sz w:val="22"/>
          <w:szCs w:val="22"/>
          <w:lang w:val="en-US"/>
        </w:rPr>
      </w:pPr>
    </w:p>
    <w:p w14:paraId="7AF24463" w14:textId="77777777" w:rsidR="00045D2C" w:rsidRPr="00322A14" w:rsidRDefault="00000000" w:rsidP="005A6760">
      <w:pPr>
        <w:pStyle w:val="Heading2"/>
        <w:spacing w:line="360" w:lineRule="auto"/>
      </w:pPr>
      <w:bookmarkStart w:id="10" w:name="_Toc212073434"/>
      <w:r w:rsidRPr="00322A14">
        <w:rPr>
          <w:lang w:bidi="ar"/>
        </w:rPr>
        <w:t>Transcription factor binding analysis</w:t>
      </w:r>
      <w:bookmarkEnd w:id="10"/>
    </w:p>
    <w:p w14:paraId="3B368D64" w14:textId="015F28EC" w:rsidR="00045D2C" w:rsidRDefault="00000000" w:rsidP="005A6760">
      <w:pPr>
        <w:pStyle w:val="NormalWeb"/>
        <w:spacing w:after="60" w:line="360" w:lineRule="auto"/>
        <w:jc w:val="both"/>
        <w:rPr>
          <w:sz w:val="22"/>
          <w:szCs w:val="22"/>
          <w:lang w:val="en-US"/>
        </w:rPr>
      </w:pPr>
      <w:r>
        <w:rPr>
          <w:rFonts w:ascii="Calibri" w:eastAsia="SimSun" w:hAnsi="Calibri" w:cs="Times New Roman"/>
          <w:sz w:val="22"/>
          <w:szCs w:val="22"/>
          <w:lang w:val="en-US" w:eastAsia="zh-CN" w:bidi="ar"/>
        </w:rPr>
        <w:t xml:space="preserve">To investigate chromatin accessibility at TFBS in cfDNA, we applied the </w:t>
      </w:r>
      <w:proofErr w:type="spellStart"/>
      <w:r>
        <w:rPr>
          <w:rFonts w:ascii="Calibri" w:eastAsia="SimSun" w:hAnsi="Calibri" w:cs="Times New Roman"/>
          <w:sz w:val="22"/>
          <w:szCs w:val="22"/>
          <w:lang w:val="en-US" w:eastAsia="zh-CN" w:bidi="ar"/>
        </w:rPr>
        <w:t>LBFextract</w:t>
      </w:r>
      <w:proofErr w:type="spellEnd"/>
      <w:r>
        <w:rPr>
          <w:rFonts w:ascii="Calibri" w:eastAsia="SimSun" w:hAnsi="Calibri" w:cs="Times New Roman"/>
          <w:sz w:val="22"/>
          <w:szCs w:val="22"/>
          <w:lang w:val="en-US" w:eastAsia="zh-CN" w:bidi="ar"/>
        </w:rPr>
        <w:t xml:space="preserve"> framework (v0.1.0a1) for feature extraction and differential analysis </w:t>
      </w:r>
      <w:r>
        <w:rPr>
          <w:rFonts w:ascii="Calibri" w:eastAsia="SimSun" w:hAnsi="Calibri" w:cs="Times New Roman"/>
          <w:sz w:val="22"/>
          <w:szCs w:val="22"/>
          <w:lang w:val="en-US" w:eastAsia="zh-CN" w:bidi="ar"/>
        </w:rPr>
        <w:fldChar w:fldCharType="begin"/>
      </w:r>
      <w:r w:rsidR="00B935AE">
        <w:rPr>
          <w:rFonts w:ascii="Calibri" w:eastAsia="SimSun" w:hAnsi="Calibri" w:cs="Times New Roman"/>
          <w:sz w:val="22"/>
          <w:szCs w:val="22"/>
          <w:lang w:val="en-US" w:eastAsia="zh-CN" w:bidi="ar"/>
        </w:rPr>
        <w:instrText xml:space="preserve"> ADDIN ZOTERO_ITEM CSL_CITATION {"citationID":"qt43yLbx","properties":{"formattedCitation":"(19)","plainCitation":"(19)","noteIndex":0},"citationItems":[{"id":228,"uris":["http://zotero.org/users/15533866/items/5DJEBA8V"],"itemData":{"id":228,"type":"article-journal","abstract":"Motivation\nThe analysis of circulating cell-free DNA (cfDNA) holds immense promise as a non-invasive diagnostic tool across various human conditions. However, extracting biological insights from cfDNA fragments entails navigating complex and diverse bioinformatics methods, encompassing not only DNA sequence variation, but also epigenetic characteristics like nucleosome footprints, fragment length, and methylation patterns.\nResults\nWe introduce Liquid Biopsy Feature extract (LBFextract), a comprehensive package designed to streamline feature extraction from cfDNA sequencing data, with the aim of enhancing the reproducibility and comparability of liquid biopsy studies. LBFextract facilitates the integration of preprocessing and postprocessing steps through alignment fragment tags and a hook mechanism. It incorporates various methods, including coverage-based and fragment length-based approaches, alongside two novel feature extraction methods: an entropy-based method to infer TF activity from fragmentomics data and a technique to amplify signals from nucleosome dyads. Additionally, it implements a method to extract condition-specific differentially active TFs based on these features for biomarker discovery. We demonstrate the use of LBFextract for the subtype classification of advanced prostate cancer patients using coverage signals at transcription factor binding sites from cfDNA. We show that LBFextract can generate robust and interpretable features that can discriminate between different clinical groups. LBFextract is a versatile and user-friendly package that can facilitate the analysis and interpretation of liquid biopsy data.\nData and Code Availability and Implementation\nLBFextract is freely accessible at https://github.com/Isy89/LBF. It is implemented in Python and compatible with Linux and Mac operating systems. Code and data to reproduce these analyses have been uploaded to 10.5281/zenodo.10964406.","container-title":"Computational and Structural Biotechnology Journal","DOI":"10.1016/j.csbj.2024.08.007","ISSN":"2001-0370","journalAbbreviation":"Computational and Structural Biotechnology Journal","page":"3163-3174","title":"LBFextract: Unveiling transcription factor dynamics from liquid biopsy data","volume":"23","author":[{"family":"Lazzeri","given":"Isaac"},{"family":"Spiegl","given":"Benjamin Gernot"},{"family":"Hasenleithner","given":"Samantha O."},{"family":"Speicher","given":"Michael R."},{"family":"Kircher","given":"Martin"}],"issued":{"date-parts":[["2024",12,1]]}}}],"schema":"https://github.com/citation-style-language/schema/raw/master/csl-citation.json"} </w:instrText>
      </w:r>
      <w:r>
        <w:rPr>
          <w:rFonts w:ascii="Calibri" w:eastAsia="SimSun" w:hAnsi="Calibri" w:cs="Times New Roman"/>
          <w:sz w:val="22"/>
          <w:szCs w:val="22"/>
          <w:lang w:val="en-US" w:eastAsia="zh-CN" w:bidi="ar"/>
        </w:rPr>
        <w:fldChar w:fldCharType="separate"/>
      </w:r>
      <w:r w:rsidR="00B935AE" w:rsidRPr="00274DBC">
        <w:rPr>
          <w:rFonts w:ascii="Calibri" w:hAnsi="Calibri" w:cs="Calibri"/>
          <w:sz w:val="22"/>
          <w:lang w:val="en-US"/>
        </w:rPr>
        <w:t>(19)</w:t>
      </w:r>
      <w:r>
        <w:rPr>
          <w:rFonts w:ascii="Calibri" w:eastAsia="SimSun" w:hAnsi="Calibri" w:cs="Times New Roman"/>
          <w:sz w:val="22"/>
          <w:szCs w:val="22"/>
          <w:lang w:val="en-US" w:eastAsia="zh-CN" w:bidi="ar"/>
        </w:rPr>
        <w:fldChar w:fldCharType="end"/>
      </w:r>
      <w:r>
        <w:rPr>
          <w:rFonts w:ascii="Calibri" w:eastAsia="SimSun" w:hAnsi="Calibri" w:cs="Times New Roman"/>
          <w:sz w:val="22"/>
          <w:szCs w:val="22"/>
          <w:lang w:val="en-US" w:eastAsia="zh-CN" w:bidi="ar"/>
        </w:rPr>
        <w:t xml:space="preserve">. </w:t>
      </w:r>
      <w:proofErr w:type="spellStart"/>
      <w:r>
        <w:rPr>
          <w:rFonts w:ascii="Calibri" w:eastAsia="SimSun" w:hAnsi="Calibri" w:cs="Times New Roman"/>
          <w:sz w:val="22"/>
          <w:szCs w:val="22"/>
          <w:lang w:val="en-US" w:eastAsia="zh-CN" w:bidi="ar"/>
        </w:rPr>
        <w:t>LBFextract</w:t>
      </w:r>
      <w:proofErr w:type="spellEnd"/>
      <w:r>
        <w:rPr>
          <w:rFonts w:ascii="Calibri" w:eastAsia="SimSun" w:hAnsi="Calibri" w:cs="Times New Roman"/>
          <w:sz w:val="22"/>
          <w:szCs w:val="22"/>
          <w:lang w:val="en-US" w:eastAsia="zh-CN" w:bidi="ar"/>
        </w:rPr>
        <w:t xml:space="preserve"> is a modular Python-based package designed specifically for WGS data from liquid biopsies and enables systematic quantification of chromatin-associated signals around predefined genomic features.</w:t>
      </w:r>
    </w:p>
    <w:p w14:paraId="7727EBD8" w14:textId="194A380F" w:rsidR="00B01AD9" w:rsidRPr="00AE14AD" w:rsidRDefault="00000000" w:rsidP="00B01AD9">
      <w:pPr>
        <w:pStyle w:val="NormalWeb"/>
        <w:spacing w:after="60" w:line="360" w:lineRule="auto"/>
        <w:jc w:val="both"/>
        <w:rPr>
          <w:rFonts w:ascii="Calibri" w:eastAsia="SimSun" w:hAnsi="Calibri" w:cs="Times New Roman"/>
          <w:sz w:val="22"/>
          <w:szCs w:val="22"/>
          <w:lang w:val="en-US" w:eastAsia="zh-CN" w:bidi="ar"/>
        </w:rPr>
      </w:pPr>
      <w:r>
        <w:rPr>
          <w:rFonts w:ascii="Calibri" w:eastAsia="SimSun" w:hAnsi="Calibri" w:cs="Times New Roman"/>
          <w:sz w:val="22"/>
          <w:szCs w:val="22"/>
          <w:lang w:val="en-US" w:eastAsia="zh-CN" w:bidi="ar"/>
        </w:rPr>
        <w:t xml:space="preserve">Coverage signals were </w:t>
      </w:r>
      <w:r w:rsidRPr="00AE14AD">
        <w:rPr>
          <w:rFonts w:ascii="Calibri" w:eastAsia="SimSun" w:hAnsi="Calibri" w:cs="Times New Roman"/>
          <w:sz w:val="22"/>
          <w:szCs w:val="22"/>
          <w:lang w:val="en-US" w:eastAsia="zh-CN" w:bidi="ar"/>
        </w:rPr>
        <w:t>calculated at TFBS loci defined in BED format using fragment coverage derived from paired-end WGS cfDNA alignments. The signal at each site was summarized using a normalized mean coverage approach across a 4,000 bp window (±2,000 bp from the TFBS center), and flanking regions were used to adjust for global depth variability.</w:t>
      </w:r>
      <w:r w:rsidR="00B01AD9" w:rsidRPr="00AE14AD">
        <w:rPr>
          <w:rFonts w:ascii="Calibri" w:eastAsia="SimSun" w:hAnsi="Calibri" w:cs="Times New Roman"/>
          <w:sz w:val="22"/>
          <w:szCs w:val="22"/>
          <w:lang w:val="en-US" w:eastAsia="zh-CN" w:bidi="ar"/>
        </w:rPr>
        <w:t xml:space="preserve"> To correct for GC bias at the fragment level, </w:t>
      </w:r>
      <w:r w:rsidR="00B01AD9" w:rsidRPr="00AE14AD">
        <w:rPr>
          <w:rFonts w:ascii="Calibri" w:eastAsia="SimSun" w:hAnsi="Calibri" w:cs="Times New Roman"/>
          <w:sz w:val="22"/>
          <w:szCs w:val="22"/>
          <w:lang w:val="en-US" w:eastAsia="zh-CN" w:bidi="ar"/>
        </w:rPr>
        <w:lastRenderedPageBreak/>
        <w:t xml:space="preserve">we used </w:t>
      </w:r>
      <w:proofErr w:type="spellStart"/>
      <w:r w:rsidR="00B01AD9" w:rsidRPr="00AE14AD">
        <w:rPr>
          <w:rFonts w:ascii="Calibri" w:eastAsia="SimSun" w:hAnsi="Calibri" w:cs="Times New Roman"/>
          <w:sz w:val="22"/>
          <w:szCs w:val="22"/>
          <w:lang w:val="en-US" w:eastAsia="zh-CN" w:bidi="ar"/>
        </w:rPr>
        <w:t>GCparagon</w:t>
      </w:r>
      <w:proofErr w:type="spellEnd"/>
      <w:r w:rsidR="00B01AD9" w:rsidRPr="00AE14AD">
        <w:rPr>
          <w:rFonts w:ascii="Calibri" w:eastAsia="SimSun" w:hAnsi="Calibri" w:cs="Times New Roman"/>
          <w:sz w:val="22"/>
          <w:szCs w:val="22"/>
          <w:lang w:val="en-US" w:eastAsia="zh-CN" w:bidi="ar"/>
        </w:rPr>
        <w:t xml:space="preserve">, a tool specifically designed to address fragment length–dependent GC biases in cfDNA WGS data while enabling rapid computation. </w:t>
      </w:r>
      <w:proofErr w:type="spellStart"/>
      <w:r w:rsidR="00B01AD9" w:rsidRPr="00AE14AD">
        <w:rPr>
          <w:rFonts w:ascii="Calibri" w:eastAsia="SimSun" w:hAnsi="Calibri" w:cs="Times New Roman"/>
          <w:sz w:val="22"/>
          <w:szCs w:val="22"/>
          <w:lang w:val="en-US" w:eastAsia="zh-CN" w:bidi="ar"/>
        </w:rPr>
        <w:t>GCparagon</w:t>
      </w:r>
      <w:proofErr w:type="spellEnd"/>
      <w:r w:rsidR="00B01AD9" w:rsidRPr="00AE14AD">
        <w:rPr>
          <w:rFonts w:ascii="Calibri" w:eastAsia="SimSun" w:hAnsi="Calibri" w:cs="Times New Roman"/>
          <w:sz w:val="22"/>
          <w:szCs w:val="22"/>
          <w:lang w:val="en-US" w:eastAsia="zh-CN" w:bidi="ar"/>
        </w:rPr>
        <w:t xml:space="preserve"> assigns GC bias weights to individual reads, which are incorporated by </w:t>
      </w:r>
      <w:proofErr w:type="spellStart"/>
      <w:r w:rsidR="00B01AD9" w:rsidRPr="00AE14AD">
        <w:rPr>
          <w:rFonts w:ascii="Calibri" w:eastAsia="SimSun" w:hAnsi="Calibri" w:cs="Times New Roman"/>
          <w:sz w:val="22"/>
          <w:szCs w:val="22"/>
          <w:lang w:val="en-US" w:eastAsia="zh-CN" w:bidi="ar"/>
        </w:rPr>
        <w:t>LBFextract</w:t>
      </w:r>
      <w:proofErr w:type="spellEnd"/>
      <w:r w:rsidR="00B01AD9" w:rsidRPr="00AE14AD">
        <w:rPr>
          <w:rFonts w:ascii="Calibri" w:eastAsia="SimSun" w:hAnsi="Calibri" w:cs="Times New Roman"/>
          <w:sz w:val="22"/>
          <w:szCs w:val="22"/>
          <w:lang w:val="en-US" w:eastAsia="zh-CN" w:bidi="ar"/>
        </w:rPr>
        <w:t xml:space="preserve"> during coverage calculation, ensuring accurate GC-corrected fragment coverage across sample</w:t>
      </w:r>
      <w:r w:rsidR="003146B9" w:rsidRPr="00AE14AD">
        <w:rPr>
          <w:rFonts w:ascii="Calibri" w:eastAsia="SimSun" w:hAnsi="Calibri" w:cs="Times New Roman"/>
          <w:sz w:val="22"/>
          <w:szCs w:val="22"/>
          <w:lang w:val="en-US" w:eastAsia="zh-CN" w:bidi="ar"/>
        </w:rPr>
        <w:t xml:space="preserve">s </w:t>
      </w:r>
      <w:r w:rsidR="003146B9" w:rsidRPr="00AE14AD">
        <w:rPr>
          <w:rFonts w:ascii="Calibri" w:eastAsia="SimSun" w:hAnsi="Calibri" w:cs="Times New Roman"/>
          <w:sz w:val="22"/>
          <w:szCs w:val="22"/>
          <w:lang w:val="en-US" w:eastAsia="zh-CN" w:bidi="ar"/>
        </w:rPr>
        <w:fldChar w:fldCharType="begin"/>
      </w:r>
      <w:r w:rsidR="003146B9" w:rsidRPr="00AE14AD">
        <w:rPr>
          <w:rFonts w:ascii="Calibri" w:eastAsia="SimSun" w:hAnsi="Calibri" w:cs="Times New Roman"/>
          <w:sz w:val="22"/>
          <w:szCs w:val="22"/>
          <w:lang w:val="en-US" w:eastAsia="zh-CN" w:bidi="ar"/>
        </w:rPr>
        <w:instrText xml:space="preserve"> ADDIN ZOTERO_ITEM CSL_CITATION {"citationID":"fagnj79i","properties":{"formattedCitation":"(20)","plainCitation":"(20)","noteIndex":0},"citationItems":[{"id":621,"uris":["http://zotero.org/users/15533866/items/YFC3DFR9"],"itemData":{"id":621,"type":"article-journal","abstract":"Abstract\n            Analyses of cell-free DNA (cfDNA) are increasingly being employed for various diagnostic and research applications. Many technologies aim to increase resolution, e.g. for detecting early-stage cancer or minimal residual disease. However, these efforts may be confounded by inherent base composition biases of cfDNA, specifically the over - and underrepresentation of guanine (G) and cytosine (C) sequences. Currently, there is no universally applicable tool to correct these effects on sequencing read-level data. Here, we present GCparagon, a two-stage algorithm for computing and correcting GC biases in cfDNA samples. In the initial step, length and GC base count parameters are determined. Here, our algorithm minimizes the inclusion of known problematic genomic regions, such as low-mappability regions, in its calculations. In the second step, GCparagon computes weights counterbalancing the distortion of cfDNA attributes (correction matrix). These fragment weights are added to a binary alignment map (BAM) file as alignment tags for individual reads. The GC correction matrix or the tagged BAM file can be used for downstream analyses. Parallel computing allows for a GC bias estimation below 1 min. We demonstrate that GCparagon vastly improves the analysis of regulatory regions, which frequently show specific GC composition patterns and will contribute to standardized cfDNA applications.","container-title":"NAR Genomics and Bioinformatics","DOI":"10.1093/nargab/lqad102","ISSN":"2631-9268","issue":"4","language":"en","license":"https://creativecommons.org/licenses/by/4.0/","page":"lqad102","source":"DOI.org (Crossref)","title":"GCparagon: evaluating and correcting GC biases in cell-free DNA at the fragment level","title-short":"GCparagon","volume":"5","author":[{"family":"Spiegl","given":"Benjamin"},{"family":"Kapidzic","given":"Faruk"},{"family":"Röner","given":"Sebastian"},{"family":"Kircher","given":"Martin"},{"family":"Speicher","given":"Michael R"}],"issued":{"date-parts":[["2023",10,11]]}}}],"schema":"https://github.com/citation-style-language/schema/raw/master/csl-citation.json"} </w:instrText>
      </w:r>
      <w:r w:rsidR="003146B9" w:rsidRPr="00AE14AD">
        <w:rPr>
          <w:rFonts w:ascii="Calibri" w:eastAsia="SimSun" w:hAnsi="Calibri" w:cs="Times New Roman"/>
          <w:sz w:val="22"/>
          <w:szCs w:val="22"/>
          <w:lang w:val="en-US" w:eastAsia="zh-CN" w:bidi="ar"/>
        </w:rPr>
        <w:fldChar w:fldCharType="separate"/>
      </w:r>
      <w:r w:rsidR="003146B9" w:rsidRPr="00AE14AD">
        <w:rPr>
          <w:rFonts w:ascii="Calibri" w:hAnsi="Calibri" w:cs="Calibri"/>
          <w:sz w:val="22"/>
          <w:lang w:val="en-US"/>
        </w:rPr>
        <w:t>(20)</w:t>
      </w:r>
      <w:r w:rsidR="003146B9" w:rsidRPr="00AE14AD">
        <w:rPr>
          <w:rFonts w:ascii="Calibri" w:eastAsia="SimSun" w:hAnsi="Calibri" w:cs="Times New Roman"/>
          <w:sz w:val="22"/>
          <w:szCs w:val="22"/>
          <w:lang w:val="en-US" w:eastAsia="zh-CN" w:bidi="ar"/>
        </w:rPr>
        <w:fldChar w:fldCharType="end"/>
      </w:r>
      <w:r w:rsidR="003146B9" w:rsidRPr="00AE14AD">
        <w:rPr>
          <w:rFonts w:ascii="Calibri" w:eastAsia="SimSun" w:hAnsi="Calibri" w:cs="Times New Roman"/>
          <w:sz w:val="22"/>
          <w:szCs w:val="22"/>
          <w:lang w:val="en-US" w:eastAsia="zh-CN" w:bidi="ar"/>
        </w:rPr>
        <w:t>.</w:t>
      </w:r>
    </w:p>
    <w:p w14:paraId="69FD5BFF" w14:textId="77777777" w:rsidR="00B01AD9" w:rsidRPr="00AE14AD" w:rsidRDefault="00B01AD9" w:rsidP="00B01AD9">
      <w:pPr>
        <w:pStyle w:val="NormalWeb"/>
        <w:spacing w:after="60" w:line="360" w:lineRule="auto"/>
        <w:jc w:val="both"/>
        <w:rPr>
          <w:rFonts w:ascii="Calibri" w:eastAsia="SimSun" w:hAnsi="Calibri" w:cs="Times New Roman"/>
          <w:sz w:val="22"/>
          <w:szCs w:val="22"/>
          <w:lang w:val="en-US" w:eastAsia="zh-CN" w:bidi="ar"/>
        </w:rPr>
      </w:pPr>
      <w:r w:rsidRPr="00AE14AD">
        <w:rPr>
          <w:rFonts w:ascii="Calibri" w:eastAsia="SimSun" w:hAnsi="Calibri" w:cs="Times New Roman"/>
          <w:sz w:val="22"/>
          <w:szCs w:val="22"/>
          <w:lang w:val="en-US" w:eastAsia="zh-CN" w:bidi="ar"/>
        </w:rPr>
        <w:t xml:space="preserve">For transcription factor specific analysis, TFBS data were retrieved from the GTRD database (version 21.12). Specifically, we downloaded the Homo_sapiens_meta_clusters.zip file and split the data by the </w:t>
      </w:r>
      <w:proofErr w:type="spellStart"/>
      <w:r w:rsidRPr="00AE14AD">
        <w:rPr>
          <w:rFonts w:ascii="Calibri" w:eastAsia="SimSun" w:hAnsi="Calibri" w:cs="Times New Roman"/>
          <w:sz w:val="22"/>
          <w:szCs w:val="22"/>
          <w:lang w:val="en-US" w:eastAsia="zh-CN" w:bidi="ar"/>
        </w:rPr>
        <w:t>tfTitle</w:t>
      </w:r>
      <w:proofErr w:type="spellEnd"/>
      <w:r w:rsidRPr="00AE14AD">
        <w:rPr>
          <w:rFonts w:ascii="Calibri" w:eastAsia="SimSun" w:hAnsi="Calibri" w:cs="Times New Roman"/>
          <w:sz w:val="22"/>
          <w:szCs w:val="22"/>
          <w:lang w:val="en-US" w:eastAsia="zh-CN" w:bidi="ar"/>
        </w:rPr>
        <w:t xml:space="preserve"> column, ranking the entries by </w:t>
      </w:r>
      <w:proofErr w:type="spellStart"/>
      <w:proofErr w:type="gramStart"/>
      <w:r w:rsidRPr="00AE14AD">
        <w:rPr>
          <w:rFonts w:ascii="Calibri" w:eastAsia="SimSun" w:hAnsi="Calibri" w:cs="Times New Roman"/>
          <w:sz w:val="22"/>
          <w:szCs w:val="22"/>
          <w:lang w:val="en-US" w:eastAsia="zh-CN" w:bidi="ar"/>
        </w:rPr>
        <w:t>peak.count</w:t>
      </w:r>
      <w:proofErr w:type="spellEnd"/>
      <w:proofErr w:type="gramEnd"/>
      <w:r w:rsidRPr="00AE14AD">
        <w:rPr>
          <w:rFonts w:ascii="Calibri" w:eastAsia="SimSun" w:hAnsi="Calibri" w:cs="Times New Roman"/>
          <w:sz w:val="22"/>
          <w:szCs w:val="22"/>
          <w:lang w:val="en-US" w:eastAsia="zh-CN" w:bidi="ar"/>
        </w:rPr>
        <w:t xml:space="preserve"> - the number of </w:t>
      </w:r>
      <w:proofErr w:type="spellStart"/>
      <w:r w:rsidRPr="00AE14AD">
        <w:rPr>
          <w:rFonts w:ascii="Calibri" w:eastAsia="SimSun" w:hAnsi="Calibri" w:cs="Times New Roman"/>
          <w:sz w:val="22"/>
          <w:szCs w:val="22"/>
          <w:lang w:val="en-US" w:eastAsia="zh-CN" w:bidi="ar"/>
        </w:rPr>
        <w:t>ChIP</w:t>
      </w:r>
      <w:proofErr w:type="spellEnd"/>
      <w:r w:rsidRPr="00AE14AD">
        <w:rPr>
          <w:rFonts w:ascii="Calibri" w:eastAsia="SimSun" w:hAnsi="Calibri" w:cs="Times New Roman"/>
          <w:sz w:val="22"/>
          <w:szCs w:val="22"/>
          <w:lang w:val="en-US" w:eastAsia="zh-CN" w:bidi="ar"/>
        </w:rPr>
        <w:t xml:space="preserve">-seq experiments supporting each </w:t>
      </w:r>
      <w:proofErr w:type="spellStart"/>
      <w:r w:rsidRPr="00AE14AD">
        <w:rPr>
          <w:rFonts w:ascii="Calibri" w:eastAsia="SimSun" w:hAnsi="Calibri" w:cs="Times New Roman"/>
          <w:sz w:val="22"/>
          <w:szCs w:val="22"/>
          <w:lang w:val="en-US" w:eastAsia="zh-CN" w:bidi="ar"/>
        </w:rPr>
        <w:t>metacluster</w:t>
      </w:r>
      <w:proofErr w:type="spellEnd"/>
      <w:r w:rsidRPr="00AE14AD">
        <w:rPr>
          <w:rFonts w:ascii="Calibri" w:eastAsia="SimSun" w:hAnsi="Calibri" w:cs="Times New Roman"/>
          <w:sz w:val="22"/>
          <w:szCs w:val="22"/>
          <w:lang w:val="en-US" w:eastAsia="zh-CN" w:bidi="ar"/>
        </w:rPr>
        <w:t xml:space="preserve">. We then excluded all TFBS regions (±2,000 bp around each TFBS center) that overlapped with the ENCODE Blacklist V2 (hg38) to eliminate problematic genomic regions. From the remaining TFBSs, we selected the top 1,000 sites per TF, ranked by </w:t>
      </w:r>
      <w:proofErr w:type="spellStart"/>
      <w:proofErr w:type="gramStart"/>
      <w:r w:rsidRPr="00AE14AD">
        <w:rPr>
          <w:rFonts w:ascii="Calibri" w:eastAsia="SimSun" w:hAnsi="Calibri" w:cs="Times New Roman"/>
          <w:sz w:val="22"/>
          <w:szCs w:val="22"/>
          <w:lang w:val="en-US" w:eastAsia="zh-CN" w:bidi="ar"/>
        </w:rPr>
        <w:t>peak.count</w:t>
      </w:r>
      <w:proofErr w:type="spellEnd"/>
      <w:proofErr w:type="gramEnd"/>
      <w:r w:rsidRPr="00AE14AD">
        <w:rPr>
          <w:rFonts w:ascii="Calibri" w:eastAsia="SimSun" w:hAnsi="Calibri" w:cs="Times New Roman"/>
          <w:sz w:val="22"/>
          <w:szCs w:val="22"/>
          <w:lang w:val="en-US" w:eastAsia="zh-CN" w:bidi="ar"/>
        </w:rPr>
        <w:t xml:space="preserve">, ensuring high-confidence binding sites.  Coverage extraction was performed for all 1,048 TFs with at least 1,000 TFBSs after blacklist filtering using </w:t>
      </w:r>
      <w:proofErr w:type="spellStart"/>
      <w:r w:rsidRPr="00AE14AD">
        <w:rPr>
          <w:rFonts w:ascii="Calibri" w:eastAsia="SimSun" w:hAnsi="Calibri" w:cs="Times New Roman"/>
          <w:sz w:val="22"/>
          <w:szCs w:val="22"/>
          <w:lang w:val="en-US" w:eastAsia="zh-CN" w:bidi="ar"/>
        </w:rPr>
        <w:t>LBFextract</w:t>
      </w:r>
      <w:proofErr w:type="spellEnd"/>
      <w:r w:rsidRPr="00AE14AD">
        <w:rPr>
          <w:rFonts w:ascii="Calibri" w:eastAsia="SimSun" w:hAnsi="Calibri" w:cs="Times New Roman"/>
          <w:sz w:val="22"/>
          <w:szCs w:val="22"/>
          <w:lang w:val="en-US" w:eastAsia="zh-CN" w:bidi="ar"/>
        </w:rPr>
        <w:t xml:space="preserve">. The resulting coverage signals were normalized in multiple steps: </w:t>
      </w:r>
    </w:p>
    <w:p w14:paraId="137D3135" w14:textId="71A04E5F" w:rsidR="00B01AD9" w:rsidRPr="00AE14AD" w:rsidRDefault="00B01AD9" w:rsidP="00B01AD9">
      <w:pPr>
        <w:pStyle w:val="NormalWeb"/>
        <w:numPr>
          <w:ilvl w:val="0"/>
          <w:numId w:val="3"/>
        </w:numPr>
        <w:spacing w:after="60" w:line="360" w:lineRule="auto"/>
        <w:jc w:val="both"/>
        <w:rPr>
          <w:rFonts w:ascii="Calibri" w:eastAsia="SimSun" w:hAnsi="Calibri" w:cs="Times New Roman"/>
          <w:sz w:val="22"/>
          <w:szCs w:val="22"/>
          <w:lang w:val="en-US" w:eastAsia="zh-CN" w:bidi="ar"/>
        </w:rPr>
      </w:pPr>
      <w:r w:rsidRPr="00AE14AD">
        <w:rPr>
          <w:rFonts w:ascii="Calibri" w:eastAsia="SimSun" w:hAnsi="Calibri" w:cs="Times New Roman"/>
          <w:i/>
          <w:iCs/>
          <w:sz w:val="22"/>
          <w:szCs w:val="22"/>
          <w:lang w:val="en-US" w:eastAsia="zh-CN" w:bidi="ar"/>
        </w:rPr>
        <w:t>In silico</w:t>
      </w:r>
      <w:r w:rsidRPr="00AE14AD">
        <w:rPr>
          <w:rFonts w:ascii="Calibri" w:eastAsia="SimSun" w:hAnsi="Calibri" w:cs="Times New Roman"/>
          <w:sz w:val="22"/>
          <w:szCs w:val="22"/>
          <w:lang w:val="en-US" w:eastAsia="zh-CN" w:bidi="ar"/>
        </w:rPr>
        <w:t xml:space="preserve"> normalization was applied to achieve consistent tumor fraction and sequencing coverage across samples, following the procedure described by Lazzeri et al.</w:t>
      </w:r>
      <w:r w:rsidR="00E632E8" w:rsidRPr="00AE14AD">
        <w:rPr>
          <w:rFonts w:ascii="Calibri" w:eastAsia="SimSun" w:hAnsi="Calibri" w:cs="Times New Roman"/>
          <w:sz w:val="22"/>
          <w:szCs w:val="22"/>
          <w:lang w:val="en-US" w:eastAsia="zh-CN" w:bidi="ar"/>
        </w:rPr>
        <w:t xml:space="preserve"> </w:t>
      </w:r>
      <w:r w:rsidR="00E632E8" w:rsidRPr="00AE14AD">
        <w:rPr>
          <w:rFonts w:ascii="Calibri" w:eastAsia="SimSun" w:hAnsi="Calibri" w:cs="Times New Roman"/>
          <w:sz w:val="22"/>
          <w:szCs w:val="22"/>
          <w:lang w:val="en-US" w:eastAsia="zh-CN" w:bidi="ar"/>
        </w:rPr>
        <w:fldChar w:fldCharType="begin"/>
      </w:r>
      <w:r w:rsidR="00E632E8" w:rsidRPr="00AE14AD">
        <w:rPr>
          <w:rFonts w:ascii="Calibri" w:eastAsia="SimSun" w:hAnsi="Calibri" w:cs="Times New Roman"/>
          <w:sz w:val="22"/>
          <w:szCs w:val="22"/>
          <w:lang w:val="en-US" w:eastAsia="zh-CN" w:bidi="ar"/>
        </w:rPr>
        <w:instrText xml:space="preserve"> ADDIN ZOTERO_ITEM CSL_CITATION {"citationID":"gIWszIG6","properties":{"formattedCitation":"(19)","plainCitation":"(19)","noteIndex":0},"citationItems":[{"id":228,"uris":["http://zotero.org/users/15533866/items/5DJEBA8V"],"itemData":{"id":228,"type":"article-journal","abstract":"Motivation\nThe analysis of circulating cell-free DNA (cfDNA) holds immense promise as a non-invasive diagnostic tool across various human conditions. However, extracting biological insights from cfDNA fragments entails navigating complex and diverse bioinformatics methods, encompassing not only DNA sequence variation, but also epigenetic characteristics like nucleosome footprints, fragment length, and methylation patterns.\nResults\nWe introduce Liquid Biopsy Feature extract (LBFextract), a comprehensive package designed to streamline feature extraction from cfDNA sequencing data, with the aim of enhancing the reproducibility and comparability of liquid biopsy studies. LBFextract facilitates the integration of preprocessing and postprocessing steps through alignment fragment tags and a hook mechanism. It incorporates various methods, including coverage-based and fragment length-based approaches, alongside two novel feature extraction methods: an entropy-based method to infer TF activity from fragmentomics data and a technique to amplify signals from nucleosome dyads. Additionally, it implements a method to extract condition-specific differentially active TFs based on these features for biomarker discovery. We demonstrate the use of LBFextract for the subtype classification of advanced prostate cancer patients using coverage signals at transcription factor binding sites from cfDNA. We show that LBFextract can generate robust and interpretable features that can discriminate between different clinical groups. LBFextract is a versatile and user-friendly package that can facilitate the analysis and interpretation of liquid biopsy data.\nData and Code Availability and Implementation\nLBFextract is freely accessible at https://github.com/Isy89/LBF. It is implemented in Python and compatible with Linux and Mac operating systems. Code and data to reproduce these analyses have been uploaded to 10.5281/zenodo.10964406.","container-title":"Computational and Structural Biotechnology Journal","DOI":"10.1016/j.csbj.2024.08.007","ISSN":"2001-0370","journalAbbreviation":"Computational and Structural Biotechnology Journal","page":"3163-3174","title":"LBFextract: Unveiling transcription factor dynamics from liquid biopsy data","volume":"23","author":[{"family":"Lazzeri","given":"Isaac"},{"family":"Spiegl","given":"Benjamin Gernot"},{"family":"Hasenleithner","given":"Samantha O."},{"family":"Speicher","given":"Michael R."},{"family":"Kircher","given":"Martin"}],"issued":{"date-parts":[["2024",12,1]]}}}],"schema":"https://github.com/citation-style-language/schema/raw/master/csl-citation.json"} </w:instrText>
      </w:r>
      <w:r w:rsidR="00E632E8" w:rsidRPr="00AE14AD">
        <w:rPr>
          <w:rFonts w:ascii="Calibri" w:eastAsia="SimSun" w:hAnsi="Calibri" w:cs="Times New Roman"/>
          <w:sz w:val="22"/>
          <w:szCs w:val="22"/>
          <w:lang w:val="en-US" w:eastAsia="zh-CN" w:bidi="ar"/>
        </w:rPr>
        <w:fldChar w:fldCharType="separate"/>
      </w:r>
      <w:r w:rsidR="00E632E8" w:rsidRPr="00274DBC">
        <w:rPr>
          <w:rFonts w:ascii="Calibri" w:hAnsi="Calibri" w:cs="Calibri"/>
          <w:sz w:val="22"/>
          <w:lang w:val="en-US"/>
        </w:rPr>
        <w:t>(19)</w:t>
      </w:r>
      <w:r w:rsidR="00E632E8" w:rsidRPr="00AE14AD">
        <w:rPr>
          <w:rFonts w:ascii="Calibri" w:eastAsia="SimSun" w:hAnsi="Calibri" w:cs="Times New Roman"/>
          <w:sz w:val="22"/>
          <w:szCs w:val="22"/>
          <w:lang w:val="en-US" w:eastAsia="zh-CN" w:bidi="ar"/>
        </w:rPr>
        <w:fldChar w:fldCharType="end"/>
      </w:r>
      <w:r w:rsidRPr="00AE14AD">
        <w:rPr>
          <w:rFonts w:ascii="Calibri" w:eastAsia="SimSun" w:hAnsi="Calibri" w:cs="Times New Roman"/>
          <w:sz w:val="22"/>
          <w:szCs w:val="22"/>
          <w:lang w:val="en-US" w:eastAsia="zh-CN" w:bidi="ar"/>
        </w:rPr>
        <w:t>. Specifically, patient-derived reads were computationally mixed with randomly drawn reads from a pool of healthy donor cfDNA to generate synthetic samples with standardized tumor fraction and coverage.</w:t>
      </w:r>
    </w:p>
    <w:p w14:paraId="44D578C6" w14:textId="1E6D87D3" w:rsidR="00B01AD9" w:rsidRPr="00AE14AD" w:rsidRDefault="00B01AD9" w:rsidP="00B01AD9">
      <w:pPr>
        <w:pStyle w:val="NormalWeb"/>
        <w:numPr>
          <w:ilvl w:val="0"/>
          <w:numId w:val="3"/>
        </w:numPr>
        <w:spacing w:after="60" w:line="360" w:lineRule="auto"/>
        <w:jc w:val="both"/>
        <w:rPr>
          <w:rFonts w:ascii="Calibri" w:eastAsia="SimSun" w:hAnsi="Calibri" w:cs="Times New Roman"/>
          <w:sz w:val="22"/>
          <w:szCs w:val="22"/>
          <w:lang w:val="en-US" w:eastAsia="zh-CN" w:bidi="ar"/>
        </w:rPr>
      </w:pPr>
      <w:r w:rsidRPr="00AE14AD">
        <w:rPr>
          <w:rFonts w:ascii="Calibri" w:eastAsia="SimSun" w:hAnsi="Calibri" w:cs="Times New Roman"/>
          <w:sz w:val="22"/>
          <w:szCs w:val="22"/>
          <w:lang w:val="en-US" w:eastAsia="zh-CN" w:bidi="ar"/>
        </w:rPr>
        <w:t xml:space="preserve">Local signal normalization was performed within </w:t>
      </w:r>
      <w:proofErr w:type="spellStart"/>
      <w:r w:rsidRPr="00AE14AD">
        <w:rPr>
          <w:rFonts w:ascii="Calibri" w:eastAsia="SimSun" w:hAnsi="Calibri" w:cs="Times New Roman"/>
          <w:sz w:val="22"/>
          <w:szCs w:val="22"/>
          <w:lang w:val="en-US" w:eastAsia="zh-CN" w:bidi="ar"/>
        </w:rPr>
        <w:t>LBFextract</w:t>
      </w:r>
      <w:proofErr w:type="spellEnd"/>
      <w:r w:rsidRPr="00AE14AD">
        <w:rPr>
          <w:rFonts w:ascii="Calibri" w:eastAsia="SimSun" w:hAnsi="Calibri" w:cs="Times New Roman"/>
          <w:sz w:val="22"/>
          <w:szCs w:val="22"/>
          <w:lang w:val="en-US" w:eastAsia="zh-CN" w:bidi="ar"/>
        </w:rPr>
        <w:t>, which applies mean signal normalization using the flanking regions (−2000 to −1000 bp and +1000 to +2000 bp from each TFBS center) to control for regional variation in read depth and coverage bias.</w:t>
      </w:r>
    </w:p>
    <w:p w14:paraId="4C871873" w14:textId="5F13DE3C" w:rsidR="00B01AD9" w:rsidRPr="00AE14AD" w:rsidRDefault="00B01AD9" w:rsidP="00B01AD9">
      <w:pPr>
        <w:pStyle w:val="NormalWeb"/>
        <w:numPr>
          <w:ilvl w:val="0"/>
          <w:numId w:val="3"/>
        </w:numPr>
        <w:spacing w:after="60" w:line="360" w:lineRule="auto"/>
        <w:jc w:val="both"/>
        <w:rPr>
          <w:rFonts w:ascii="Calibri" w:eastAsia="SimSun" w:hAnsi="Calibri" w:cs="Times New Roman"/>
          <w:sz w:val="22"/>
          <w:szCs w:val="22"/>
          <w:lang w:val="en-US" w:eastAsia="zh-CN" w:bidi="ar"/>
        </w:rPr>
      </w:pPr>
      <w:r w:rsidRPr="00AE14AD">
        <w:rPr>
          <w:rFonts w:ascii="Calibri" w:eastAsia="SimSun" w:hAnsi="Calibri" w:cs="Times New Roman"/>
          <w:sz w:val="22"/>
          <w:szCs w:val="22"/>
          <w:lang w:val="en-US" w:eastAsia="zh-CN" w:bidi="ar"/>
        </w:rPr>
        <w:t>For differential TF accessibility analysis, accessibility scores were extracted for each TF across all samples, and outliers were removed. Group comparisons (e.g., HRD vs. HRR-proficient) were performed using the Mann–Whitney U test, and the resulting p-values were corrected for multiple testing using the Benjamini–Hochberg false discovery rate (FDR) procedure. Transcription factors with an adjusted p &lt; 0.05 were considered significantly differentially accessible.</w:t>
      </w:r>
    </w:p>
    <w:p w14:paraId="44481BE5" w14:textId="77777777" w:rsidR="00B01AD9" w:rsidRPr="00AE14AD" w:rsidRDefault="00B01AD9" w:rsidP="00B01AD9">
      <w:pPr>
        <w:pStyle w:val="NormalWeb"/>
        <w:spacing w:after="60" w:line="360" w:lineRule="auto"/>
        <w:ind w:left="720"/>
        <w:jc w:val="both"/>
        <w:rPr>
          <w:rFonts w:ascii="Calibri" w:eastAsia="SimSun" w:hAnsi="Calibri" w:cs="Times New Roman"/>
          <w:sz w:val="22"/>
          <w:szCs w:val="22"/>
          <w:lang w:val="en-US" w:eastAsia="zh-CN" w:bidi="ar"/>
        </w:rPr>
      </w:pPr>
    </w:p>
    <w:p w14:paraId="7F318F3B" w14:textId="77777777" w:rsidR="00904C30" w:rsidRPr="00AE14AD" w:rsidRDefault="00904C30" w:rsidP="005A6760">
      <w:pPr>
        <w:pStyle w:val="Heading2"/>
        <w:spacing w:line="360" w:lineRule="auto"/>
        <w:rPr>
          <w:color w:val="auto"/>
          <w:lang w:bidi="ar"/>
        </w:rPr>
      </w:pPr>
      <w:bookmarkStart w:id="11" w:name="_Toc212073435"/>
      <w:r w:rsidRPr="00AE14AD">
        <w:rPr>
          <w:color w:val="auto"/>
          <w:lang w:bidi="ar"/>
        </w:rPr>
        <w:t>Statistical analysis</w:t>
      </w:r>
      <w:bookmarkEnd w:id="11"/>
    </w:p>
    <w:p w14:paraId="72B5527E" w14:textId="5BCD48E7" w:rsidR="00C40410" w:rsidRPr="00AE14AD" w:rsidRDefault="00904C30" w:rsidP="005A6760">
      <w:pPr>
        <w:pStyle w:val="NormalWeb"/>
        <w:spacing w:after="60" w:line="360" w:lineRule="auto"/>
        <w:jc w:val="both"/>
        <w:rPr>
          <w:sz w:val="22"/>
          <w:szCs w:val="22"/>
          <w:lang w:val="en-US"/>
        </w:rPr>
      </w:pPr>
      <w:r w:rsidRPr="00AE14AD">
        <w:rPr>
          <w:sz w:val="22"/>
          <w:szCs w:val="22"/>
          <w:lang w:val="en-US"/>
        </w:rPr>
        <w:t>All statistical analyses were performed in Python</w:t>
      </w:r>
      <w:r w:rsidR="003146B9" w:rsidRPr="00AE14AD">
        <w:rPr>
          <w:sz w:val="22"/>
          <w:szCs w:val="22"/>
          <w:lang w:val="en-US"/>
        </w:rPr>
        <w:t xml:space="preserve"> (RRID: SCR_008394, v3.11.7)</w:t>
      </w:r>
      <w:r w:rsidRPr="00AE14AD">
        <w:rPr>
          <w:sz w:val="22"/>
          <w:szCs w:val="22"/>
          <w:lang w:val="en-US"/>
        </w:rPr>
        <w:t xml:space="preserve"> and R (</w:t>
      </w:r>
      <w:r w:rsidR="003146B9" w:rsidRPr="00AE14AD">
        <w:rPr>
          <w:sz w:val="22"/>
          <w:szCs w:val="22"/>
          <w:lang w:val="en-US"/>
        </w:rPr>
        <w:t xml:space="preserve">RRID: SCR_001905, </w:t>
      </w:r>
      <w:r w:rsidRPr="00AE14AD">
        <w:rPr>
          <w:sz w:val="22"/>
          <w:szCs w:val="22"/>
          <w:lang w:val="en-US"/>
        </w:rPr>
        <w:t>v4.3.</w:t>
      </w:r>
      <w:r w:rsidR="003146B9" w:rsidRPr="00AE14AD">
        <w:rPr>
          <w:sz w:val="22"/>
          <w:szCs w:val="22"/>
          <w:lang w:val="en-US"/>
        </w:rPr>
        <w:t>3</w:t>
      </w:r>
      <w:r w:rsidRPr="00AE14AD">
        <w:rPr>
          <w:sz w:val="22"/>
          <w:szCs w:val="22"/>
          <w:lang w:val="en-US"/>
        </w:rPr>
        <w:t xml:space="preserve">). Data normality was assessed using the Shapiro–Wilk test. </w:t>
      </w:r>
      <w:r w:rsidR="00B77B2D" w:rsidRPr="00AE14AD">
        <w:rPr>
          <w:sz w:val="22"/>
          <w:szCs w:val="22"/>
          <w:lang w:val="en-US"/>
        </w:rPr>
        <w:t xml:space="preserve">For normally distributed data, approximate equality of variances between groups was verified by inspection of residuals. </w:t>
      </w:r>
      <w:r w:rsidRPr="00AE14AD">
        <w:rPr>
          <w:sz w:val="22"/>
          <w:szCs w:val="22"/>
          <w:lang w:val="en-US"/>
        </w:rPr>
        <w:t xml:space="preserve">For normally distributed data with homogeneous variances, two-sided parametric tests (t-test or ANOVA) were applied; otherwise, two-sided non-parametric tests (Mann–Whitney U) were </w:t>
      </w:r>
      <w:r w:rsidRPr="00AE14AD">
        <w:rPr>
          <w:sz w:val="22"/>
          <w:szCs w:val="22"/>
          <w:lang w:val="en-US"/>
        </w:rPr>
        <w:lastRenderedPageBreak/>
        <w:t>used. Correlations were assessed using two-sided Spearman tests, and multiple comparisons were adjusted using the Benjamini–Hochberg false-discovery-rate (FDR) method. Statistical tests were selected and justified based on data type and distribution, and all test names, p-values, and effect sizes (e.g., hazard ratios with 95% CI) are reported in the figure legends and corresponding Methods sections. Center values are reported as median, and measures of variability are provided when appropriate: mean ± standard deviation (</w:t>
      </w:r>
      <w:proofErr w:type="spellStart"/>
      <w:r w:rsidRPr="00AE14AD">
        <w:rPr>
          <w:sz w:val="22"/>
          <w:szCs w:val="22"/>
          <w:lang w:val="en-US"/>
        </w:rPr>
        <w:t>s.d.</w:t>
      </w:r>
      <w:proofErr w:type="spellEnd"/>
      <w:r w:rsidRPr="00AE14AD">
        <w:rPr>
          <w:sz w:val="22"/>
          <w:szCs w:val="22"/>
          <w:lang w:val="en-US"/>
        </w:rPr>
        <w:t>) for normally distributed data or interquartile range (IQR) for non-parametric data. All statistical tests were two-sided, and p &lt; 0.05 was considered statistically significant.</w:t>
      </w:r>
    </w:p>
    <w:p w14:paraId="37F86A88" w14:textId="77777777" w:rsidR="00C40410" w:rsidRPr="00AE14AD" w:rsidRDefault="00C40410">
      <w:pPr>
        <w:spacing w:after="0" w:line="240" w:lineRule="auto"/>
        <w:rPr>
          <w:lang w:val="en-US"/>
        </w:rPr>
      </w:pPr>
      <w:r w:rsidRPr="00AE14AD">
        <w:rPr>
          <w:lang w:val="en-US"/>
        </w:rPr>
        <w:br w:type="page"/>
      </w:r>
    </w:p>
    <w:p w14:paraId="69FED2F0" w14:textId="662B85AF" w:rsidR="00045D2C" w:rsidRDefault="00322A14" w:rsidP="005A6760">
      <w:pPr>
        <w:pStyle w:val="Heading1"/>
        <w:spacing w:line="360" w:lineRule="auto"/>
        <w:rPr>
          <w:b w:val="0"/>
        </w:rPr>
      </w:pPr>
      <w:bookmarkStart w:id="12" w:name="_Toc212073436"/>
      <w:r>
        <w:rPr>
          <w:b w:val="0"/>
        </w:rPr>
        <w:lastRenderedPageBreak/>
        <w:t>Supplementary Tables</w:t>
      </w:r>
      <w:bookmarkEnd w:id="12"/>
    </w:p>
    <w:p w14:paraId="6FEF3613" w14:textId="5826719F" w:rsidR="00045D2C" w:rsidRDefault="00000000" w:rsidP="005A6760">
      <w:pPr>
        <w:pStyle w:val="Heading2"/>
        <w:spacing w:line="360" w:lineRule="auto"/>
      </w:pPr>
      <w:bookmarkStart w:id="13" w:name="_Toc212073437"/>
      <w:r>
        <w:t>Supplementary Table 1. Patient characteristics and clinical data</w:t>
      </w:r>
      <w:bookmarkEnd w:id="13"/>
    </w:p>
    <w:tbl>
      <w:tblPr>
        <w:tblW w:w="10358" w:type="dxa"/>
        <w:tblLook w:val="04A0" w:firstRow="1" w:lastRow="0" w:firstColumn="1" w:lastColumn="0" w:noHBand="0" w:noVBand="1"/>
      </w:tblPr>
      <w:tblGrid>
        <w:gridCol w:w="2379"/>
        <w:gridCol w:w="1688"/>
        <w:gridCol w:w="1592"/>
        <w:gridCol w:w="1515"/>
        <w:gridCol w:w="1592"/>
        <w:gridCol w:w="1592"/>
      </w:tblGrid>
      <w:tr w:rsidR="00274DBC" w:rsidRPr="00274DBC" w14:paraId="0471A863" w14:textId="77777777" w:rsidTr="00274DBC">
        <w:trPr>
          <w:trHeight w:val="292"/>
        </w:trPr>
        <w:tc>
          <w:tcPr>
            <w:tcW w:w="2379" w:type="dxa"/>
            <w:tcBorders>
              <w:top w:val="single" w:sz="4" w:space="0" w:color="auto"/>
              <w:left w:val="single" w:sz="4" w:space="0" w:color="auto"/>
              <w:bottom w:val="nil"/>
              <w:right w:val="single" w:sz="4" w:space="0" w:color="auto"/>
            </w:tcBorders>
            <w:shd w:val="clear" w:color="000000" w:fill="auto"/>
            <w:hideMark/>
          </w:tcPr>
          <w:p w14:paraId="6E804E67" w14:textId="77777777" w:rsidR="00274DBC" w:rsidRPr="00274DBC" w:rsidRDefault="00274DBC" w:rsidP="00274DBC">
            <w:pPr>
              <w:spacing w:after="0" w:line="240" w:lineRule="auto"/>
              <w:rPr>
                <w:rFonts w:ascii="Calibri" w:eastAsia="Times New Roman" w:hAnsi="Calibri" w:cs="Calibri"/>
                <w:b/>
                <w:bCs/>
                <w:color w:val="000000" w:themeColor="text1"/>
                <w:sz w:val="18"/>
                <w:szCs w:val="18"/>
                <w:lang w:val="en-US"/>
              </w:rPr>
            </w:pPr>
            <w:r w:rsidRPr="00274DBC">
              <w:rPr>
                <w:rFonts w:ascii="Calibri" w:eastAsia="Times New Roman" w:hAnsi="Calibri" w:cs="Calibri"/>
                <w:b/>
                <w:bCs/>
                <w:color w:val="000000" w:themeColor="text1"/>
                <w:sz w:val="18"/>
                <w:szCs w:val="18"/>
                <w:lang w:val="en-US"/>
              </w:rPr>
              <w:t>Patient Characteristic</w:t>
            </w:r>
          </w:p>
        </w:tc>
        <w:tc>
          <w:tcPr>
            <w:tcW w:w="1688" w:type="dxa"/>
            <w:tcBorders>
              <w:top w:val="single" w:sz="4" w:space="0" w:color="auto"/>
              <w:left w:val="nil"/>
              <w:bottom w:val="nil"/>
              <w:right w:val="single" w:sz="4" w:space="0" w:color="auto"/>
            </w:tcBorders>
            <w:shd w:val="clear" w:color="000000" w:fill="auto"/>
            <w:noWrap/>
            <w:hideMark/>
          </w:tcPr>
          <w:p w14:paraId="4B4CAC25" w14:textId="77777777" w:rsidR="00274DBC" w:rsidRPr="00274DBC" w:rsidRDefault="00274DBC" w:rsidP="00274DBC">
            <w:pPr>
              <w:spacing w:after="0" w:line="240" w:lineRule="auto"/>
              <w:rPr>
                <w:rFonts w:ascii="Calibri" w:eastAsia="Times New Roman" w:hAnsi="Calibri" w:cs="Calibri"/>
                <w:b/>
                <w:bCs/>
                <w:color w:val="000000" w:themeColor="text1"/>
                <w:sz w:val="18"/>
                <w:szCs w:val="18"/>
                <w:lang w:val="en-US"/>
              </w:rPr>
            </w:pPr>
            <w:r w:rsidRPr="00274DBC">
              <w:rPr>
                <w:rFonts w:ascii="Calibri" w:eastAsia="Times New Roman" w:hAnsi="Calibri" w:cs="Calibri"/>
                <w:b/>
                <w:bCs/>
                <w:color w:val="000000" w:themeColor="text1"/>
                <w:sz w:val="18"/>
                <w:szCs w:val="18"/>
                <w:lang w:val="en-US"/>
              </w:rPr>
              <w:t>CRPC (n=60)</w:t>
            </w:r>
          </w:p>
        </w:tc>
        <w:tc>
          <w:tcPr>
            <w:tcW w:w="1592" w:type="dxa"/>
            <w:tcBorders>
              <w:top w:val="single" w:sz="4" w:space="0" w:color="auto"/>
              <w:left w:val="nil"/>
              <w:bottom w:val="nil"/>
              <w:right w:val="single" w:sz="4" w:space="0" w:color="auto"/>
            </w:tcBorders>
            <w:shd w:val="clear" w:color="000000" w:fill="auto"/>
            <w:noWrap/>
            <w:hideMark/>
          </w:tcPr>
          <w:p w14:paraId="5774E27A" w14:textId="77777777" w:rsidR="00274DBC" w:rsidRPr="00274DBC" w:rsidRDefault="00274DBC" w:rsidP="00274DBC">
            <w:pPr>
              <w:spacing w:after="0" w:line="240" w:lineRule="auto"/>
              <w:rPr>
                <w:rFonts w:ascii="Calibri" w:eastAsia="Times New Roman" w:hAnsi="Calibri" w:cs="Calibri"/>
                <w:b/>
                <w:bCs/>
                <w:color w:val="000000" w:themeColor="text1"/>
                <w:sz w:val="18"/>
                <w:szCs w:val="18"/>
                <w:lang w:val="en-US"/>
              </w:rPr>
            </w:pPr>
            <w:r w:rsidRPr="00274DBC">
              <w:rPr>
                <w:rFonts w:ascii="Calibri" w:eastAsia="Times New Roman" w:hAnsi="Calibri" w:cs="Calibri"/>
                <w:b/>
                <w:bCs/>
                <w:color w:val="000000" w:themeColor="text1"/>
                <w:sz w:val="18"/>
                <w:szCs w:val="18"/>
                <w:lang w:val="en-US"/>
              </w:rPr>
              <w:t>HSPC (n=33)</w:t>
            </w:r>
          </w:p>
        </w:tc>
        <w:tc>
          <w:tcPr>
            <w:tcW w:w="1515" w:type="dxa"/>
            <w:tcBorders>
              <w:top w:val="single" w:sz="4" w:space="0" w:color="auto"/>
              <w:left w:val="nil"/>
              <w:bottom w:val="nil"/>
              <w:right w:val="single" w:sz="4" w:space="0" w:color="auto"/>
            </w:tcBorders>
            <w:shd w:val="clear" w:color="000000" w:fill="auto"/>
            <w:noWrap/>
            <w:hideMark/>
          </w:tcPr>
          <w:p w14:paraId="3A2156C2" w14:textId="77777777" w:rsidR="00274DBC" w:rsidRPr="00274DBC" w:rsidRDefault="00274DBC" w:rsidP="00274DBC">
            <w:pPr>
              <w:spacing w:after="0" w:line="240" w:lineRule="auto"/>
              <w:rPr>
                <w:rFonts w:ascii="Calibri" w:eastAsia="Times New Roman" w:hAnsi="Calibri" w:cs="Calibri"/>
                <w:b/>
                <w:bCs/>
                <w:color w:val="000000" w:themeColor="text1"/>
                <w:sz w:val="18"/>
                <w:szCs w:val="18"/>
                <w:lang w:val="en-US"/>
              </w:rPr>
            </w:pPr>
            <w:r w:rsidRPr="00274DBC">
              <w:rPr>
                <w:rFonts w:ascii="Calibri" w:eastAsia="Times New Roman" w:hAnsi="Calibri" w:cs="Calibri"/>
                <w:b/>
                <w:bCs/>
                <w:color w:val="000000" w:themeColor="text1"/>
                <w:sz w:val="18"/>
                <w:szCs w:val="18"/>
                <w:lang w:val="en-US"/>
              </w:rPr>
              <w:t>Unknown (n=6)</w:t>
            </w:r>
          </w:p>
        </w:tc>
        <w:tc>
          <w:tcPr>
            <w:tcW w:w="1592" w:type="dxa"/>
            <w:tcBorders>
              <w:top w:val="single" w:sz="4" w:space="0" w:color="auto"/>
              <w:left w:val="nil"/>
              <w:bottom w:val="nil"/>
              <w:right w:val="single" w:sz="4" w:space="0" w:color="auto"/>
            </w:tcBorders>
            <w:shd w:val="clear" w:color="000000" w:fill="auto"/>
            <w:noWrap/>
            <w:hideMark/>
          </w:tcPr>
          <w:p w14:paraId="2C0A34A8" w14:textId="77777777" w:rsidR="00274DBC" w:rsidRPr="00274DBC" w:rsidRDefault="00274DBC" w:rsidP="00274DBC">
            <w:pPr>
              <w:spacing w:after="0" w:line="240" w:lineRule="auto"/>
              <w:rPr>
                <w:rFonts w:ascii="Calibri" w:eastAsia="Times New Roman" w:hAnsi="Calibri" w:cs="Calibri"/>
                <w:b/>
                <w:bCs/>
                <w:color w:val="000000" w:themeColor="text1"/>
                <w:sz w:val="18"/>
                <w:szCs w:val="18"/>
                <w:lang w:val="en-US"/>
              </w:rPr>
            </w:pPr>
            <w:proofErr w:type="spellStart"/>
            <w:r w:rsidRPr="00274DBC">
              <w:rPr>
                <w:rFonts w:ascii="Calibri" w:eastAsia="Times New Roman" w:hAnsi="Calibri" w:cs="Calibri"/>
                <w:b/>
                <w:bCs/>
                <w:color w:val="000000" w:themeColor="text1"/>
                <w:sz w:val="18"/>
                <w:szCs w:val="18"/>
                <w:lang w:val="en-US"/>
              </w:rPr>
              <w:t>nePC</w:t>
            </w:r>
            <w:proofErr w:type="spellEnd"/>
            <w:r w:rsidRPr="00274DBC">
              <w:rPr>
                <w:rFonts w:ascii="Calibri" w:eastAsia="Times New Roman" w:hAnsi="Calibri" w:cs="Calibri"/>
                <w:b/>
                <w:bCs/>
                <w:color w:val="000000" w:themeColor="text1"/>
                <w:sz w:val="18"/>
                <w:szCs w:val="18"/>
                <w:lang w:val="en-US"/>
              </w:rPr>
              <w:t xml:space="preserve"> (n=7)</w:t>
            </w:r>
          </w:p>
        </w:tc>
        <w:tc>
          <w:tcPr>
            <w:tcW w:w="1592" w:type="dxa"/>
            <w:tcBorders>
              <w:top w:val="single" w:sz="4" w:space="0" w:color="auto"/>
              <w:left w:val="nil"/>
              <w:bottom w:val="nil"/>
              <w:right w:val="single" w:sz="4" w:space="0" w:color="auto"/>
            </w:tcBorders>
            <w:shd w:val="clear" w:color="000000" w:fill="auto"/>
            <w:noWrap/>
            <w:hideMark/>
          </w:tcPr>
          <w:p w14:paraId="1E92E541" w14:textId="77777777" w:rsidR="00274DBC" w:rsidRPr="00274DBC" w:rsidRDefault="00274DBC" w:rsidP="00274DBC">
            <w:pPr>
              <w:spacing w:after="0" w:line="240" w:lineRule="auto"/>
              <w:rPr>
                <w:rFonts w:ascii="Calibri" w:eastAsia="Times New Roman" w:hAnsi="Calibri" w:cs="Calibri"/>
                <w:b/>
                <w:bCs/>
                <w:color w:val="000000" w:themeColor="text1"/>
                <w:sz w:val="18"/>
                <w:szCs w:val="18"/>
                <w:lang w:val="en-US"/>
              </w:rPr>
            </w:pPr>
            <w:r w:rsidRPr="00274DBC">
              <w:rPr>
                <w:rFonts w:ascii="Calibri" w:eastAsia="Times New Roman" w:hAnsi="Calibri" w:cs="Calibri"/>
                <w:b/>
                <w:bCs/>
                <w:color w:val="000000" w:themeColor="text1"/>
                <w:sz w:val="18"/>
                <w:szCs w:val="18"/>
                <w:lang w:val="en-US"/>
              </w:rPr>
              <w:t>Total (n=106)</w:t>
            </w:r>
          </w:p>
        </w:tc>
      </w:tr>
      <w:tr w:rsidR="00274DBC" w:rsidRPr="00274DBC" w14:paraId="1232B9BA" w14:textId="77777777" w:rsidTr="00274DBC">
        <w:trPr>
          <w:trHeight w:val="292"/>
        </w:trPr>
        <w:tc>
          <w:tcPr>
            <w:tcW w:w="2379" w:type="dxa"/>
            <w:tcBorders>
              <w:top w:val="single" w:sz="8" w:space="0" w:color="auto"/>
              <w:left w:val="single" w:sz="8" w:space="0" w:color="auto"/>
              <w:bottom w:val="single" w:sz="8" w:space="0" w:color="auto"/>
              <w:right w:val="single" w:sz="4" w:space="0" w:color="auto"/>
            </w:tcBorders>
            <w:hideMark/>
          </w:tcPr>
          <w:p w14:paraId="1755932B"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Age</w:t>
            </w:r>
          </w:p>
        </w:tc>
        <w:tc>
          <w:tcPr>
            <w:tcW w:w="1688" w:type="dxa"/>
            <w:tcBorders>
              <w:top w:val="single" w:sz="8" w:space="0" w:color="auto"/>
              <w:left w:val="nil"/>
              <w:bottom w:val="single" w:sz="8" w:space="0" w:color="auto"/>
              <w:right w:val="nil"/>
            </w:tcBorders>
            <w:noWrap/>
            <w:vAlign w:val="bottom"/>
            <w:hideMark/>
          </w:tcPr>
          <w:p w14:paraId="48FB8ABF"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63.0 (47.0–88.0)</w:t>
            </w:r>
          </w:p>
        </w:tc>
        <w:tc>
          <w:tcPr>
            <w:tcW w:w="1592" w:type="dxa"/>
            <w:tcBorders>
              <w:top w:val="single" w:sz="8" w:space="0" w:color="auto"/>
              <w:left w:val="nil"/>
              <w:bottom w:val="single" w:sz="8" w:space="0" w:color="auto"/>
              <w:right w:val="nil"/>
            </w:tcBorders>
            <w:noWrap/>
            <w:vAlign w:val="bottom"/>
            <w:hideMark/>
          </w:tcPr>
          <w:p w14:paraId="7506AF14"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68.0 (55.0–84.0)</w:t>
            </w:r>
          </w:p>
        </w:tc>
        <w:tc>
          <w:tcPr>
            <w:tcW w:w="1515" w:type="dxa"/>
            <w:tcBorders>
              <w:top w:val="single" w:sz="8" w:space="0" w:color="auto"/>
              <w:left w:val="nil"/>
              <w:bottom w:val="single" w:sz="8" w:space="0" w:color="auto"/>
              <w:right w:val="nil"/>
            </w:tcBorders>
            <w:noWrap/>
            <w:vAlign w:val="bottom"/>
            <w:hideMark/>
          </w:tcPr>
          <w:p w14:paraId="1C778F79"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73.0 (66.0–80.0)</w:t>
            </w:r>
          </w:p>
        </w:tc>
        <w:tc>
          <w:tcPr>
            <w:tcW w:w="1592" w:type="dxa"/>
            <w:tcBorders>
              <w:top w:val="single" w:sz="8" w:space="0" w:color="auto"/>
              <w:left w:val="nil"/>
              <w:bottom w:val="single" w:sz="8" w:space="0" w:color="auto"/>
              <w:right w:val="nil"/>
            </w:tcBorders>
            <w:noWrap/>
            <w:vAlign w:val="bottom"/>
            <w:hideMark/>
          </w:tcPr>
          <w:p w14:paraId="31C7DC84"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62.0 (47.0–65.0)</w:t>
            </w:r>
          </w:p>
        </w:tc>
        <w:tc>
          <w:tcPr>
            <w:tcW w:w="1592" w:type="dxa"/>
            <w:tcBorders>
              <w:top w:val="single" w:sz="8" w:space="0" w:color="auto"/>
              <w:left w:val="nil"/>
              <w:bottom w:val="single" w:sz="8" w:space="0" w:color="auto"/>
              <w:right w:val="single" w:sz="8" w:space="0" w:color="auto"/>
            </w:tcBorders>
            <w:noWrap/>
            <w:vAlign w:val="bottom"/>
            <w:hideMark/>
          </w:tcPr>
          <w:p w14:paraId="5B63795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65.0 (47.0–88.0)</w:t>
            </w:r>
          </w:p>
        </w:tc>
      </w:tr>
      <w:tr w:rsidR="00274DBC" w:rsidRPr="00274DBC" w14:paraId="4CCC2A49"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3F0BD41C"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Gleason score</w:t>
            </w:r>
          </w:p>
        </w:tc>
        <w:tc>
          <w:tcPr>
            <w:tcW w:w="1688" w:type="dxa"/>
            <w:tcBorders>
              <w:top w:val="nil"/>
              <w:left w:val="nil"/>
              <w:bottom w:val="single" w:sz="8" w:space="0" w:color="auto"/>
              <w:right w:val="nil"/>
            </w:tcBorders>
            <w:noWrap/>
            <w:vAlign w:val="bottom"/>
            <w:hideMark/>
          </w:tcPr>
          <w:p w14:paraId="43D5113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7 (6-9)</w:t>
            </w:r>
          </w:p>
        </w:tc>
        <w:tc>
          <w:tcPr>
            <w:tcW w:w="1592" w:type="dxa"/>
            <w:tcBorders>
              <w:top w:val="nil"/>
              <w:left w:val="nil"/>
              <w:bottom w:val="single" w:sz="8" w:space="0" w:color="auto"/>
              <w:right w:val="nil"/>
            </w:tcBorders>
            <w:noWrap/>
            <w:vAlign w:val="bottom"/>
            <w:hideMark/>
          </w:tcPr>
          <w:p w14:paraId="600212B1"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8 (6-8)</w:t>
            </w:r>
          </w:p>
        </w:tc>
        <w:tc>
          <w:tcPr>
            <w:tcW w:w="1515" w:type="dxa"/>
            <w:tcBorders>
              <w:top w:val="nil"/>
              <w:left w:val="nil"/>
              <w:bottom w:val="single" w:sz="8" w:space="0" w:color="auto"/>
              <w:right w:val="nil"/>
            </w:tcBorders>
            <w:noWrap/>
            <w:vAlign w:val="bottom"/>
            <w:hideMark/>
          </w:tcPr>
          <w:p w14:paraId="4A93F47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7 (6-8)</w:t>
            </w:r>
          </w:p>
        </w:tc>
        <w:tc>
          <w:tcPr>
            <w:tcW w:w="1592" w:type="dxa"/>
            <w:tcBorders>
              <w:top w:val="nil"/>
              <w:left w:val="nil"/>
              <w:bottom w:val="single" w:sz="8" w:space="0" w:color="auto"/>
              <w:right w:val="nil"/>
            </w:tcBorders>
            <w:noWrap/>
            <w:vAlign w:val="bottom"/>
            <w:hideMark/>
          </w:tcPr>
          <w:p w14:paraId="2916E6E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8 (8-8)</w:t>
            </w:r>
          </w:p>
        </w:tc>
        <w:tc>
          <w:tcPr>
            <w:tcW w:w="1592" w:type="dxa"/>
            <w:tcBorders>
              <w:top w:val="nil"/>
              <w:left w:val="nil"/>
              <w:bottom w:val="single" w:sz="8" w:space="0" w:color="auto"/>
              <w:right w:val="single" w:sz="8" w:space="0" w:color="auto"/>
            </w:tcBorders>
            <w:noWrap/>
            <w:vAlign w:val="bottom"/>
            <w:hideMark/>
          </w:tcPr>
          <w:p w14:paraId="6EA50C0C"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7 (6-9)</w:t>
            </w:r>
          </w:p>
        </w:tc>
      </w:tr>
      <w:tr w:rsidR="00274DBC" w:rsidRPr="00274DBC" w14:paraId="33C8DAA1" w14:textId="77777777" w:rsidTr="00274DBC">
        <w:trPr>
          <w:trHeight w:val="285"/>
        </w:trPr>
        <w:tc>
          <w:tcPr>
            <w:tcW w:w="2379" w:type="dxa"/>
            <w:vMerge w:val="restart"/>
            <w:tcBorders>
              <w:top w:val="nil"/>
              <w:left w:val="single" w:sz="8" w:space="0" w:color="auto"/>
              <w:bottom w:val="single" w:sz="8" w:space="0" w:color="000000"/>
              <w:right w:val="single" w:sz="4" w:space="0" w:color="auto"/>
            </w:tcBorders>
            <w:vAlign w:val="center"/>
            <w:hideMark/>
          </w:tcPr>
          <w:p w14:paraId="4F7F0B29"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Metastatic diagnosis</w:t>
            </w:r>
          </w:p>
        </w:tc>
        <w:tc>
          <w:tcPr>
            <w:tcW w:w="1688" w:type="dxa"/>
            <w:tcBorders>
              <w:top w:val="nil"/>
              <w:left w:val="nil"/>
              <w:bottom w:val="nil"/>
              <w:right w:val="nil"/>
            </w:tcBorders>
            <w:noWrap/>
            <w:vAlign w:val="bottom"/>
            <w:hideMark/>
          </w:tcPr>
          <w:p w14:paraId="57DBF929"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Metachronous: 34</w:t>
            </w:r>
          </w:p>
        </w:tc>
        <w:tc>
          <w:tcPr>
            <w:tcW w:w="1592" w:type="dxa"/>
            <w:tcBorders>
              <w:top w:val="nil"/>
              <w:left w:val="nil"/>
              <w:bottom w:val="nil"/>
              <w:right w:val="nil"/>
            </w:tcBorders>
            <w:noWrap/>
            <w:vAlign w:val="bottom"/>
            <w:hideMark/>
          </w:tcPr>
          <w:p w14:paraId="2CF28EDC"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Metachronous: 10</w:t>
            </w:r>
          </w:p>
        </w:tc>
        <w:tc>
          <w:tcPr>
            <w:tcW w:w="1515" w:type="dxa"/>
            <w:tcBorders>
              <w:top w:val="nil"/>
              <w:left w:val="nil"/>
              <w:bottom w:val="nil"/>
              <w:right w:val="nil"/>
            </w:tcBorders>
            <w:noWrap/>
            <w:vAlign w:val="bottom"/>
            <w:hideMark/>
          </w:tcPr>
          <w:p w14:paraId="705F562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nil"/>
              <w:right w:val="nil"/>
            </w:tcBorders>
            <w:noWrap/>
            <w:vAlign w:val="bottom"/>
            <w:hideMark/>
          </w:tcPr>
          <w:p w14:paraId="1478F3E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Metachronous: 3</w:t>
            </w:r>
          </w:p>
        </w:tc>
        <w:tc>
          <w:tcPr>
            <w:tcW w:w="1592" w:type="dxa"/>
            <w:tcBorders>
              <w:top w:val="nil"/>
              <w:left w:val="nil"/>
              <w:bottom w:val="nil"/>
              <w:right w:val="single" w:sz="8" w:space="0" w:color="auto"/>
            </w:tcBorders>
            <w:noWrap/>
            <w:vAlign w:val="bottom"/>
            <w:hideMark/>
          </w:tcPr>
          <w:p w14:paraId="7F31C7BF"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Metachronous: 47</w:t>
            </w:r>
          </w:p>
        </w:tc>
      </w:tr>
      <w:tr w:rsidR="00274DBC" w:rsidRPr="00274DBC" w14:paraId="166EA4A2" w14:textId="77777777" w:rsidTr="00274DBC">
        <w:trPr>
          <w:trHeight w:val="285"/>
        </w:trPr>
        <w:tc>
          <w:tcPr>
            <w:tcW w:w="2379" w:type="dxa"/>
            <w:vMerge/>
            <w:tcBorders>
              <w:top w:val="nil"/>
              <w:left w:val="single" w:sz="8" w:space="0" w:color="auto"/>
              <w:bottom w:val="single" w:sz="8" w:space="0" w:color="000000"/>
              <w:right w:val="single" w:sz="4" w:space="0" w:color="auto"/>
            </w:tcBorders>
            <w:vAlign w:val="center"/>
            <w:hideMark/>
          </w:tcPr>
          <w:p w14:paraId="3B783039"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
        </w:tc>
        <w:tc>
          <w:tcPr>
            <w:tcW w:w="1688" w:type="dxa"/>
            <w:tcBorders>
              <w:top w:val="nil"/>
              <w:left w:val="nil"/>
              <w:bottom w:val="nil"/>
              <w:right w:val="nil"/>
            </w:tcBorders>
            <w:noWrap/>
            <w:vAlign w:val="bottom"/>
            <w:hideMark/>
          </w:tcPr>
          <w:p w14:paraId="0CDEDD7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De novo: 24</w:t>
            </w:r>
          </w:p>
        </w:tc>
        <w:tc>
          <w:tcPr>
            <w:tcW w:w="1592" w:type="dxa"/>
            <w:tcBorders>
              <w:top w:val="nil"/>
              <w:left w:val="nil"/>
              <w:bottom w:val="nil"/>
              <w:right w:val="nil"/>
            </w:tcBorders>
            <w:noWrap/>
            <w:vAlign w:val="bottom"/>
            <w:hideMark/>
          </w:tcPr>
          <w:p w14:paraId="5CE2E124"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De novo: 20</w:t>
            </w:r>
          </w:p>
        </w:tc>
        <w:tc>
          <w:tcPr>
            <w:tcW w:w="1515" w:type="dxa"/>
            <w:tcBorders>
              <w:top w:val="nil"/>
              <w:left w:val="nil"/>
              <w:bottom w:val="nil"/>
              <w:right w:val="nil"/>
            </w:tcBorders>
            <w:noWrap/>
            <w:vAlign w:val="bottom"/>
            <w:hideMark/>
          </w:tcPr>
          <w:p w14:paraId="06E403C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nil"/>
              <w:right w:val="nil"/>
            </w:tcBorders>
            <w:noWrap/>
            <w:vAlign w:val="bottom"/>
            <w:hideMark/>
          </w:tcPr>
          <w:p w14:paraId="74720A7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De novo: 4</w:t>
            </w:r>
          </w:p>
        </w:tc>
        <w:tc>
          <w:tcPr>
            <w:tcW w:w="1592" w:type="dxa"/>
            <w:tcBorders>
              <w:top w:val="nil"/>
              <w:left w:val="nil"/>
              <w:bottom w:val="nil"/>
              <w:right w:val="single" w:sz="8" w:space="0" w:color="auto"/>
            </w:tcBorders>
            <w:noWrap/>
            <w:vAlign w:val="bottom"/>
            <w:hideMark/>
          </w:tcPr>
          <w:p w14:paraId="560845E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De novo: 48</w:t>
            </w:r>
          </w:p>
        </w:tc>
      </w:tr>
      <w:tr w:rsidR="00274DBC" w:rsidRPr="00274DBC" w14:paraId="52FC8AB7" w14:textId="77777777" w:rsidTr="00274DBC">
        <w:trPr>
          <w:trHeight w:val="292"/>
        </w:trPr>
        <w:tc>
          <w:tcPr>
            <w:tcW w:w="2379" w:type="dxa"/>
            <w:vMerge/>
            <w:tcBorders>
              <w:top w:val="nil"/>
              <w:left w:val="single" w:sz="8" w:space="0" w:color="auto"/>
              <w:bottom w:val="single" w:sz="8" w:space="0" w:color="000000"/>
              <w:right w:val="single" w:sz="4" w:space="0" w:color="auto"/>
            </w:tcBorders>
            <w:vAlign w:val="center"/>
            <w:hideMark/>
          </w:tcPr>
          <w:p w14:paraId="2DAE9C0A"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
        </w:tc>
        <w:tc>
          <w:tcPr>
            <w:tcW w:w="1688" w:type="dxa"/>
            <w:tcBorders>
              <w:top w:val="nil"/>
              <w:left w:val="nil"/>
              <w:bottom w:val="single" w:sz="8" w:space="0" w:color="auto"/>
              <w:right w:val="nil"/>
            </w:tcBorders>
            <w:noWrap/>
            <w:vAlign w:val="bottom"/>
            <w:hideMark/>
          </w:tcPr>
          <w:p w14:paraId="1EA5068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2</w:t>
            </w:r>
          </w:p>
        </w:tc>
        <w:tc>
          <w:tcPr>
            <w:tcW w:w="1592" w:type="dxa"/>
            <w:tcBorders>
              <w:top w:val="nil"/>
              <w:left w:val="nil"/>
              <w:bottom w:val="single" w:sz="8" w:space="0" w:color="auto"/>
              <w:right w:val="nil"/>
            </w:tcBorders>
            <w:noWrap/>
            <w:vAlign w:val="bottom"/>
            <w:hideMark/>
          </w:tcPr>
          <w:p w14:paraId="3BF802D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3</w:t>
            </w:r>
          </w:p>
        </w:tc>
        <w:tc>
          <w:tcPr>
            <w:tcW w:w="1515" w:type="dxa"/>
            <w:tcBorders>
              <w:top w:val="nil"/>
              <w:left w:val="nil"/>
              <w:bottom w:val="single" w:sz="8" w:space="0" w:color="auto"/>
              <w:right w:val="nil"/>
            </w:tcBorders>
            <w:noWrap/>
            <w:vAlign w:val="bottom"/>
            <w:hideMark/>
          </w:tcPr>
          <w:p w14:paraId="3490F859"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nil"/>
            </w:tcBorders>
            <w:noWrap/>
            <w:vAlign w:val="bottom"/>
            <w:hideMark/>
          </w:tcPr>
          <w:p w14:paraId="389441CE"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single" w:sz="8" w:space="0" w:color="auto"/>
            </w:tcBorders>
            <w:noWrap/>
            <w:vAlign w:val="bottom"/>
            <w:hideMark/>
          </w:tcPr>
          <w:p w14:paraId="2AAD3CA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5</w:t>
            </w:r>
          </w:p>
        </w:tc>
      </w:tr>
      <w:tr w:rsidR="00274DBC" w:rsidRPr="00274DBC" w14:paraId="36B9CA42" w14:textId="77777777" w:rsidTr="00274DBC">
        <w:trPr>
          <w:trHeight w:val="285"/>
        </w:trPr>
        <w:tc>
          <w:tcPr>
            <w:tcW w:w="2379" w:type="dxa"/>
            <w:vMerge w:val="restart"/>
            <w:tcBorders>
              <w:top w:val="nil"/>
              <w:left w:val="single" w:sz="8" w:space="0" w:color="auto"/>
              <w:bottom w:val="single" w:sz="8" w:space="0" w:color="000000"/>
              <w:right w:val="single" w:sz="4" w:space="0" w:color="auto"/>
            </w:tcBorders>
            <w:vAlign w:val="center"/>
            <w:hideMark/>
          </w:tcPr>
          <w:p w14:paraId="3D62633A"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Radiotherapy as primary treatment</w:t>
            </w:r>
          </w:p>
        </w:tc>
        <w:tc>
          <w:tcPr>
            <w:tcW w:w="1688" w:type="dxa"/>
            <w:tcBorders>
              <w:top w:val="nil"/>
              <w:left w:val="nil"/>
              <w:bottom w:val="nil"/>
              <w:right w:val="nil"/>
            </w:tcBorders>
            <w:noWrap/>
            <w:vAlign w:val="bottom"/>
            <w:hideMark/>
          </w:tcPr>
          <w:p w14:paraId="02856C4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14</w:t>
            </w:r>
          </w:p>
        </w:tc>
        <w:tc>
          <w:tcPr>
            <w:tcW w:w="1592" w:type="dxa"/>
            <w:tcBorders>
              <w:top w:val="nil"/>
              <w:left w:val="nil"/>
              <w:bottom w:val="nil"/>
              <w:right w:val="nil"/>
            </w:tcBorders>
            <w:noWrap/>
            <w:vAlign w:val="bottom"/>
            <w:hideMark/>
          </w:tcPr>
          <w:p w14:paraId="5396DEB1"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7</w:t>
            </w:r>
          </w:p>
        </w:tc>
        <w:tc>
          <w:tcPr>
            <w:tcW w:w="1515" w:type="dxa"/>
            <w:tcBorders>
              <w:top w:val="nil"/>
              <w:left w:val="nil"/>
              <w:bottom w:val="nil"/>
              <w:right w:val="nil"/>
            </w:tcBorders>
            <w:noWrap/>
            <w:vAlign w:val="bottom"/>
            <w:hideMark/>
          </w:tcPr>
          <w:p w14:paraId="5DEA076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0</w:t>
            </w:r>
          </w:p>
        </w:tc>
        <w:tc>
          <w:tcPr>
            <w:tcW w:w="1592" w:type="dxa"/>
            <w:tcBorders>
              <w:top w:val="nil"/>
              <w:left w:val="nil"/>
              <w:bottom w:val="nil"/>
              <w:right w:val="nil"/>
            </w:tcBorders>
            <w:noWrap/>
            <w:vAlign w:val="bottom"/>
            <w:hideMark/>
          </w:tcPr>
          <w:p w14:paraId="762B598D"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0</w:t>
            </w:r>
          </w:p>
        </w:tc>
        <w:tc>
          <w:tcPr>
            <w:tcW w:w="1592" w:type="dxa"/>
            <w:tcBorders>
              <w:top w:val="nil"/>
              <w:left w:val="nil"/>
              <w:bottom w:val="nil"/>
              <w:right w:val="single" w:sz="8" w:space="0" w:color="auto"/>
            </w:tcBorders>
            <w:noWrap/>
            <w:vAlign w:val="bottom"/>
            <w:hideMark/>
          </w:tcPr>
          <w:p w14:paraId="78177393"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21</w:t>
            </w:r>
          </w:p>
        </w:tc>
      </w:tr>
      <w:tr w:rsidR="00274DBC" w:rsidRPr="00274DBC" w14:paraId="47F787BC" w14:textId="77777777" w:rsidTr="00274DBC">
        <w:trPr>
          <w:trHeight w:val="285"/>
        </w:trPr>
        <w:tc>
          <w:tcPr>
            <w:tcW w:w="2379" w:type="dxa"/>
            <w:vMerge/>
            <w:tcBorders>
              <w:top w:val="nil"/>
              <w:left w:val="single" w:sz="8" w:space="0" w:color="auto"/>
              <w:bottom w:val="single" w:sz="8" w:space="0" w:color="000000"/>
              <w:right w:val="single" w:sz="4" w:space="0" w:color="auto"/>
            </w:tcBorders>
            <w:vAlign w:val="center"/>
            <w:hideMark/>
          </w:tcPr>
          <w:p w14:paraId="1091298F"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
        </w:tc>
        <w:tc>
          <w:tcPr>
            <w:tcW w:w="1688" w:type="dxa"/>
            <w:tcBorders>
              <w:top w:val="nil"/>
              <w:left w:val="nil"/>
              <w:bottom w:val="nil"/>
              <w:right w:val="nil"/>
            </w:tcBorders>
            <w:noWrap/>
            <w:vAlign w:val="bottom"/>
            <w:hideMark/>
          </w:tcPr>
          <w:p w14:paraId="2BF415C9"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46</w:t>
            </w:r>
          </w:p>
        </w:tc>
        <w:tc>
          <w:tcPr>
            <w:tcW w:w="1592" w:type="dxa"/>
            <w:tcBorders>
              <w:top w:val="nil"/>
              <w:left w:val="nil"/>
              <w:bottom w:val="nil"/>
              <w:right w:val="nil"/>
            </w:tcBorders>
            <w:noWrap/>
            <w:vAlign w:val="bottom"/>
            <w:hideMark/>
          </w:tcPr>
          <w:p w14:paraId="4DF49AC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26</w:t>
            </w:r>
          </w:p>
        </w:tc>
        <w:tc>
          <w:tcPr>
            <w:tcW w:w="1515" w:type="dxa"/>
            <w:tcBorders>
              <w:top w:val="nil"/>
              <w:left w:val="nil"/>
              <w:bottom w:val="nil"/>
              <w:right w:val="nil"/>
            </w:tcBorders>
            <w:noWrap/>
            <w:vAlign w:val="bottom"/>
            <w:hideMark/>
          </w:tcPr>
          <w:p w14:paraId="3BE1DD0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6</w:t>
            </w:r>
          </w:p>
        </w:tc>
        <w:tc>
          <w:tcPr>
            <w:tcW w:w="1592" w:type="dxa"/>
            <w:tcBorders>
              <w:top w:val="nil"/>
              <w:left w:val="nil"/>
              <w:bottom w:val="nil"/>
              <w:right w:val="nil"/>
            </w:tcBorders>
            <w:noWrap/>
            <w:vAlign w:val="bottom"/>
            <w:hideMark/>
          </w:tcPr>
          <w:p w14:paraId="62E9BD4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7</w:t>
            </w:r>
          </w:p>
        </w:tc>
        <w:tc>
          <w:tcPr>
            <w:tcW w:w="1592" w:type="dxa"/>
            <w:tcBorders>
              <w:top w:val="nil"/>
              <w:left w:val="nil"/>
              <w:bottom w:val="nil"/>
              <w:right w:val="single" w:sz="8" w:space="0" w:color="auto"/>
            </w:tcBorders>
            <w:noWrap/>
            <w:vAlign w:val="bottom"/>
            <w:hideMark/>
          </w:tcPr>
          <w:p w14:paraId="3C0FDF55"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85</w:t>
            </w:r>
          </w:p>
        </w:tc>
      </w:tr>
      <w:tr w:rsidR="00274DBC" w:rsidRPr="00274DBC" w14:paraId="259E4B53" w14:textId="77777777" w:rsidTr="00274DBC">
        <w:trPr>
          <w:trHeight w:val="292"/>
        </w:trPr>
        <w:tc>
          <w:tcPr>
            <w:tcW w:w="2379" w:type="dxa"/>
            <w:vMerge/>
            <w:tcBorders>
              <w:top w:val="nil"/>
              <w:left w:val="single" w:sz="8" w:space="0" w:color="auto"/>
              <w:bottom w:val="single" w:sz="8" w:space="0" w:color="000000"/>
              <w:right w:val="single" w:sz="4" w:space="0" w:color="auto"/>
            </w:tcBorders>
            <w:vAlign w:val="center"/>
            <w:hideMark/>
          </w:tcPr>
          <w:p w14:paraId="7E1F188D"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
        </w:tc>
        <w:tc>
          <w:tcPr>
            <w:tcW w:w="1688" w:type="dxa"/>
            <w:tcBorders>
              <w:top w:val="nil"/>
              <w:left w:val="nil"/>
              <w:bottom w:val="single" w:sz="8" w:space="0" w:color="auto"/>
              <w:right w:val="nil"/>
            </w:tcBorders>
            <w:noWrap/>
            <w:vAlign w:val="bottom"/>
            <w:hideMark/>
          </w:tcPr>
          <w:p w14:paraId="09FDD09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nil"/>
            </w:tcBorders>
            <w:noWrap/>
            <w:vAlign w:val="bottom"/>
            <w:hideMark/>
          </w:tcPr>
          <w:p w14:paraId="6937CB9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15" w:type="dxa"/>
            <w:tcBorders>
              <w:top w:val="nil"/>
              <w:left w:val="nil"/>
              <w:bottom w:val="single" w:sz="8" w:space="0" w:color="auto"/>
              <w:right w:val="nil"/>
            </w:tcBorders>
            <w:noWrap/>
            <w:vAlign w:val="bottom"/>
            <w:hideMark/>
          </w:tcPr>
          <w:p w14:paraId="1C8ACD3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nil"/>
            </w:tcBorders>
            <w:noWrap/>
            <w:vAlign w:val="bottom"/>
            <w:hideMark/>
          </w:tcPr>
          <w:p w14:paraId="13F014B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single" w:sz="8" w:space="0" w:color="auto"/>
            </w:tcBorders>
            <w:noWrap/>
            <w:vAlign w:val="bottom"/>
            <w:hideMark/>
          </w:tcPr>
          <w:p w14:paraId="7C56B65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r>
      <w:tr w:rsidR="00274DBC" w:rsidRPr="00274DBC" w14:paraId="42CD4018" w14:textId="77777777" w:rsidTr="00274DBC">
        <w:trPr>
          <w:trHeight w:val="285"/>
        </w:trPr>
        <w:tc>
          <w:tcPr>
            <w:tcW w:w="2379" w:type="dxa"/>
            <w:vMerge w:val="restart"/>
            <w:tcBorders>
              <w:top w:val="nil"/>
              <w:left w:val="single" w:sz="8" w:space="0" w:color="auto"/>
              <w:bottom w:val="single" w:sz="8" w:space="0" w:color="000000"/>
              <w:right w:val="single" w:sz="4" w:space="0" w:color="auto"/>
            </w:tcBorders>
            <w:hideMark/>
          </w:tcPr>
          <w:p w14:paraId="44BC84A5"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Palliative radiotherapy</w:t>
            </w:r>
          </w:p>
        </w:tc>
        <w:tc>
          <w:tcPr>
            <w:tcW w:w="1688" w:type="dxa"/>
            <w:tcBorders>
              <w:top w:val="nil"/>
              <w:left w:val="nil"/>
              <w:bottom w:val="nil"/>
              <w:right w:val="nil"/>
            </w:tcBorders>
            <w:noWrap/>
            <w:vAlign w:val="bottom"/>
            <w:hideMark/>
          </w:tcPr>
          <w:p w14:paraId="0F399173"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34</w:t>
            </w:r>
          </w:p>
        </w:tc>
        <w:tc>
          <w:tcPr>
            <w:tcW w:w="1592" w:type="dxa"/>
            <w:tcBorders>
              <w:top w:val="nil"/>
              <w:left w:val="nil"/>
              <w:bottom w:val="nil"/>
              <w:right w:val="nil"/>
            </w:tcBorders>
            <w:noWrap/>
            <w:vAlign w:val="bottom"/>
            <w:hideMark/>
          </w:tcPr>
          <w:p w14:paraId="2E8DA4A5"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19</w:t>
            </w:r>
          </w:p>
        </w:tc>
        <w:tc>
          <w:tcPr>
            <w:tcW w:w="1515" w:type="dxa"/>
            <w:tcBorders>
              <w:top w:val="nil"/>
              <w:left w:val="nil"/>
              <w:bottom w:val="nil"/>
              <w:right w:val="nil"/>
            </w:tcBorders>
            <w:noWrap/>
            <w:vAlign w:val="bottom"/>
            <w:hideMark/>
          </w:tcPr>
          <w:p w14:paraId="0AF22CCE"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0</w:t>
            </w:r>
          </w:p>
        </w:tc>
        <w:tc>
          <w:tcPr>
            <w:tcW w:w="1592" w:type="dxa"/>
            <w:tcBorders>
              <w:top w:val="nil"/>
              <w:left w:val="nil"/>
              <w:bottom w:val="nil"/>
              <w:right w:val="nil"/>
            </w:tcBorders>
            <w:noWrap/>
            <w:vAlign w:val="bottom"/>
            <w:hideMark/>
          </w:tcPr>
          <w:p w14:paraId="07AD8CA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5</w:t>
            </w:r>
          </w:p>
        </w:tc>
        <w:tc>
          <w:tcPr>
            <w:tcW w:w="1592" w:type="dxa"/>
            <w:tcBorders>
              <w:top w:val="nil"/>
              <w:left w:val="nil"/>
              <w:bottom w:val="nil"/>
              <w:right w:val="single" w:sz="8" w:space="0" w:color="auto"/>
            </w:tcBorders>
            <w:noWrap/>
            <w:vAlign w:val="bottom"/>
            <w:hideMark/>
          </w:tcPr>
          <w:p w14:paraId="27FA2795"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58</w:t>
            </w:r>
          </w:p>
        </w:tc>
      </w:tr>
      <w:tr w:rsidR="00274DBC" w:rsidRPr="00274DBC" w14:paraId="0EE8BF48" w14:textId="77777777" w:rsidTr="00274DBC">
        <w:trPr>
          <w:trHeight w:val="285"/>
        </w:trPr>
        <w:tc>
          <w:tcPr>
            <w:tcW w:w="2379" w:type="dxa"/>
            <w:vMerge/>
            <w:tcBorders>
              <w:top w:val="nil"/>
              <w:left w:val="single" w:sz="8" w:space="0" w:color="auto"/>
              <w:bottom w:val="single" w:sz="8" w:space="0" w:color="000000"/>
              <w:right w:val="single" w:sz="4" w:space="0" w:color="auto"/>
            </w:tcBorders>
            <w:vAlign w:val="center"/>
            <w:hideMark/>
          </w:tcPr>
          <w:p w14:paraId="57209EB3"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
        </w:tc>
        <w:tc>
          <w:tcPr>
            <w:tcW w:w="1688" w:type="dxa"/>
            <w:tcBorders>
              <w:top w:val="nil"/>
              <w:left w:val="nil"/>
              <w:bottom w:val="nil"/>
              <w:right w:val="nil"/>
            </w:tcBorders>
            <w:noWrap/>
            <w:vAlign w:val="bottom"/>
            <w:hideMark/>
          </w:tcPr>
          <w:p w14:paraId="19752BE5"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24</w:t>
            </w:r>
          </w:p>
        </w:tc>
        <w:tc>
          <w:tcPr>
            <w:tcW w:w="1592" w:type="dxa"/>
            <w:tcBorders>
              <w:top w:val="nil"/>
              <w:left w:val="nil"/>
              <w:bottom w:val="nil"/>
              <w:right w:val="nil"/>
            </w:tcBorders>
            <w:noWrap/>
            <w:vAlign w:val="bottom"/>
            <w:hideMark/>
          </w:tcPr>
          <w:p w14:paraId="3F21B520"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14</w:t>
            </w:r>
          </w:p>
        </w:tc>
        <w:tc>
          <w:tcPr>
            <w:tcW w:w="1515" w:type="dxa"/>
            <w:tcBorders>
              <w:top w:val="nil"/>
              <w:left w:val="nil"/>
              <w:bottom w:val="nil"/>
              <w:right w:val="nil"/>
            </w:tcBorders>
            <w:noWrap/>
            <w:vAlign w:val="bottom"/>
            <w:hideMark/>
          </w:tcPr>
          <w:p w14:paraId="0B2E6AA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2</w:t>
            </w:r>
          </w:p>
        </w:tc>
        <w:tc>
          <w:tcPr>
            <w:tcW w:w="1592" w:type="dxa"/>
            <w:tcBorders>
              <w:top w:val="nil"/>
              <w:left w:val="nil"/>
              <w:bottom w:val="nil"/>
              <w:right w:val="nil"/>
            </w:tcBorders>
            <w:noWrap/>
            <w:vAlign w:val="bottom"/>
            <w:hideMark/>
          </w:tcPr>
          <w:p w14:paraId="0EBEADA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2</w:t>
            </w:r>
          </w:p>
        </w:tc>
        <w:tc>
          <w:tcPr>
            <w:tcW w:w="1592" w:type="dxa"/>
            <w:tcBorders>
              <w:top w:val="nil"/>
              <w:left w:val="nil"/>
              <w:bottom w:val="nil"/>
              <w:right w:val="single" w:sz="8" w:space="0" w:color="auto"/>
            </w:tcBorders>
            <w:noWrap/>
            <w:vAlign w:val="bottom"/>
            <w:hideMark/>
          </w:tcPr>
          <w:p w14:paraId="4419052F"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42</w:t>
            </w:r>
          </w:p>
        </w:tc>
      </w:tr>
      <w:tr w:rsidR="00274DBC" w:rsidRPr="00274DBC" w14:paraId="6A647915" w14:textId="77777777" w:rsidTr="00274DBC">
        <w:trPr>
          <w:trHeight w:val="292"/>
        </w:trPr>
        <w:tc>
          <w:tcPr>
            <w:tcW w:w="2379" w:type="dxa"/>
            <w:vMerge/>
            <w:tcBorders>
              <w:top w:val="nil"/>
              <w:left w:val="single" w:sz="8" w:space="0" w:color="auto"/>
              <w:bottom w:val="single" w:sz="8" w:space="0" w:color="000000"/>
              <w:right w:val="single" w:sz="4" w:space="0" w:color="auto"/>
            </w:tcBorders>
            <w:vAlign w:val="center"/>
            <w:hideMark/>
          </w:tcPr>
          <w:p w14:paraId="11FEF384"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
        </w:tc>
        <w:tc>
          <w:tcPr>
            <w:tcW w:w="1688" w:type="dxa"/>
            <w:tcBorders>
              <w:top w:val="nil"/>
              <w:left w:val="nil"/>
              <w:bottom w:val="single" w:sz="8" w:space="0" w:color="auto"/>
              <w:right w:val="nil"/>
            </w:tcBorders>
            <w:noWrap/>
            <w:vAlign w:val="bottom"/>
            <w:hideMark/>
          </w:tcPr>
          <w:p w14:paraId="7CD0D7EE"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 2</w:t>
            </w:r>
          </w:p>
        </w:tc>
        <w:tc>
          <w:tcPr>
            <w:tcW w:w="1592" w:type="dxa"/>
            <w:tcBorders>
              <w:top w:val="nil"/>
              <w:left w:val="nil"/>
              <w:bottom w:val="single" w:sz="8" w:space="0" w:color="auto"/>
              <w:right w:val="nil"/>
            </w:tcBorders>
            <w:noWrap/>
            <w:vAlign w:val="bottom"/>
            <w:hideMark/>
          </w:tcPr>
          <w:p w14:paraId="72F8C283"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15" w:type="dxa"/>
            <w:tcBorders>
              <w:top w:val="nil"/>
              <w:left w:val="nil"/>
              <w:bottom w:val="single" w:sz="8" w:space="0" w:color="auto"/>
              <w:right w:val="nil"/>
            </w:tcBorders>
            <w:noWrap/>
            <w:vAlign w:val="bottom"/>
            <w:hideMark/>
          </w:tcPr>
          <w:p w14:paraId="4C4B21F0"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 xml:space="preserve">NA: 4 </w:t>
            </w:r>
          </w:p>
        </w:tc>
        <w:tc>
          <w:tcPr>
            <w:tcW w:w="1592" w:type="dxa"/>
            <w:tcBorders>
              <w:top w:val="nil"/>
              <w:left w:val="nil"/>
              <w:bottom w:val="single" w:sz="8" w:space="0" w:color="auto"/>
              <w:right w:val="nil"/>
            </w:tcBorders>
            <w:noWrap/>
            <w:vAlign w:val="bottom"/>
            <w:hideMark/>
          </w:tcPr>
          <w:p w14:paraId="7961C1E3"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single" w:sz="8" w:space="0" w:color="auto"/>
            </w:tcBorders>
            <w:noWrap/>
            <w:vAlign w:val="bottom"/>
            <w:hideMark/>
          </w:tcPr>
          <w:p w14:paraId="3658092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 6</w:t>
            </w:r>
          </w:p>
        </w:tc>
      </w:tr>
      <w:tr w:rsidR="00274DBC" w:rsidRPr="00274DBC" w14:paraId="42A9B114" w14:textId="77777777" w:rsidTr="00274DBC">
        <w:trPr>
          <w:trHeight w:val="285"/>
        </w:trPr>
        <w:tc>
          <w:tcPr>
            <w:tcW w:w="2379" w:type="dxa"/>
            <w:vMerge w:val="restart"/>
            <w:tcBorders>
              <w:top w:val="nil"/>
              <w:left w:val="single" w:sz="8" w:space="0" w:color="auto"/>
              <w:bottom w:val="single" w:sz="8" w:space="0" w:color="000000"/>
              <w:right w:val="single" w:sz="4" w:space="0" w:color="auto"/>
            </w:tcBorders>
            <w:vAlign w:val="center"/>
            <w:hideMark/>
          </w:tcPr>
          <w:p w14:paraId="2B85F8E4"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Neoadjuvant hormone therapy</w:t>
            </w:r>
          </w:p>
        </w:tc>
        <w:tc>
          <w:tcPr>
            <w:tcW w:w="1688" w:type="dxa"/>
            <w:tcBorders>
              <w:top w:val="nil"/>
              <w:left w:val="nil"/>
              <w:bottom w:val="nil"/>
              <w:right w:val="nil"/>
            </w:tcBorders>
            <w:noWrap/>
            <w:vAlign w:val="bottom"/>
            <w:hideMark/>
          </w:tcPr>
          <w:p w14:paraId="4DAA09A3"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12</w:t>
            </w:r>
          </w:p>
        </w:tc>
        <w:tc>
          <w:tcPr>
            <w:tcW w:w="1592" w:type="dxa"/>
            <w:tcBorders>
              <w:top w:val="nil"/>
              <w:left w:val="nil"/>
              <w:bottom w:val="nil"/>
              <w:right w:val="nil"/>
            </w:tcBorders>
            <w:noWrap/>
            <w:vAlign w:val="bottom"/>
            <w:hideMark/>
          </w:tcPr>
          <w:p w14:paraId="0F407EA5"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2</w:t>
            </w:r>
          </w:p>
        </w:tc>
        <w:tc>
          <w:tcPr>
            <w:tcW w:w="1515" w:type="dxa"/>
            <w:tcBorders>
              <w:top w:val="nil"/>
              <w:left w:val="nil"/>
              <w:bottom w:val="nil"/>
              <w:right w:val="nil"/>
            </w:tcBorders>
            <w:noWrap/>
            <w:vAlign w:val="bottom"/>
            <w:hideMark/>
          </w:tcPr>
          <w:p w14:paraId="38473DE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1</w:t>
            </w:r>
          </w:p>
        </w:tc>
        <w:tc>
          <w:tcPr>
            <w:tcW w:w="1592" w:type="dxa"/>
            <w:tcBorders>
              <w:top w:val="nil"/>
              <w:left w:val="nil"/>
              <w:bottom w:val="nil"/>
              <w:right w:val="nil"/>
            </w:tcBorders>
            <w:noWrap/>
            <w:vAlign w:val="bottom"/>
            <w:hideMark/>
          </w:tcPr>
          <w:p w14:paraId="201ECF71"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0</w:t>
            </w:r>
          </w:p>
        </w:tc>
        <w:tc>
          <w:tcPr>
            <w:tcW w:w="1592" w:type="dxa"/>
            <w:tcBorders>
              <w:top w:val="nil"/>
              <w:left w:val="nil"/>
              <w:bottom w:val="nil"/>
              <w:right w:val="single" w:sz="8" w:space="0" w:color="auto"/>
            </w:tcBorders>
            <w:noWrap/>
            <w:vAlign w:val="bottom"/>
            <w:hideMark/>
          </w:tcPr>
          <w:p w14:paraId="5908D394"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Yes: 15</w:t>
            </w:r>
          </w:p>
        </w:tc>
      </w:tr>
      <w:tr w:rsidR="00274DBC" w:rsidRPr="00274DBC" w14:paraId="70C6CDD4" w14:textId="77777777" w:rsidTr="00274DBC">
        <w:trPr>
          <w:trHeight w:val="285"/>
        </w:trPr>
        <w:tc>
          <w:tcPr>
            <w:tcW w:w="2379" w:type="dxa"/>
            <w:vMerge/>
            <w:tcBorders>
              <w:top w:val="nil"/>
              <w:left w:val="single" w:sz="8" w:space="0" w:color="auto"/>
              <w:bottom w:val="single" w:sz="8" w:space="0" w:color="000000"/>
              <w:right w:val="single" w:sz="4" w:space="0" w:color="auto"/>
            </w:tcBorders>
            <w:vAlign w:val="center"/>
            <w:hideMark/>
          </w:tcPr>
          <w:p w14:paraId="02FB1DB7"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
        </w:tc>
        <w:tc>
          <w:tcPr>
            <w:tcW w:w="1688" w:type="dxa"/>
            <w:tcBorders>
              <w:top w:val="nil"/>
              <w:left w:val="nil"/>
              <w:bottom w:val="nil"/>
              <w:right w:val="nil"/>
            </w:tcBorders>
            <w:noWrap/>
            <w:vAlign w:val="bottom"/>
            <w:hideMark/>
          </w:tcPr>
          <w:p w14:paraId="76AFB9F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48</w:t>
            </w:r>
          </w:p>
        </w:tc>
        <w:tc>
          <w:tcPr>
            <w:tcW w:w="1592" w:type="dxa"/>
            <w:tcBorders>
              <w:top w:val="nil"/>
              <w:left w:val="nil"/>
              <w:bottom w:val="nil"/>
              <w:right w:val="nil"/>
            </w:tcBorders>
            <w:noWrap/>
            <w:vAlign w:val="bottom"/>
            <w:hideMark/>
          </w:tcPr>
          <w:p w14:paraId="4E7E135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31</w:t>
            </w:r>
          </w:p>
        </w:tc>
        <w:tc>
          <w:tcPr>
            <w:tcW w:w="1515" w:type="dxa"/>
            <w:tcBorders>
              <w:top w:val="nil"/>
              <w:left w:val="nil"/>
              <w:bottom w:val="nil"/>
              <w:right w:val="nil"/>
            </w:tcBorders>
            <w:noWrap/>
            <w:vAlign w:val="bottom"/>
            <w:hideMark/>
          </w:tcPr>
          <w:p w14:paraId="55B8126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1</w:t>
            </w:r>
          </w:p>
        </w:tc>
        <w:tc>
          <w:tcPr>
            <w:tcW w:w="1592" w:type="dxa"/>
            <w:tcBorders>
              <w:top w:val="nil"/>
              <w:left w:val="nil"/>
              <w:bottom w:val="nil"/>
              <w:right w:val="nil"/>
            </w:tcBorders>
            <w:noWrap/>
            <w:vAlign w:val="bottom"/>
            <w:hideMark/>
          </w:tcPr>
          <w:p w14:paraId="11A786B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7</w:t>
            </w:r>
          </w:p>
        </w:tc>
        <w:tc>
          <w:tcPr>
            <w:tcW w:w="1592" w:type="dxa"/>
            <w:tcBorders>
              <w:top w:val="nil"/>
              <w:left w:val="nil"/>
              <w:bottom w:val="nil"/>
              <w:right w:val="single" w:sz="8" w:space="0" w:color="auto"/>
            </w:tcBorders>
            <w:noWrap/>
            <w:vAlign w:val="bottom"/>
            <w:hideMark/>
          </w:tcPr>
          <w:p w14:paraId="62E7C6E9"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No: 87</w:t>
            </w:r>
          </w:p>
        </w:tc>
      </w:tr>
      <w:tr w:rsidR="00274DBC" w:rsidRPr="00274DBC" w14:paraId="5310E56B" w14:textId="77777777" w:rsidTr="00274DBC">
        <w:trPr>
          <w:trHeight w:val="292"/>
        </w:trPr>
        <w:tc>
          <w:tcPr>
            <w:tcW w:w="2379" w:type="dxa"/>
            <w:vMerge/>
            <w:tcBorders>
              <w:top w:val="nil"/>
              <w:left w:val="single" w:sz="8" w:space="0" w:color="auto"/>
              <w:bottom w:val="single" w:sz="8" w:space="0" w:color="000000"/>
              <w:right w:val="single" w:sz="4" w:space="0" w:color="auto"/>
            </w:tcBorders>
            <w:vAlign w:val="center"/>
            <w:hideMark/>
          </w:tcPr>
          <w:p w14:paraId="15D34185"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
        </w:tc>
        <w:tc>
          <w:tcPr>
            <w:tcW w:w="1688" w:type="dxa"/>
            <w:tcBorders>
              <w:top w:val="nil"/>
              <w:left w:val="nil"/>
              <w:bottom w:val="single" w:sz="8" w:space="0" w:color="auto"/>
              <w:right w:val="nil"/>
            </w:tcBorders>
            <w:noWrap/>
            <w:vAlign w:val="bottom"/>
            <w:hideMark/>
          </w:tcPr>
          <w:p w14:paraId="6485366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nil"/>
            </w:tcBorders>
            <w:noWrap/>
            <w:vAlign w:val="bottom"/>
            <w:hideMark/>
          </w:tcPr>
          <w:p w14:paraId="6584D1E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15" w:type="dxa"/>
            <w:tcBorders>
              <w:top w:val="nil"/>
              <w:left w:val="nil"/>
              <w:bottom w:val="single" w:sz="8" w:space="0" w:color="auto"/>
              <w:right w:val="nil"/>
            </w:tcBorders>
            <w:noWrap/>
            <w:vAlign w:val="bottom"/>
            <w:hideMark/>
          </w:tcPr>
          <w:p w14:paraId="3375658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NA:4</w:t>
            </w:r>
          </w:p>
        </w:tc>
        <w:tc>
          <w:tcPr>
            <w:tcW w:w="1592" w:type="dxa"/>
            <w:tcBorders>
              <w:top w:val="nil"/>
              <w:left w:val="nil"/>
              <w:bottom w:val="single" w:sz="8" w:space="0" w:color="auto"/>
              <w:right w:val="nil"/>
            </w:tcBorders>
            <w:noWrap/>
            <w:vAlign w:val="bottom"/>
            <w:hideMark/>
          </w:tcPr>
          <w:p w14:paraId="39C3F6D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single" w:sz="8" w:space="0" w:color="auto"/>
            </w:tcBorders>
            <w:noWrap/>
            <w:vAlign w:val="bottom"/>
            <w:hideMark/>
          </w:tcPr>
          <w:p w14:paraId="2DE2061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 4</w:t>
            </w:r>
          </w:p>
        </w:tc>
      </w:tr>
      <w:tr w:rsidR="00274DBC" w:rsidRPr="00274DBC" w14:paraId="6F9F3E77"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4A3E08C5"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PSA doubling time (Months)</w:t>
            </w:r>
          </w:p>
        </w:tc>
        <w:tc>
          <w:tcPr>
            <w:tcW w:w="1688" w:type="dxa"/>
            <w:tcBorders>
              <w:top w:val="nil"/>
              <w:left w:val="nil"/>
              <w:bottom w:val="single" w:sz="8" w:space="0" w:color="auto"/>
              <w:right w:val="nil"/>
            </w:tcBorders>
            <w:noWrap/>
            <w:vAlign w:val="bottom"/>
            <w:hideMark/>
          </w:tcPr>
          <w:p w14:paraId="48E351AC"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2.2 (0.25–25.3)</w:t>
            </w:r>
          </w:p>
        </w:tc>
        <w:tc>
          <w:tcPr>
            <w:tcW w:w="1592" w:type="dxa"/>
            <w:tcBorders>
              <w:top w:val="nil"/>
              <w:left w:val="nil"/>
              <w:bottom w:val="single" w:sz="8" w:space="0" w:color="auto"/>
              <w:right w:val="nil"/>
            </w:tcBorders>
            <w:noWrap/>
            <w:vAlign w:val="bottom"/>
            <w:hideMark/>
          </w:tcPr>
          <w:p w14:paraId="53C100BC"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1.85 (1.1–13.7)</w:t>
            </w:r>
          </w:p>
        </w:tc>
        <w:tc>
          <w:tcPr>
            <w:tcW w:w="1515" w:type="dxa"/>
            <w:tcBorders>
              <w:top w:val="nil"/>
              <w:left w:val="nil"/>
              <w:bottom w:val="single" w:sz="8" w:space="0" w:color="auto"/>
              <w:right w:val="nil"/>
            </w:tcBorders>
            <w:noWrap/>
            <w:vAlign w:val="bottom"/>
            <w:hideMark/>
          </w:tcPr>
          <w:p w14:paraId="2E46108D"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nil"/>
            </w:tcBorders>
            <w:noWrap/>
            <w:vAlign w:val="bottom"/>
            <w:hideMark/>
          </w:tcPr>
          <w:p w14:paraId="50F5CC69"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1.8 (1.1–3.8)</w:t>
            </w:r>
          </w:p>
        </w:tc>
        <w:tc>
          <w:tcPr>
            <w:tcW w:w="1592" w:type="dxa"/>
            <w:tcBorders>
              <w:top w:val="nil"/>
              <w:left w:val="nil"/>
              <w:bottom w:val="single" w:sz="8" w:space="0" w:color="auto"/>
              <w:right w:val="single" w:sz="8" w:space="0" w:color="auto"/>
            </w:tcBorders>
            <w:noWrap/>
            <w:vAlign w:val="bottom"/>
            <w:hideMark/>
          </w:tcPr>
          <w:p w14:paraId="00AFB429"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2.05 (0.25–25.3)</w:t>
            </w:r>
          </w:p>
        </w:tc>
      </w:tr>
      <w:tr w:rsidR="00274DBC" w:rsidRPr="00274DBC" w14:paraId="443BA5EF"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4B2C5690"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Karnofsky performance index</w:t>
            </w:r>
          </w:p>
        </w:tc>
        <w:tc>
          <w:tcPr>
            <w:tcW w:w="1688" w:type="dxa"/>
            <w:tcBorders>
              <w:top w:val="nil"/>
              <w:left w:val="nil"/>
              <w:bottom w:val="single" w:sz="8" w:space="0" w:color="auto"/>
              <w:right w:val="nil"/>
            </w:tcBorders>
            <w:noWrap/>
            <w:vAlign w:val="bottom"/>
            <w:hideMark/>
          </w:tcPr>
          <w:p w14:paraId="7F01B6F0"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80.0 (50.0–100.0)</w:t>
            </w:r>
          </w:p>
        </w:tc>
        <w:tc>
          <w:tcPr>
            <w:tcW w:w="1592" w:type="dxa"/>
            <w:tcBorders>
              <w:top w:val="nil"/>
              <w:left w:val="nil"/>
              <w:bottom w:val="single" w:sz="8" w:space="0" w:color="auto"/>
              <w:right w:val="nil"/>
            </w:tcBorders>
            <w:noWrap/>
            <w:vAlign w:val="bottom"/>
            <w:hideMark/>
          </w:tcPr>
          <w:p w14:paraId="7FD4133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80.0 (50.0–100.0)</w:t>
            </w:r>
          </w:p>
        </w:tc>
        <w:tc>
          <w:tcPr>
            <w:tcW w:w="1515" w:type="dxa"/>
            <w:tcBorders>
              <w:top w:val="nil"/>
              <w:left w:val="nil"/>
              <w:bottom w:val="single" w:sz="8" w:space="0" w:color="auto"/>
              <w:right w:val="nil"/>
            </w:tcBorders>
            <w:noWrap/>
            <w:vAlign w:val="bottom"/>
            <w:hideMark/>
          </w:tcPr>
          <w:p w14:paraId="05F212E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NA</w:t>
            </w:r>
          </w:p>
        </w:tc>
        <w:tc>
          <w:tcPr>
            <w:tcW w:w="1592" w:type="dxa"/>
            <w:tcBorders>
              <w:top w:val="nil"/>
              <w:left w:val="nil"/>
              <w:bottom w:val="single" w:sz="8" w:space="0" w:color="auto"/>
              <w:right w:val="nil"/>
            </w:tcBorders>
            <w:noWrap/>
            <w:vAlign w:val="bottom"/>
            <w:hideMark/>
          </w:tcPr>
          <w:p w14:paraId="32CBED61"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90.0 (60.0–100.0)</w:t>
            </w:r>
          </w:p>
        </w:tc>
        <w:tc>
          <w:tcPr>
            <w:tcW w:w="1592" w:type="dxa"/>
            <w:tcBorders>
              <w:top w:val="nil"/>
              <w:left w:val="nil"/>
              <w:bottom w:val="single" w:sz="8" w:space="0" w:color="auto"/>
              <w:right w:val="single" w:sz="8" w:space="0" w:color="auto"/>
            </w:tcBorders>
            <w:noWrap/>
            <w:vAlign w:val="bottom"/>
            <w:hideMark/>
          </w:tcPr>
          <w:p w14:paraId="545E6453"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80.0 (50.0–100.0)</w:t>
            </w:r>
          </w:p>
        </w:tc>
      </w:tr>
      <w:tr w:rsidR="00274DBC" w:rsidRPr="00274DBC" w14:paraId="20ABBF80"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3F599D3D"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 xml:space="preserve">Alkaline </w:t>
            </w:r>
            <w:proofErr w:type="gramStart"/>
            <w:r w:rsidRPr="00274DBC">
              <w:rPr>
                <w:rFonts w:ascii="Calibri" w:eastAsia="Times New Roman" w:hAnsi="Calibri" w:cs="Calibri"/>
                <w:b/>
                <w:bCs/>
                <w:color w:val="000000"/>
                <w:sz w:val="18"/>
                <w:szCs w:val="18"/>
                <w:lang w:val="en-US"/>
              </w:rPr>
              <w:t>phosphatase  (</w:t>
            </w:r>
            <w:proofErr w:type="gramEnd"/>
            <w:r w:rsidRPr="00274DBC">
              <w:rPr>
                <w:rFonts w:ascii="Calibri" w:eastAsia="Times New Roman" w:hAnsi="Calibri" w:cs="Calibri"/>
                <w:b/>
                <w:bCs/>
                <w:color w:val="000000"/>
                <w:sz w:val="18"/>
                <w:szCs w:val="18"/>
                <w:lang w:val="en-US"/>
              </w:rPr>
              <w:t>U/L)</w:t>
            </w:r>
          </w:p>
        </w:tc>
        <w:tc>
          <w:tcPr>
            <w:tcW w:w="1688" w:type="dxa"/>
            <w:tcBorders>
              <w:top w:val="nil"/>
              <w:left w:val="nil"/>
              <w:bottom w:val="single" w:sz="8" w:space="0" w:color="auto"/>
              <w:right w:val="nil"/>
            </w:tcBorders>
            <w:noWrap/>
            <w:vAlign w:val="bottom"/>
            <w:hideMark/>
          </w:tcPr>
          <w:p w14:paraId="6BF1F7B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221.0 (44.0–1721.0)</w:t>
            </w:r>
          </w:p>
        </w:tc>
        <w:tc>
          <w:tcPr>
            <w:tcW w:w="1592" w:type="dxa"/>
            <w:tcBorders>
              <w:top w:val="nil"/>
              <w:left w:val="nil"/>
              <w:bottom w:val="single" w:sz="8" w:space="0" w:color="auto"/>
              <w:right w:val="nil"/>
            </w:tcBorders>
            <w:noWrap/>
            <w:vAlign w:val="bottom"/>
            <w:hideMark/>
          </w:tcPr>
          <w:p w14:paraId="3CB8F70E"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131.0 (63.0–1626.0)</w:t>
            </w:r>
          </w:p>
        </w:tc>
        <w:tc>
          <w:tcPr>
            <w:tcW w:w="1515" w:type="dxa"/>
            <w:tcBorders>
              <w:top w:val="nil"/>
              <w:left w:val="nil"/>
              <w:bottom w:val="single" w:sz="8" w:space="0" w:color="auto"/>
              <w:right w:val="nil"/>
            </w:tcBorders>
            <w:noWrap/>
            <w:vAlign w:val="bottom"/>
            <w:hideMark/>
          </w:tcPr>
          <w:p w14:paraId="1EEAAA55"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582.5 (534.0–631.0)</w:t>
            </w:r>
          </w:p>
        </w:tc>
        <w:tc>
          <w:tcPr>
            <w:tcW w:w="1592" w:type="dxa"/>
            <w:tcBorders>
              <w:top w:val="nil"/>
              <w:left w:val="nil"/>
              <w:bottom w:val="single" w:sz="8" w:space="0" w:color="auto"/>
              <w:right w:val="nil"/>
            </w:tcBorders>
            <w:noWrap/>
            <w:vAlign w:val="bottom"/>
            <w:hideMark/>
          </w:tcPr>
          <w:p w14:paraId="2B9534F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130.0 (69–272)</w:t>
            </w:r>
          </w:p>
        </w:tc>
        <w:tc>
          <w:tcPr>
            <w:tcW w:w="1592" w:type="dxa"/>
            <w:tcBorders>
              <w:top w:val="nil"/>
              <w:left w:val="nil"/>
              <w:bottom w:val="single" w:sz="8" w:space="0" w:color="auto"/>
              <w:right w:val="single" w:sz="8" w:space="0" w:color="auto"/>
            </w:tcBorders>
            <w:noWrap/>
            <w:vAlign w:val="bottom"/>
            <w:hideMark/>
          </w:tcPr>
          <w:p w14:paraId="161E3A35"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206.0 (44.0–1721.0)</w:t>
            </w:r>
          </w:p>
        </w:tc>
      </w:tr>
      <w:tr w:rsidR="00274DBC" w:rsidRPr="00274DBC" w14:paraId="34C80EC9"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77DE4679"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Lactate dehydrogenase (U/L)</w:t>
            </w:r>
          </w:p>
        </w:tc>
        <w:tc>
          <w:tcPr>
            <w:tcW w:w="1688" w:type="dxa"/>
            <w:tcBorders>
              <w:top w:val="nil"/>
              <w:left w:val="nil"/>
              <w:bottom w:val="single" w:sz="8" w:space="0" w:color="auto"/>
              <w:right w:val="nil"/>
            </w:tcBorders>
            <w:noWrap/>
            <w:vAlign w:val="bottom"/>
            <w:hideMark/>
          </w:tcPr>
          <w:p w14:paraId="254279E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309.0 (165.0–2411.0)</w:t>
            </w:r>
          </w:p>
        </w:tc>
        <w:tc>
          <w:tcPr>
            <w:tcW w:w="1592" w:type="dxa"/>
            <w:tcBorders>
              <w:top w:val="nil"/>
              <w:left w:val="nil"/>
              <w:bottom w:val="single" w:sz="8" w:space="0" w:color="auto"/>
              <w:right w:val="nil"/>
            </w:tcBorders>
            <w:noWrap/>
            <w:vAlign w:val="bottom"/>
            <w:hideMark/>
          </w:tcPr>
          <w:p w14:paraId="024B8D21"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246.5 (163.0–1106.0)</w:t>
            </w:r>
          </w:p>
        </w:tc>
        <w:tc>
          <w:tcPr>
            <w:tcW w:w="1515" w:type="dxa"/>
            <w:tcBorders>
              <w:top w:val="nil"/>
              <w:left w:val="nil"/>
              <w:bottom w:val="single" w:sz="8" w:space="0" w:color="auto"/>
              <w:right w:val="nil"/>
            </w:tcBorders>
            <w:noWrap/>
            <w:vAlign w:val="bottom"/>
            <w:hideMark/>
          </w:tcPr>
          <w:p w14:paraId="2771E84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584.0 (584.0–584.0)</w:t>
            </w:r>
          </w:p>
        </w:tc>
        <w:tc>
          <w:tcPr>
            <w:tcW w:w="1592" w:type="dxa"/>
            <w:tcBorders>
              <w:top w:val="nil"/>
              <w:left w:val="nil"/>
              <w:bottom w:val="single" w:sz="8" w:space="0" w:color="auto"/>
              <w:right w:val="nil"/>
            </w:tcBorders>
            <w:noWrap/>
            <w:vAlign w:val="bottom"/>
            <w:hideMark/>
          </w:tcPr>
          <w:p w14:paraId="57E8DBF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657.0 (227–1789)</w:t>
            </w:r>
          </w:p>
        </w:tc>
        <w:tc>
          <w:tcPr>
            <w:tcW w:w="1592" w:type="dxa"/>
            <w:tcBorders>
              <w:top w:val="nil"/>
              <w:left w:val="nil"/>
              <w:bottom w:val="single" w:sz="8" w:space="0" w:color="auto"/>
              <w:right w:val="single" w:sz="8" w:space="0" w:color="auto"/>
            </w:tcBorders>
            <w:noWrap/>
            <w:vAlign w:val="bottom"/>
            <w:hideMark/>
          </w:tcPr>
          <w:p w14:paraId="1B4B59FD"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292.0 (163.0–2411.0)</w:t>
            </w:r>
          </w:p>
        </w:tc>
      </w:tr>
      <w:tr w:rsidR="00274DBC" w:rsidRPr="00274DBC" w14:paraId="1224EE97"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79EC009E"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Hemoglobin (g/L)</w:t>
            </w:r>
          </w:p>
        </w:tc>
        <w:tc>
          <w:tcPr>
            <w:tcW w:w="1688" w:type="dxa"/>
            <w:tcBorders>
              <w:top w:val="nil"/>
              <w:left w:val="nil"/>
              <w:bottom w:val="single" w:sz="8" w:space="0" w:color="auto"/>
              <w:right w:val="nil"/>
            </w:tcBorders>
            <w:noWrap/>
            <w:vAlign w:val="bottom"/>
            <w:hideMark/>
          </w:tcPr>
          <w:p w14:paraId="6DE0B82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11.55 (7.5–15.4)</w:t>
            </w:r>
          </w:p>
        </w:tc>
        <w:tc>
          <w:tcPr>
            <w:tcW w:w="1592" w:type="dxa"/>
            <w:tcBorders>
              <w:top w:val="nil"/>
              <w:left w:val="nil"/>
              <w:bottom w:val="single" w:sz="8" w:space="0" w:color="auto"/>
              <w:right w:val="nil"/>
            </w:tcBorders>
            <w:noWrap/>
            <w:vAlign w:val="bottom"/>
            <w:hideMark/>
          </w:tcPr>
          <w:p w14:paraId="61060C61"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12.65 (9.1–15.8)</w:t>
            </w:r>
          </w:p>
        </w:tc>
        <w:tc>
          <w:tcPr>
            <w:tcW w:w="1515" w:type="dxa"/>
            <w:tcBorders>
              <w:top w:val="nil"/>
              <w:left w:val="nil"/>
              <w:bottom w:val="single" w:sz="8" w:space="0" w:color="auto"/>
              <w:right w:val="nil"/>
            </w:tcBorders>
            <w:noWrap/>
            <w:vAlign w:val="bottom"/>
            <w:hideMark/>
          </w:tcPr>
          <w:p w14:paraId="4015DF7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10.8 (10.8–10.8)</w:t>
            </w:r>
          </w:p>
        </w:tc>
        <w:tc>
          <w:tcPr>
            <w:tcW w:w="1592" w:type="dxa"/>
            <w:tcBorders>
              <w:top w:val="nil"/>
              <w:left w:val="nil"/>
              <w:bottom w:val="single" w:sz="8" w:space="0" w:color="auto"/>
              <w:right w:val="nil"/>
            </w:tcBorders>
            <w:noWrap/>
            <w:vAlign w:val="bottom"/>
            <w:hideMark/>
          </w:tcPr>
          <w:p w14:paraId="2229FC1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10.8 (8.8–13.5)</w:t>
            </w:r>
          </w:p>
        </w:tc>
        <w:tc>
          <w:tcPr>
            <w:tcW w:w="1592" w:type="dxa"/>
            <w:tcBorders>
              <w:top w:val="nil"/>
              <w:left w:val="nil"/>
              <w:bottom w:val="single" w:sz="8" w:space="0" w:color="auto"/>
              <w:right w:val="single" w:sz="8" w:space="0" w:color="auto"/>
            </w:tcBorders>
            <w:noWrap/>
            <w:vAlign w:val="bottom"/>
            <w:hideMark/>
          </w:tcPr>
          <w:p w14:paraId="3FB8085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11.7 (7.5–15.8)</w:t>
            </w:r>
          </w:p>
        </w:tc>
      </w:tr>
      <w:tr w:rsidR="00274DBC" w:rsidRPr="00274DBC" w14:paraId="322CA4E8"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2DE1C96F"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PSA (ng/mL, plasma)</w:t>
            </w:r>
          </w:p>
        </w:tc>
        <w:tc>
          <w:tcPr>
            <w:tcW w:w="1688" w:type="dxa"/>
            <w:tcBorders>
              <w:top w:val="nil"/>
              <w:left w:val="nil"/>
              <w:bottom w:val="single" w:sz="8" w:space="0" w:color="auto"/>
              <w:right w:val="nil"/>
            </w:tcBorders>
            <w:noWrap/>
            <w:vAlign w:val="bottom"/>
            <w:hideMark/>
          </w:tcPr>
          <w:p w14:paraId="49F9721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162.35 (0.01–10000.0)</w:t>
            </w:r>
          </w:p>
        </w:tc>
        <w:tc>
          <w:tcPr>
            <w:tcW w:w="1592" w:type="dxa"/>
            <w:tcBorders>
              <w:top w:val="nil"/>
              <w:left w:val="nil"/>
              <w:bottom w:val="single" w:sz="8" w:space="0" w:color="auto"/>
              <w:right w:val="nil"/>
            </w:tcBorders>
            <w:noWrap/>
            <w:vAlign w:val="bottom"/>
            <w:hideMark/>
          </w:tcPr>
          <w:p w14:paraId="019B33EE"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16.89 (0.01–2397.34)</w:t>
            </w:r>
          </w:p>
        </w:tc>
        <w:tc>
          <w:tcPr>
            <w:tcW w:w="1515" w:type="dxa"/>
            <w:tcBorders>
              <w:top w:val="nil"/>
              <w:left w:val="nil"/>
              <w:bottom w:val="single" w:sz="8" w:space="0" w:color="auto"/>
              <w:right w:val="nil"/>
            </w:tcBorders>
            <w:noWrap/>
            <w:vAlign w:val="bottom"/>
            <w:hideMark/>
          </w:tcPr>
          <w:p w14:paraId="3A23D4D4"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229.0 (4.61–453.39)</w:t>
            </w:r>
          </w:p>
        </w:tc>
        <w:tc>
          <w:tcPr>
            <w:tcW w:w="1592" w:type="dxa"/>
            <w:tcBorders>
              <w:top w:val="nil"/>
              <w:left w:val="nil"/>
              <w:bottom w:val="single" w:sz="8" w:space="0" w:color="auto"/>
              <w:right w:val="nil"/>
            </w:tcBorders>
            <w:noWrap/>
            <w:vAlign w:val="bottom"/>
            <w:hideMark/>
          </w:tcPr>
          <w:p w14:paraId="0BA898A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22.75 (3.2–204.51)</w:t>
            </w:r>
          </w:p>
        </w:tc>
        <w:tc>
          <w:tcPr>
            <w:tcW w:w="1592" w:type="dxa"/>
            <w:tcBorders>
              <w:top w:val="nil"/>
              <w:left w:val="nil"/>
              <w:bottom w:val="single" w:sz="8" w:space="0" w:color="auto"/>
              <w:right w:val="single" w:sz="8" w:space="0" w:color="auto"/>
            </w:tcBorders>
            <w:noWrap/>
            <w:vAlign w:val="bottom"/>
            <w:hideMark/>
          </w:tcPr>
          <w:p w14:paraId="5DF59A4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55.52 (0.01–10000.0)</w:t>
            </w:r>
          </w:p>
        </w:tc>
      </w:tr>
      <w:tr w:rsidR="00274DBC" w:rsidRPr="00274DBC" w14:paraId="69919805"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75BF2F92"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ctDNA fraction</w:t>
            </w:r>
          </w:p>
        </w:tc>
        <w:tc>
          <w:tcPr>
            <w:tcW w:w="1688" w:type="dxa"/>
            <w:tcBorders>
              <w:top w:val="nil"/>
              <w:left w:val="nil"/>
              <w:bottom w:val="single" w:sz="8" w:space="0" w:color="auto"/>
              <w:right w:val="nil"/>
            </w:tcBorders>
            <w:noWrap/>
            <w:vAlign w:val="bottom"/>
            <w:hideMark/>
          </w:tcPr>
          <w:p w14:paraId="4290E555"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31.35 (0.0–80.34)</w:t>
            </w:r>
          </w:p>
        </w:tc>
        <w:tc>
          <w:tcPr>
            <w:tcW w:w="1592" w:type="dxa"/>
            <w:tcBorders>
              <w:top w:val="nil"/>
              <w:left w:val="nil"/>
              <w:bottom w:val="single" w:sz="8" w:space="0" w:color="auto"/>
              <w:right w:val="nil"/>
            </w:tcBorders>
            <w:noWrap/>
            <w:vAlign w:val="bottom"/>
            <w:hideMark/>
          </w:tcPr>
          <w:p w14:paraId="4BBAB9EE"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20.67 (0.0–71.05)</w:t>
            </w:r>
          </w:p>
        </w:tc>
        <w:tc>
          <w:tcPr>
            <w:tcW w:w="1515" w:type="dxa"/>
            <w:tcBorders>
              <w:top w:val="nil"/>
              <w:left w:val="nil"/>
              <w:bottom w:val="single" w:sz="8" w:space="0" w:color="auto"/>
              <w:right w:val="nil"/>
            </w:tcBorders>
            <w:noWrap/>
            <w:vAlign w:val="bottom"/>
            <w:hideMark/>
          </w:tcPr>
          <w:p w14:paraId="557BC750"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21.73 (5.9–74.92)</w:t>
            </w:r>
          </w:p>
        </w:tc>
        <w:tc>
          <w:tcPr>
            <w:tcW w:w="1592" w:type="dxa"/>
            <w:tcBorders>
              <w:top w:val="nil"/>
              <w:left w:val="nil"/>
              <w:bottom w:val="single" w:sz="8" w:space="0" w:color="auto"/>
              <w:right w:val="nil"/>
            </w:tcBorders>
            <w:noWrap/>
            <w:vAlign w:val="bottom"/>
            <w:hideMark/>
          </w:tcPr>
          <w:p w14:paraId="089A187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47.53 (7.35–63.6)</w:t>
            </w:r>
          </w:p>
        </w:tc>
        <w:tc>
          <w:tcPr>
            <w:tcW w:w="1592" w:type="dxa"/>
            <w:tcBorders>
              <w:top w:val="nil"/>
              <w:left w:val="nil"/>
              <w:bottom w:val="single" w:sz="8" w:space="0" w:color="auto"/>
              <w:right w:val="single" w:sz="8" w:space="0" w:color="auto"/>
            </w:tcBorders>
            <w:noWrap/>
            <w:vAlign w:val="bottom"/>
            <w:hideMark/>
          </w:tcPr>
          <w:p w14:paraId="1AA93CE3"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30.32 (0.0–80.34)</w:t>
            </w:r>
          </w:p>
        </w:tc>
      </w:tr>
      <w:tr w:rsidR="00274DBC" w:rsidRPr="00274DBC" w14:paraId="10806692"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1181E391"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proofErr w:type="spellStart"/>
            <w:r w:rsidRPr="00274DBC">
              <w:rPr>
                <w:rFonts w:ascii="Calibri" w:eastAsia="Times New Roman" w:hAnsi="Calibri" w:cs="Calibri"/>
                <w:b/>
                <w:bCs/>
                <w:color w:val="000000"/>
                <w:sz w:val="18"/>
                <w:szCs w:val="18"/>
                <w:lang w:val="en-US"/>
              </w:rPr>
              <w:t>sHRD</w:t>
            </w:r>
            <w:proofErr w:type="spellEnd"/>
            <w:r w:rsidRPr="00274DBC">
              <w:rPr>
                <w:rFonts w:ascii="Calibri" w:eastAsia="Times New Roman" w:hAnsi="Calibri" w:cs="Calibri"/>
                <w:b/>
                <w:bCs/>
                <w:color w:val="000000"/>
                <w:sz w:val="18"/>
                <w:szCs w:val="18"/>
                <w:lang w:val="en-US"/>
              </w:rPr>
              <w:t xml:space="preserve"> score</w:t>
            </w:r>
          </w:p>
        </w:tc>
        <w:tc>
          <w:tcPr>
            <w:tcW w:w="1688" w:type="dxa"/>
            <w:tcBorders>
              <w:top w:val="nil"/>
              <w:left w:val="nil"/>
              <w:bottom w:val="single" w:sz="8" w:space="0" w:color="auto"/>
              <w:right w:val="nil"/>
            </w:tcBorders>
            <w:noWrap/>
            <w:vAlign w:val="bottom"/>
            <w:hideMark/>
          </w:tcPr>
          <w:p w14:paraId="3F03ECCB"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13.0 (0–30)</w:t>
            </w:r>
          </w:p>
        </w:tc>
        <w:tc>
          <w:tcPr>
            <w:tcW w:w="1592" w:type="dxa"/>
            <w:tcBorders>
              <w:top w:val="nil"/>
              <w:left w:val="nil"/>
              <w:bottom w:val="single" w:sz="8" w:space="0" w:color="auto"/>
              <w:right w:val="nil"/>
            </w:tcBorders>
            <w:noWrap/>
            <w:vAlign w:val="bottom"/>
            <w:hideMark/>
          </w:tcPr>
          <w:p w14:paraId="14A00DA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5.0 (0–24)</w:t>
            </w:r>
          </w:p>
        </w:tc>
        <w:tc>
          <w:tcPr>
            <w:tcW w:w="1515" w:type="dxa"/>
            <w:tcBorders>
              <w:top w:val="nil"/>
              <w:left w:val="nil"/>
              <w:bottom w:val="single" w:sz="8" w:space="0" w:color="auto"/>
              <w:right w:val="nil"/>
            </w:tcBorders>
            <w:noWrap/>
            <w:vAlign w:val="bottom"/>
            <w:hideMark/>
          </w:tcPr>
          <w:p w14:paraId="5B38745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18.5 (0–35)</w:t>
            </w:r>
          </w:p>
        </w:tc>
        <w:tc>
          <w:tcPr>
            <w:tcW w:w="1592" w:type="dxa"/>
            <w:tcBorders>
              <w:top w:val="nil"/>
              <w:left w:val="nil"/>
              <w:bottom w:val="single" w:sz="8" w:space="0" w:color="auto"/>
              <w:right w:val="nil"/>
            </w:tcBorders>
            <w:noWrap/>
            <w:vAlign w:val="bottom"/>
            <w:hideMark/>
          </w:tcPr>
          <w:p w14:paraId="1FD4220C"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10.0 (2–29)</w:t>
            </w:r>
          </w:p>
        </w:tc>
        <w:tc>
          <w:tcPr>
            <w:tcW w:w="1592" w:type="dxa"/>
            <w:tcBorders>
              <w:top w:val="nil"/>
              <w:left w:val="nil"/>
              <w:bottom w:val="single" w:sz="8" w:space="0" w:color="auto"/>
              <w:right w:val="single" w:sz="8" w:space="0" w:color="auto"/>
            </w:tcBorders>
            <w:noWrap/>
            <w:vAlign w:val="bottom"/>
            <w:hideMark/>
          </w:tcPr>
          <w:p w14:paraId="282AE42D"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11.0 (0–35)</w:t>
            </w:r>
          </w:p>
        </w:tc>
      </w:tr>
      <w:tr w:rsidR="00274DBC" w:rsidRPr="00274DBC" w14:paraId="11D9CE27"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28EBA8CF"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Z-score</w:t>
            </w:r>
          </w:p>
        </w:tc>
        <w:tc>
          <w:tcPr>
            <w:tcW w:w="1688" w:type="dxa"/>
            <w:tcBorders>
              <w:top w:val="nil"/>
              <w:left w:val="nil"/>
              <w:bottom w:val="single" w:sz="8" w:space="0" w:color="auto"/>
              <w:right w:val="nil"/>
            </w:tcBorders>
            <w:noWrap/>
            <w:vAlign w:val="bottom"/>
            <w:hideMark/>
          </w:tcPr>
          <w:p w14:paraId="73B7E8C2"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36.48 (1.8–350.87)</w:t>
            </w:r>
          </w:p>
        </w:tc>
        <w:tc>
          <w:tcPr>
            <w:tcW w:w="1592" w:type="dxa"/>
            <w:tcBorders>
              <w:top w:val="nil"/>
              <w:left w:val="nil"/>
              <w:bottom w:val="single" w:sz="8" w:space="0" w:color="auto"/>
              <w:right w:val="nil"/>
            </w:tcBorders>
            <w:noWrap/>
            <w:vAlign w:val="bottom"/>
            <w:hideMark/>
          </w:tcPr>
          <w:p w14:paraId="71695954"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11.43 (2.24–376.65)</w:t>
            </w:r>
          </w:p>
        </w:tc>
        <w:tc>
          <w:tcPr>
            <w:tcW w:w="1515" w:type="dxa"/>
            <w:tcBorders>
              <w:top w:val="nil"/>
              <w:left w:val="nil"/>
              <w:bottom w:val="single" w:sz="8" w:space="0" w:color="auto"/>
              <w:right w:val="nil"/>
            </w:tcBorders>
            <w:noWrap/>
            <w:vAlign w:val="bottom"/>
            <w:hideMark/>
          </w:tcPr>
          <w:p w14:paraId="7194D948"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23.43 (2.98–49.06)</w:t>
            </w:r>
          </w:p>
        </w:tc>
        <w:tc>
          <w:tcPr>
            <w:tcW w:w="1592" w:type="dxa"/>
            <w:tcBorders>
              <w:top w:val="nil"/>
              <w:left w:val="nil"/>
              <w:bottom w:val="single" w:sz="8" w:space="0" w:color="auto"/>
              <w:right w:val="nil"/>
            </w:tcBorders>
            <w:noWrap/>
            <w:vAlign w:val="bottom"/>
            <w:hideMark/>
          </w:tcPr>
          <w:p w14:paraId="7660A367"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53.51 (31.33–210.35)</w:t>
            </w:r>
          </w:p>
        </w:tc>
        <w:tc>
          <w:tcPr>
            <w:tcW w:w="1592" w:type="dxa"/>
            <w:tcBorders>
              <w:top w:val="nil"/>
              <w:left w:val="nil"/>
              <w:bottom w:val="single" w:sz="8" w:space="0" w:color="auto"/>
              <w:right w:val="single" w:sz="8" w:space="0" w:color="auto"/>
            </w:tcBorders>
            <w:noWrap/>
            <w:vAlign w:val="bottom"/>
            <w:hideMark/>
          </w:tcPr>
          <w:p w14:paraId="7469972F"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33.93 (1.8–376.65)</w:t>
            </w:r>
          </w:p>
        </w:tc>
      </w:tr>
      <w:tr w:rsidR="00274DBC" w:rsidRPr="00274DBC" w14:paraId="22BD3926" w14:textId="77777777" w:rsidTr="00274DBC">
        <w:trPr>
          <w:trHeight w:val="292"/>
        </w:trPr>
        <w:tc>
          <w:tcPr>
            <w:tcW w:w="2379" w:type="dxa"/>
            <w:tcBorders>
              <w:top w:val="nil"/>
              <w:left w:val="single" w:sz="8" w:space="0" w:color="auto"/>
              <w:bottom w:val="single" w:sz="8" w:space="0" w:color="auto"/>
              <w:right w:val="single" w:sz="4" w:space="0" w:color="auto"/>
            </w:tcBorders>
            <w:hideMark/>
          </w:tcPr>
          <w:p w14:paraId="6BC66D2E" w14:textId="77777777" w:rsidR="00274DBC" w:rsidRPr="00274DBC" w:rsidRDefault="00274DBC" w:rsidP="00274DBC">
            <w:pPr>
              <w:spacing w:after="0" w:line="240" w:lineRule="auto"/>
              <w:rPr>
                <w:rFonts w:ascii="Calibri" w:eastAsia="Times New Roman" w:hAnsi="Calibri" w:cs="Calibri"/>
                <w:b/>
                <w:bCs/>
                <w:color w:val="000000"/>
                <w:sz w:val="18"/>
                <w:szCs w:val="18"/>
                <w:lang w:val="en-US"/>
              </w:rPr>
            </w:pPr>
            <w:r w:rsidRPr="00274DBC">
              <w:rPr>
                <w:rFonts w:ascii="Calibri" w:eastAsia="Times New Roman" w:hAnsi="Calibri" w:cs="Calibri"/>
                <w:b/>
                <w:bCs/>
                <w:color w:val="000000"/>
                <w:sz w:val="18"/>
                <w:szCs w:val="18"/>
                <w:lang w:val="en-US"/>
              </w:rPr>
              <w:t>Follow-up for OS (months)</w:t>
            </w:r>
          </w:p>
        </w:tc>
        <w:tc>
          <w:tcPr>
            <w:tcW w:w="1688" w:type="dxa"/>
            <w:tcBorders>
              <w:top w:val="nil"/>
              <w:left w:val="nil"/>
              <w:bottom w:val="single" w:sz="8" w:space="0" w:color="auto"/>
              <w:right w:val="nil"/>
            </w:tcBorders>
            <w:noWrap/>
            <w:vAlign w:val="bottom"/>
            <w:hideMark/>
          </w:tcPr>
          <w:p w14:paraId="365774B3"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76.5 (4.0–255.0)</w:t>
            </w:r>
          </w:p>
        </w:tc>
        <w:tc>
          <w:tcPr>
            <w:tcW w:w="1592" w:type="dxa"/>
            <w:tcBorders>
              <w:top w:val="nil"/>
              <w:left w:val="nil"/>
              <w:bottom w:val="single" w:sz="8" w:space="0" w:color="auto"/>
              <w:right w:val="nil"/>
            </w:tcBorders>
            <w:noWrap/>
            <w:vAlign w:val="bottom"/>
            <w:hideMark/>
          </w:tcPr>
          <w:p w14:paraId="5424BB96"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56.0 (2.0–237.0)</w:t>
            </w:r>
          </w:p>
        </w:tc>
        <w:tc>
          <w:tcPr>
            <w:tcW w:w="1515" w:type="dxa"/>
            <w:tcBorders>
              <w:top w:val="nil"/>
              <w:left w:val="nil"/>
              <w:bottom w:val="single" w:sz="8" w:space="0" w:color="auto"/>
              <w:right w:val="nil"/>
            </w:tcBorders>
            <w:noWrap/>
            <w:vAlign w:val="bottom"/>
            <w:hideMark/>
          </w:tcPr>
          <w:p w14:paraId="203D4B0D"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16.5 (2.0–31.0)</w:t>
            </w:r>
          </w:p>
        </w:tc>
        <w:tc>
          <w:tcPr>
            <w:tcW w:w="1592" w:type="dxa"/>
            <w:tcBorders>
              <w:top w:val="nil"/>
              <w:left w:val="nil"/>
              <w:bottom w:val="single" w:sz="8" w:space="0" w:color="auto"/>
              <w:right w:val="nil"/>
            </w:tcBorders>
            <w:noWrap/>
            <w:vAlign w:val="bottom"/>
            <w:hideMark/>
          </w:tcPr>
          <w:p w14:paraId="6A74F83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52.0 (20.0–192.0)</w:t>
            </w:r>
          </w:p>
        </w:tc>
        <w:tc>
          <w:tcPr>
            <w:tcW w:w="1592" w:type="dxa"/>
            <w:tcBorders>
              <w:top w:val="nil"/>
              <w:left w:val="nil"/>
              <w:bottom w:val="single" w:sz="8" w:space="0" w:color="auto"/>
              <w:right w:val="single" w:sz="8" w:space="0" w:color="auto"/>
            </w:tcBorders>
            <w:noWrap/>
            <w:vAlign w:val="bottom"/>
            <w:hideMark/>
          </w:tcPr>
          <w:p w14:paraId="2463C65A" w14:textId="77777777" w:rsidR="00274DBC" w:rsidRPr="00274DBC" w:rsidRDefault="00274DBC" w:rsidP="00274DBC">
            <w:pPr>
              <w:spacing w:after="0" w:line="240" w:lineRule="auto"/>
              <w:rPr>
                <w:rFonts w:ascii="Calibri" w:eastAsia="Times New Roman" w:hAnsi="Calibri" w:cs="Calibri"/>
                <w:color w:val="000000"/>
                <w:sz w:val="18"/>
                <w:szCs w:val="18"/>
                <w:lang w:val="en-US"/>
              </w:rPr>
            </w:pPr>
            <w:r w:rsidRPr="00274DBC">
              <w:rPr>
                <w:rFonts w:ascii="Calibri" w:eastAsia="Times New Roman" w:hAnsi="Calibri" w:cs="Calibri"/>
                <w:color w:val="000000"/>
                <w:sz w:val="18"/>
                <w:szCs w:val="18"/>
                <w:lang w:val="en-US"/>
              </w:rPr>
              <w:t>61.5 (2.0–255.0)</w:t>
            </w:r>
          </w:p>
        </w:tc>
      </w:tr>
    </w:tbl>
    <w:p w14:paraId="0772736C" w14:textId="77777777" w:rsidR="00274DBC" w:rsidRPr="00274DBC" w:rsidRDefault="00274DBC" w:rsidP="00274DBC">
      <w:pPr>
        <w:rPr>
          <w:lang w:val="en-US" w:eastAsia="zh-CN"/>
        </w:rPr>
      </w:pPr>
    </w:p>
    <w:p w14:paraId="0B3B0639" w14:textId="77777777" w:rsidR="00274DBC" w:rsidRPr="00274DBC" w:rsidRDefault="00274DBC" w:rsidP="00274DBC">
      <w:pPr>
        <w:rPr>
          <w:lang w:val="en-US" w:eastAsia="zh-CN"/>
        </w:rPr>
      </w:pPr>
    </w:p>
    <w:p w14:paraId="46FA5E87" w14:textId="77777777" w:rsidR="00045D2C" w:rsidRDefault="00000000" w:rsidP="005A6760">
      <w:pPr>
        <w:spacing w:line="360" w:lineRule="auto"/>
        <w:rPr>
          <w:b/>
          <w:lang w:val="en-US"/>
        </w:rPr>
      </w:pPr>
      <w:r>
        <w:rPr>
          <w:b/>
          <w:lang w:val="en-US"/>
        </w:rPr>
        <w:br w:type="page"/>
      </w:r>
    </w:p>
    <w:p w14:paraId="15239291" w14:textId="7BB70A52" w:rsidR="00203C37" w:rsidRDefault="00000000" w:rsidP="00203C37">
      <w:pPr>
        <w:pStyle w:val="Heading2"/>
        <w:spacing w:line="360" w:lineRule="auto"/>
      </w:pPr>
      <w:bookmarkStart w:id="14" w:name="_Toc212073438"/>
      <w:r>
        <w:lastRenderedPageBreak/>
        <w:t xml:space="preserve">Supplementary Table 2. Performance assessment of the </w:t>
      </w:r>
      <w:proofErr w:type="spellStart"/>
      <w:r>
        <w:t>QIASeq</w:t>
      </w:r>
      <w:proofErr w:type="spellEnd"/>
      <w:r>
        <w:t xml:space="preserve"> amplicon panel</w:t>
      </w:r>
      <w:bookmarkEnd w:id="14"/>
    </w:p>
    <w:tbl>
      <w:tblPr>
        <w:tblW w:w="8480" w:type="dxa"/>
        <w:tblLook w:val="04A0" w:firstRow="1" w:lastRow="0" w:firstColumn="1" w:lastColumn="0" w:noHBand="0" w:noVBand="1"/>
      </w:tblPr>
      <w:tblGrid>
        <w:gridCol w:w="1020"/>
        <w:gridCol w:w="1888"/>
        <w:gridCol w:w="1702"/>
        <w:gridCol w:w="1020"/>
        <w:gridCol w:w="1020"/>
        <w:gridCol w:w="1020"/>
        <w:gridCol w:w="1020"/>
      </w:tblGrid>
      <w:tr w:rsidR="00203C37" w:rsidRPr="00203C37" w14:paraId="10BF12F0" w14:textId="77777777" w:rsidTr="00203C37">
        <w:trPr>
          <w:trHeight w:val="287"/>
        </w:trPr>
        <w:tc>
          <w:tcPr>
            <w:tcW w:w="1020" w:type="dxa"/>
            <w:tcBorders>
              <w:top w:val="single" w:sz="4" w:space="0" w:color="auto"/>
              <w:left w:val="single" w:sz="4" w:space="0" w:color="auto"/>
              <w:bottom w:val="nil"/>
              <w:right w:val="single" w:sz="4" w:space="0" w:color="auto"/>
            </w:tcBorders>
            <w:shd w:val="clear" w:color="000000" w:fill="auto"/>
            <w:noWrap/>
            <w:hideMark/>
          </w:tcPr>
          <w:p w14:paraId="1AB5A167" w14:textId="77777777" w:rsidR="00203C37" w:rsidRPr="00203C37" w:rsidRDefault="00203C37" w:rsidP="00203C37">
            <w:pPr>
              <w:spacing w:after="0" w:line="240" w:lineRule="auto"/>
              <w:jc w:val="center"/>
              <w:rPr>
                <w:rFonts w:ascii="Calibri" w:eastAsia="Times New Roman" w:hAnsi="Calibri" w:cs="Calibri"/>
                <w:b/>
                <w:bCs/>
                <w:color w:val="000000" w:themeColor="text1"/>
                <w:lang w:val="en-US"/>
              </w:rPr>
            </w:pPr>
            <w:r w:rsidRPr="00203C37">
              <w:rPr>
                <w:rFonts w:ascii="Calibri" w:eastAsia="Times New Roman" w:hAnsi="Calibri" w:cs="Calibri"/>
                <w:b/>
                <w:bCs/>
                <w:color w:val="000000" w:themeColor="text1"/>
                <w:lang w:val="en-US"/>
              </w:rPr>
              <w:t>Gene</w:t>
            </w:r>
          </w:p>
        </w:tc>
        <w:tc>
          <w:tcPr>
            <w:tcW w:w="1780" w:type="dxa"/>
            <w:tcBorders>
              <w:top w:val="single" w:sz="4" w:space="0" w:color="auto"/>
              <w:left w:val="nil"/>
              <w:bottom w:val="nil"/>
              <w:right w:val="single" w:sz="4" w:space="0" w:color="auto"/>
            </w:tcBorders>
            <w:shd w:val="clear" w:color="000000" w:fill="auto"/>
            <w:noWrap/>
            <w:hideMark/>
          </w:tcPr>
          <w:p w14:paraId="44FDB8D8" w14:textId="77777777" w:rsidR="00203C37" w:rsidRPr="00203C37" w:rsidRDefault="00203C37" w:rsidP="00203C37">
            <w:pPr>
              <w:spacing w:after="0" w:line="240" w:lineRule="auto"/>
              <w:jc w:val="center"/>
              <w:rPr>
                <w:rFonts w:ascii="Calibri" w:eastAsia="Times New Roman" w:hAnsi="Calibri" w:cs="Calibri"/>
                <w:b/>
                <w:bCs/>
                <w:color w:val="000000" w:themeColor="text1"/>
                <w:lang w:val="en-US"/>
              </w:rPr>
            </w:pPr>
            <w:r w:rsidRPr="00203C37">
              <w:rPr>
                <w:rFonts w:ascii="Calibri" w:eastAsia="Times New Roman" w:hAnsi="Calibri" w:cs="Calibri"/>
                <w:b/>
                <w:bCs/>
                <w:color w:val="000000" w:themeColor="text1"/>
                <w:lang w:val="en-US"/>
              </w:rPr>
              <w:t>HGVS c</w:t>
            </w:r>
          </w:p>
        </w:tc>
        <w:tc>
          <w:tcPr>
            <w:tcW w:w="1600" w:type="dxa"/>
            <w:tcBorders>
              <w:top w:val="single" w:sz="4" w:space="0" w:color="auto"/>
              <w:left w:val="nil"/>
              <w:bottom w:val="nil"/>
              <w:right w:val="single" w:sz="4" w:space="0" w:color="auto"/>
            </w:tcBorders>
            <w:shd w:val="clear" w:color="000000" w:fill="auto"/>
            <w:noWrap/>
            <w:hideMark/>
          </w:tcPr>
          <w:p w14:paraId="54A91ACC" w14:textId="77777777" w:rsidR="00203C37" w:rsidRPr="00203C37" w:rsidRDefault="00203C37" w:rsidP="00203C37">
            <w:pPr>
              <w:spacing w:after="0" w:line="240" w:lineRule="auto"/>
              <w:jc w:val="center"/>
              <w:rPr>
                <w:rFonts w:ascii="Calibri" w:eastAsia="Times New Roman" w:hAnsi="Calibri" w:cs="Calibri"/>
                <w:b/>
                <w:bCs/>
                <w:color w:val="000000" w:themeColor="text1"/>
                <w:lang w:val="en-US"/>
              </w:rPr>
            </w:pPr>
            <w:r w:rsidRPr="00203C37">
              <w:rPr>
                <w:rFonts w:ascii="Calibri" w:eastAsia="Times New Roman" w:hAnsi="Calibri" w:cs="Calibri"/>
                <w:b/>
                <w:bCs/>
                <w:color w:val="000000" w:themeColor="text1"/>
                <w:lang w:val="en-US"/>
              </w:rPr>
              <w:t>HGVS p.</w:t>
            </w:r>
          </w:p>
        </w:tc>
        <w:tc>
          <w:tcPr>
            <w:tcW w:w="1020" w:type="dxa"/>
            <w:tcBorders>
              <w:top w:val="single" w:sz="4" w:space="0" w:color="auto"/>
              <w:left w:val="nil"/>
              <w:bottom w:val="nil"/>
              <w:right w:val="single" w:sz="4" w:space="0" w:color="auto"/>
            </w:tcBorders>
            <w:shd w:val="clear" w:color="000000" w:fill="auto"/>
            <w:noWrap/>
            <w:hideMark/>
          </w:tcPr>
          <w:p w14:paraId="7675E643" w14:textId="77777777" w:rsidR="00203C37" w:rsidRPr="00203C37" w:rsidRDefault="00203C37" w:rsidP="00203C37">
            <w:pPr>
              <w:spacing w:after="0" w:line="240" w:lineRule="auto"/>
              <w:jc w:val="center"/>
              <w:rPr>
                <w:rFonts w:ascii="Calibri" w:eastAsia="Times New Roman" w:hAnsi="Calibri" w:cs="Calibri"/>
                <w:b/>
                <w:bCs/>
                <w:color w:val="000000" w:themeColor="text1"/>
                <w:lang w:val="en-US"/>
              </w:rPr>
            </w:pPr>
            <w:r w:rsidRPr="00203C37">
              <w:rPr>
                <w:rFonts w:ascii="Calibri" w:eastAsia="Times New Roman" w:hAnsi="Calibri" w:cs="Calibri"/>
                <w:b/>
                <w:bCs/>
                <w:color w:val="000000" w:themeColor="text1"/>
                <w:lang w:val="en-US"/>
              </w:rPr>
              <w:t>WT</w:t>
            </w:r>
          </w:p>
        </w:tc>
        <w:tc>
          <w:tcPr>
            <w:tcW w:w="1020" w:type="dxa"/>
            <w:tcBorders>
              <w:top w:val="single" w:sz="4" w:space="0" w:color="auto"/>
              <w:left w:val="nil"/>
              <w:bottom w:val="nil"/>
              <w:right w:val="single" w:sz="4" w:space="0" w:color="auto"/>
            </w:tcBorders>
            <w:shd w:val="clear" w:color="000000" w:fill="auto"/>
            <w:noWrap/>
            <w:hideMark/>
          </w:tcPr>
          <w:p w14:paraId="240F9699" w14:textId="77777777" w:rsidR="00203C37" w:rsidRPr="00203C37" w:rsidRDefault="00203C37" w:rsidP="00203C37">
            <w:pPr>
              <w:spacing w:after="0" w:line="240" w:lineRule="auto"/>
              <w:jc w:val="center"/>
              <w:rPr>
                <w:rFonts w:ascii="Calibri" w:eastAsia="Times New Roman" w:hAnsi="Calibri" w:cs="Calibri"/>
                <w:b/>
                <w:bCs/>
                <w:color w:val="000000" w:themeColor="text1"/>
                <w:lang w:val="en-US"/>
              </w:rPr>
            </w:pPr>
            <w:r w:rsidRPr="00203C37">
              <w:rPr>
                <w:rFonts w:ascii="Calibri" w:eastAsia="Times New Roman" w:hAnsi="Calibri" w:cs="Calibri"/>
                <w:b/>
                <w:bCs/>
                <w:color w:val="000000" w:themeColor="text1"/>
                <w:lang w:val="en-US"/>
              </w:rPr>
              <w:t>.125% VAF</w:t>
            </w:r>
          </w:p>
        </w:tc>
        <w:tc>
          <w:tcPr>
            <w:tcW w:w="1020" w:type="dxa"/>
            <w:tcBorders>
              <w:top w:val="single" w:sz="4" w:space="0" w:color="auto"/>
              <w:left w:val="nil"/>
              <w:bottom w:val="nil"/>
              <w:right w:val="single" w:sz="4" w:space="0" w:color="auto"/>
            </w:tcBorders>
            <w:shd w:val="clear" w:color="000000" w:fill="auto"/>
            <w:noWrap/>
            <w:hideMark/>
          </w:tcPr>
          <w:p w14:paraId="0511219C" w14:textId="77777777" w:rsidR="00203C37" w:rsidRPr="00203C37" w:rsidRDefault="00203C37" w:rsidP="00203C37">
            <w:pPr>
              <w:spacing w:after="0" w:line="240" w:lineRule="auto"/>
              <w:jc w:val="center"/>
              <w:rPr>
                <w:rFonts w:ascii="Calibri" w:eastAsia="Times New Roman" w:hAnsi="Calibri" w:cs="Calibri"/>
                <w:b/>
                <w:bCs/>
                <w:color w:val="000000" w:themeColor="text1"/>
                <w:lang w:val="en-US"/>
              </w:rPr>
            </w:pPr>
            <w:r w:rsidRPr="00203C37">
              <w:rPr>
                <w:rFonts w:ascii="Calibri" w:eastAsia="Times New Roman" w:hAnsi="Calibri" w:cs="Calibri"/>
                <w:b/>
                <w:bCs/>
                <w:color w:val="000000" w:themeColor="text1"/>
                <w:lang w:val="en-US"/>
              </w:rPr>
              <w:t>.5% VAF</w:t>
            </w:r>
          </w:p>
        </w:tc>
        <w:tc>
          <w:tcPr>
            <w:tcW w:w="1020" w:type="dxa"/>
            <w:tcBorders>
              <w:top w:val="single" w:sz="4" w:space="0" w:color="auto"/>
              <w:left w:val="nil"/>
              <w:bottom w:val="nil"/>
              <w:right w:val="single" w:sz="4" w:space="0" w:color="auto"/>
            </w:tcBorders>
            <w:shd w:val="clear" w:color="000000" w:fill="auto"/>
            <w:noWrap/>
            <w:hideMark/>
          </w:tcPr>
          <w:p w14:paraId="7D430FB8" w14:textId="77777777" w:rsidR="00203C37" w:rsidRPr="00203C37" w:rsidRDefault="00203C37" w:rsidP="00203C37">
            <w:pPr>
              <w:spacing w:after="0" w:line="240" w:lineRule="auto"/>
              <w:jc w:val="center"/>
              <w:rPr>
                <w:rFonts w:ascii="Calibri" w:eastAsia="Times New Roman" w:hAnsi="Calibri" w:cs="Calibri"/>
                <w:b/>
                <w:bCs/>
                <w:color w:val="000000" w:themeColor="text1"/>
                <w:lang w:val="en-US"/>
              </w:rPr>
            </w:pPr>
            <w:r w:rsidRPr="00203C37">
              <w:rPr>
                <w:rFonts w:ascii="Calibri" w:eastAsia="Times New Roman" w:hAnsi="Calibri" w:cs="Calibri"/>
                <w:b/>
                <w:bCs/>
                <w:color w:val="000000" w:themeColor="text1"/>
                <w:lang w:val="en-US"/>
              </w:rPr>
              <w:t>1% VAF</w:t>
            </w:r>
          </w:p>
        </w:tc>
      </w:tr>
      <w:tr w:rsidR="00203C37" w:rsidRPr="00203C37" w14:paraId="5AF383DC" w14:textId="77777777" w:rsidTr="00203C37">
        <w:trPr>
          <w:trHeight w:val="287"/>
        </w:trPr>
        <w:tc>
          <w:tcPr>
            <w:tcW w:w="1020" w:type="dxa"/>
            <w:tcBorders>
              <w:top w:val="single" w:sz="4" w:space="0" w:color="auto"/>
              <w:left w:val="single" w:sz="4" w:space="0" w:color="auto"/>
              <w:bottom w:val="single" w:sz="4" w:space="0" w:color="auto"/>
              <w:right w:val="single" w:sz="4" w:space="0" w:color="auto"/>
            </w:tcBorders>
            <w:noWrap/>
            <w:vAlign w:val="bottom"/>
            <w:hideMark/>
          </w:tcPr>
          <w:p w14:paraId="0D4635DE" w14:textId="77777777" w:rsidR="00203C37" w:rsidRPr="00203C37" w:rsidRDefault="00203C37" w:rsidP="00203C37">
            <w:pPr>
              <w:spacing w:after="0" w:line="240" w:lineRule="auto"/>
              <w:rPr>
                <w:rFonts w:ascii="Calibri" w:eastAsia="Times New Roman" w:hAnsi="Calibri" w:cs="Calibri"/>
                <w:b/>
                <w:bCs/>
                <w:color w:val="000000"/>
                <w:lang w:val="en-US"/>
              </w:rPr>
            </w:pPr>
            <w:r w:rsidRPr="00203C37">
              <w:rPr>
                <w:rFonts w:ascii="Calibri" w:eastAsia="Times New Roman" w:hAnsi="Calibri" w:cs="Calibri"/>
                <w:b/>
                <w:bCs/>
                <w:color w:val="000000"/>
                <w:lang w:val="en-US"/>
              </w:rPr>
              <w:t>ATM</w:t>
            </w:r>
          </w:p>
        </w:tc>
        <w:tc>
          <w:tcPr>
            <w:tcW w:w="1780" w:type="dxa"/>
            <w:tcBorders>
              <w:top w:val="single" w:sz="4" w:space="0" w:color="auto"/>
              <w:left w:val="nil"/>
              <w:bottom w:val="single" w:sz="4" w:space="0" w:color="auto"/>
              <w:right w:val="single" w:sz="4" w:space="0" w:color="auto"/>
            </w:tcBorders>
            <w:noWrap/>
            <w:vAlign w:val="bottom"/>
            <w:hideMark/>
          </w:tcPr>
          <w:p w14:paraId="598D2D5C" w14:textId="77777777" w:rsidR="00203C37" w:rsidRPr="00203C37" w:rsidRDefault="00203C37" w:rsidP="00203C37">
            <w:pPr>
              <w:spacing w:after="0" w:line="240" w:lineRule="auto"/>
              <w:rPr>
                <w:rFonts w:ascii="Calibri" w:eastAsia="Times New Roman" w:hAnsi="Calibri" w:cs="Calibri"/>
                <w:color w:val="000000"/>
                <w:lang w:val="en-US"/>
              </w:rPr>
            </w:pPr>
            <w:r w:rsidRPr="00203C37">
              <w:rPr>
                <w:rFonts w:ascii="Calibri" w:eastAsia="Times New Roman" w:hAnsi="Calibri" w:cs="Calibri"/>
                <w:color w:val="000000"/>
                <w:lang w:val="en-US"/>
              </w:rPr>
              <w:t>c.1058_1059delGT</w:t>
            </w:r>
          </w:p>
        </w:tc>
        <w:tc>
          <w:tcPr>
            <w:tcW w:w="1600" w:type="dxa"/>
            <w:tcBorders>
              <w:top w:val="single" w:sz="4" w:space="0" w:color="auto"/>
              <w:left w:val="nil"/>
              <w:bottom w:val="single" w:sz="4" w:space="0" w:color="auto"/>
              <w:right w:val="single" w:sz="4" w:space="0" w:color="auto"/>
            </w:tcBorders>
            <w:noWrap/>
            <w:vAlign w:val="bottom"/>
            <w:hideMark/>
          </w:tcPr>
          <w:p w14:paraId="1812069B" w14:textId="77777777" w:rsidR="00203C37" w:rsidRPr="00203C37" w:rsidRDefault="00203C37" w:rsidP="00203C37">
            <w:pPr>
              <w:spacing w:after="0" w:line="240" w:lineRule="auto"/>
              <w:rPr>
                <w:rFonts w:ascii="Calibri" w:eastAsia="Times New Roman" w:hAnsi="Calibri" w:cs="Calibri"/>
                <w:color w:val="000000"/>
                <w:lang w:val="en-US"/>
              </w:rPr>
            </w:pPr>
            <w:proofErr w:type="gramStart"/>
            <w:r w:rsidRPr="00203C37">
              <w:rPr>
                <w:rFonts w:ascii="Calibri" w:eastAsia="Times New Roman" w:hAnsi="Calibri" w:cs="Calibri"/>
                <w:color w:val="000000"/>
                <w:lang w:val="en-US"/>
              </w:rPr>
              <w:t>p.Cys</w:t>
            </w:r>
            <w:proofErr w:type="gramEnd"/>
            <w:r w:rsidRPr="00203C37">
              <w:rPr>
                <w:rFonts w:ascii="Calibri" w:eastAsia="Times New Roman" w:hAnsi="Calibri" w:cs="Calibri"/>
                <w:color w:val="000000"/>
                <w:lang w:val="en-US"/>
              </w:rPr>
              <w:t>353Serfs*5</w:t>
            </w:r>
          </w:p>
        </w:tc>
        <w:tc>
          <w:tcPr>
            <w:tcW w:w="1020" w:type="dxa"/>
            <w:tcBorders>
              <w:top w:val="single" w:sz="4" w:space="0" w:color="auto"/>
              <w:left w:val="nil"/>
              <w:bottom w:val="single" w:sz="4" w:space="0" w:color="auto"/>
              <w:right w:val="single" w:sz="4" w:space="0" w:color="auto"/>
            </w:tcBorders>
            <w:noWrap/>
            <w:vAlign w:val="bottom"/>
            <w:hideMark/>
          </w:tcPr>
          <w:p w14:paraId="0694162B"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single" w:sz="4" w:space="0" w:color="auto"/>
              <w:left w:val="nil"/>
              <w:bottom w:val="single" w:sz="4" w:space="0" w:color="auto"/>
              <w:right w:val="single" w:sz="4" w:space="0" w:color="auto"/>
            </w:tcBorders>
            <w:noWrap/>
            <w:vAlign w:val="bottom"/>
            <w:hideMark/>
          </w:tcPr>
          <w:p w14:paraId="7A232963"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single" w:sz="4" w:space="0" w:color="auto"/>
              <w:left w:val="nil"/>
              <w:bottom w:val="single" w:sz="4" w:space="0" w:color="auto"/>
              <w:right w:val="single" w:sz="4" w:space="0" w:color="auto"/>
            </w:tcBorders>
            <w:noWrap/>
            <w:vAlign w:val="bottom"/>
            <w:hideMark/>
          </w:tcPr>
          <w:p w14:paraId="31F7BCE4"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0.56%</w:t>
            </w:r>
          </w:p>
        </w:tc>
        <w:tc>
          <w:tcPr>
            <w:tcW w:w="1020" w:type="dxa"/>
            <w:tcBorders>
              <w:top w:val="single" w:sz="4" w:space="0" w:color="auto"/>
              <w:left w:val="nil"/>
              <w:bottom w:val="single" w:sz="4" w:space="0" w:color="auto"/>
              <w:right w:val="single" w:sz="4" w:space="0" w:color="auto"/>
            </w:tcBorders>
            <w:noWrap/>
            <w:vAlign w:val="bottom"/>
            <w:hideMark/>
          </w:tcPr>
          <w:p w14:paraId="08164F79"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1.10%</w:t>
            </w:r>
          </w:p>
        </w:tc>
      </w:tr>
      <w:tr w:rsidR="00203C37" w:rsidRPr="00203C37" w14:paraId="1C0BE275" w14:textId="77777777" w:rsidTr="00203C37">
        <w:trPr>
          <w:trHeight w:val="287"/>
        </w:trPr>
        <w:tc>
          <w:tcPr>
            <w:tcW w:w="1020" w:type="dxa"/>
            <w:tcBorders>
              <w:top w:val="single" w:sz="4" w:space="0" w:color="auto"/>
              <w:left w:val="single" w:sz="4" w:space="0" w:color="auto"/>
              <w:bottom w:val="nil"/>
              <w:right w:val="single" w:sz="4" w:space="0" w:color="auto"/>
            </w:tcBorders>
            <w:noWrap/>
            <w:vAlign w:val="bottom"/>
            <w:hideMark/>
          </w:tcPr>
          <w:p w14:paraId="4B1683E2" w14:textId="77777777" w:rsidR="00203C37" w:rsidRPr="00203C37" w:rsidRDefault="00203C37" w:rsidP="00203C37">
            <w:pPr>
              <w:spacing w:after="0" w:line="240" w:lineRule="auto"/>
              <w:rPr>
                <w:rFonts w:ascii="Calibri" w:eastAsia="Times New Roman" w:hAnsi="Calibri" w:cs="Calibri"/>
                <w:b/>
                <w:bCs/>
                <w:color w:val="000000"/>
                <w:lang w:val="en-US"/>
              </w:rPr>
            </w:pPr>
            <w:r w:rsidRPr="00203C37">
              <w:rPr>
                <w:rFonts w:ascii="Calibri" w:eastAsia="Times New Roman" w:hAnsi="Calibri" w:cs="Calibri"/>
                <w:b/>
                <w:bCs/>
                <w:color w:val="000000"/>
                <w:lang w:val="en-US"/>
              </w:rPr>
              <w:t>PTEN</w:t>
            </w:r>
          </w:p>
        </w:tc>
        <w:tc>
          <w:tcPr>
            <w:tcW w:w="1780" w:type="dxa"/>
            <w:tcBorders>
              <w:top w:val="single" w:sz="4" w:space="0" w:color="auto"/>
              <w:left w:val="nil"/>
              <w:bottom w:val="nil"/>
              <w:right w:val="single" w:sz="4" w:space="0" w:color="auto"/>
            </w:tcBorders>
            <w:noWrap/>
            <w:vAlign w:val="bottom"/>
            <w:hideMark/>
          </w:tcPr>
          <w:p w14:paraId="39CE63B2" w14:textId="77777777" w:rsidR="00203C37" w:rsidRPr="00203C37" w:rsidRDefault="00203C37" w:rsidP="00203C37">
            <w:pPr>
              <w:spacing w:after="0" w:line="240" w:lineRule="auto"/>
              <w:rPr>
                <w:rFonts w:ascii="Calibri" w:eastAsia="Times New Roman" w:hAnsi="Calibri" w:cs="Calibri"/>
                <w:color w:val="000000"/>
                <w:lang w:val="en-US"/>
              </w:rPr>
            </w:pPr>
            <w:r w:rsidRPr="00203C37">
              <w:rPr>
                <w:rFonts w:ascii="Calibri" w:eastAsia="Times New Roman" w:hAnsi="Calibri" w:cs="Calibri"/>
                <w:color w:val="000000"/>
                <w:lang w:val="en-US"/>
              </w:rPr>
              <w:t>c.741dupA</w:t>
            </w:r>
          </w:p>
        </w:tc>
        <w:tc>
          <w:tcPr>
            <w:tcW w:w="1600" w:type="dxa"/>
            <w:tcBorders>
              <w:top w:val="single" w:sz="4" w:space="0" w:color="auto"/>
              <w:left w:val="nil"/>
              <w:bottom w:val="nil"/>
              <w:right w:val="single" w:sz="4" w:space="0" w:color="auto"/>
            </w:tcBorders>
            <w:noWrap/>
            <w:vAlign w:val="bottom"/>
            <w:hideMark/>
          </w:tcPr>
          <w:p w14:paraId="3DD38166" w14:textId="77777777" w:rsidR="00203C37" w:rsidRPr="00203C37" w:rsidRDefault="00203C37" w:rsidP="00203C37">
            <w:pPr>
              <w:spacing w:after="0" w:line="240" w:lineRule="auto"/>
              <w:rPr>
                <w:rFonts w:ascii="Calibri" w:eastAsia="Times New Roman" w:hAnsi="Calibri" w:cs="Calibri"/>
                <w:color w:val="000000"/>
                <w:lang w:val="en-US"/>
              </w:rPr>
            </w:pPr>
            <w:proofErr w:type="gramStart"/>
            <w:r w:rsidRPr="00203C37">
              <w:rPr>
                <w:rFonts w:ascii="Calibri" w:eastAsia="Times New Roman" w:hAnsi="Calibri" w:cs="Calibri"/>
                <w:color w:val="000000"/>
                <w:lang w:val="en-US"/>
              </w:rPr>
              <w:t>p.Pro</w:t>
            </w:r>
            <w:proofErr w:type="gramEnd"/>
            <w:r w:rsidRPr="00203C37">
              <w:rPr>
                <w:rFonts w:ascii="Calibri" w:eastAsia="Times New Roman" w:hAnsi="Calibri" w:cs="Calibri"/>
                <w:color w:val="000000"/>
                <w:lang w:val="en-US"/>
              </w:rPr>
              <w:t>248Thrfs*5</w:t>
            </w:r>
          </w:p>
        </w:tc>
        <w:tc>
          <w:tcPr>
            <w:tcW w:w="1020" w:type="dxa"/>
            <w:tcBorders>
              <w:top w:val="single" w:sz="4" w:space="0" w:color="auto"/>
              <w:left w:val="nil"/>
              <w:bottom w:val="nil"/>
              <w:right w:val="single" w:sz="4" w:space="0" w:color="auto"/>
            </w:tcBorders>
            <w:noWrap/>
            <w:vAlign w:val="bottom"/>
            <w:hideMark/>
          </w:tcPr>
          <w:p w14:paraId="761808CF"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single" w:sz="4" w:space="0" w:color="auto"/>
              <w:left w:val="nil"/>
              <w:bottom w:val="nil"/>
              <w:right w:val="single" w:sz="4" w:space="0" w:color="auto"/>
            </w:tcBorders>
            <w:noWrap/>
            <w:vAlign w:val="bottom"/>
            <w:hideMark/>
          </w:tcPr>
          <w:p w14:paraId="1316D67A"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single" w:sz="4" w:space="0" w:color="auto"/>
              <w:left w:val="nil"/>
              <w:bottom w:val="nil"/>
              <w:right w:val="single" w:sz="4" w:space="0" w:color="auto"/>
            </w:tcBorders>
            <w:noWrap/>
            <w:vAlign w:val="bottom"/>
            <w:hideMark/>
          </w:tcPr>
          <w:p w14:paraId="6E2EC1BC"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single" w:sz="4" w:space="0" w:color="auto"/>
              <w:left w:val="nil"/>
              <w:bottom w:val="nil"/>
              <w:right w:val="single" w:sz="4" w:space="0" w:color="auto"/>
            </w:tcBorders>
            <w:noWrap/>
            <w:vAlign w:val="bottom"/>
            <w:hideMark/>
          </w:tcPr>
          <w:p w14:paraId="12CB4B13"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0.76%</w:t>
            </w:r>
          </w:p>
        </w:tc>
      </w:tr>
      <w:tr w:rsidR="00203C37" w:rsidRPr="00203C37" w14:paraId="251CB1D0" w14:textId="77777777" w:rsidTr="00203C37">
        <w:trPr>
          <w:trHeight w:val="287"/>
        </w:trPr>
        <w:tc>
          <w:tcPr>
            <w:tcW w:w="1020" w:type="dxa"/>
            <w:tcBorders>
              <w:top w:val="nil"/>
              <w:left w:val="single" w:sz="4" w:space="0" w:color="auto"/>
              <w:bottom w:val="single" w:sz="4" w:space="0" w:color="auto"/>
              <w:right w:val="single" w:sz="4" w:space="0" w:color="auto"/>
            </w:tcBorders>
            <w:noWrap/>
            <w:vAlign w:val="bottom"/>
            <w:hideMark/>
          </w:tcPr>
          <w:p w14:paraId="0EFB7215" w14:textId="77777777" w:rsidR="00203C37" w:rsidRPr="00203C37" w:rsidRDefault="00203C37" w:rsidP="00203C37">
            <w:pPr>
              <w:spacing w:after="0" w:line="240" w:lineRule="auto"/>
              <w:rPr>
                <w:rFonts w:ascii="Calibri" w:eastAsia="Times New Roman" w:hAnsi="Calibri" w:cs="Calibri"/>
                <w:b/>
                <w:bCs/>
                <w:color w:val="000000"/>
                <w:lang w:val="en-US"/>
              </w:rPr>
            </w:pPr>
            <w:r w:rsidRPr="00203C37">
              <w:rPr>
                <w:rFonts w:ascii="Calibri" w:eastAsia="Times New Roman" w:hAnsi="Calibri" w:cs="Calibri"/>
                <w:b/>
                <w:bCs/>
                <w:color w:val="000000"/>
                <w:lang w:val="en-US"/>
              </w:rPr>
              <w:t>PTEN</w:t>
            </w:r>
          </w:p>
        </w:tc>
        <w:tc>
          <w:tcPr>
            <w:tcW w:w="1780" w:type="dxa"/>
            <w:tcBorders>
              <w:top w:val="nil"/>
              <w:left w:val="nil"/>
              <w:bottom w:val="single" w:sz="4" w:space="0" w:color="auto"/>
              <w:right w:val="single" w:sz="4" w:space="0" w:color="auto"/>
            </w:tcBorders>
            <w:noWrap/>
            <w:vAlign w:val="bottom"/>
            <w:hideMark/>
          </w:tcPr>
          <w:p w14:paraId="5F543F5B" w14:textId="77777777" w:rsidR="00203C37" w:rsidRPr="00203C37" w:rsidRDefault="00203C37" w:rsidP="00203C37">
            <w:pPr>
              <w:spacing w:after="0" w:line="240" w:lineRule="auto"/>
              <w:rPr>
                <w:rFonts w:ascii="Calibri" w:eastAsia="Times New Roman" w:hAnsi="Calibri" w:cs="Calibri"/>
                <w:color w:val="000000"/>
                <w:lang w:val="en-US"/>
              </w:rPr>
            </w:pPr>
            <w:r w:rsidRPr="00203C37">
              <w:rPr>
                <w:rFonts w:ascii="Calibri" w:eastAsia="Times New Roman" w:hAnsi="Calibri" w:cs="Calibri"/>
                <w:color w:val="000000"/>
                <w:lang w:val="en-US"/>
              </w:rPr>
              <w:t>c.800delA</w:t>
            </w:r>
          </w:p>
        </w:tc>
        <w:tc>
          <w:tcPr>
            <w:tcW w:w="1600" w:type="dxa"/>
            <w:tcBorders>
              <w:top w:val="nil"/>
              <w:left w:val="nil"/>
              <w:bottom w:val="single" w:sz="4" w:space="0" w:color="auto"/>
              <w:right w:val="single" w:sz="4" w:space="0" w:color="auto"/>
            </w:tcBorders>
            <w:noWrap/>
            <w:vAlign w:val="bottom"/>
            <w:hideMark/>
          </w:tcPr>
          <w:p w14:paraId="3E0F7AF2" w14:textId="77777777" w:rsidR="00203C37" w:rsidRPr="00203C37" w:rsidRDefault="00203C37" w:rsidP="00203C37">
            <w:pPr>
              <w:spacing w:after="0" w:line="240" w:lineRule="auto"/>
              <w:rPr>
                <w:rFonts w:ascii="Calibri" w:eastAsia="Times New Roman" w:hAnsi="Calibri" w:cs="Calibri"/>
                <w:color w:val="000000"/>
                <w:lang w:val="en-US"/>
              </w:rPr>
            </w:pPr>
            <w:proofErr w:type="gramStart"/>
            <w:r w:rsidRPr="00203C37">
              <w:rPr>
                <w:rFonts w:ascii="Calibri" w:eastAsia="Times New Roman" w:hAnsi="Calibri" w:cs="Calibri"/>
                <w:color w:val="000000"/>
                <w:lang w:val="en-US"/>
              </w:rPr>
              <w:t>p.Lys</w:t>
            </w:r>
            <w:proofErr w:type="gramEnd"/>
            <w:r w:rsidRPr="00203C37">
              <w:rPr>
                <w:rFonts w:ascii="Calibri" w:eastAsia="Times New Roman" w:hAnsi="Calibri" w:cs="Calibri"/>
                <w:color w:val="000000"/>
                <w:lang w:val="en-US"/>
              </w:rPr>
              <w:t>267Argfs*9</w:t>
            </w:r>
          </w:p>
        </w:tc>
        <w:tc>
          <w:tcPr>
            <w:tcW w:w="1020" w:type="dxa"/>
            <w:tcBorders>
              <w:top w:val="nil"/>
              <w:left w:val="nil"/>
              <w:bottom w:val="single" w:sz="4" w:space="0" w:color="auto"/>
              <w:right w:val="single" w:sz="4" w:space="0" w:color="auto"/>
            </w:tcBorders>
            <w:noWrap/>
            <w:vAlign w:val="bottom"/>
            <w:hideMark/>
          </w:tcPr>
          <w:p w14:paraId="72EC7D89"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single" w:sz="4" w:space="0" w:color="auto"/>
              <w:right w:val="single" w:sz="4" w:space="0" w:color="auto"/>
            </w:tcBorders>
            <w:noWrap/>
            <w:vAlign w:val="bottom"/>
            <w:hideMark/>
          </w:tcPr>
          <w:p w14:paraId="7598F8FC"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single" w:sz="4" w:space="0" w:color="auto"/>
              <w:right w:val="single" w:sz="4" w:space="0" w:color="auto"/>
            </w:tcBorders>
            <w:noWrap/>
            <w:vAlign w:val="bottom"/>
            <w:hideMark/>
          </w:tcPr>
          <w:p w14:paraId="0894E472"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single" w:sz="4" w:space="0" w:color="auto"/>
              <w:right w:val="single" w:sz="4" w:space="0" w:color="auto"/>
            </w:tcBorders>
            <w:noWrap/>
            <w:vAlign w:val="bottom"/>
            <w:hideMark/>
          </w:tcPr>
          <w:p w14:paraId="530C977E"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0.75%</w:t>
            </w:r>
          </w:p>
        </w:tc>
      </w:tr>
      <w:tr w:rsidR="00203C37" w:rsidRPr="00203C37" w14:paraId="4F68CDC6" w14:textId="77777777" w:rsidTr="00203C37">
        <w:trPr>
          <w:trHeight w:val="287"/>
        </w:trPr>
        <w:tc>
          <w:tcPr>
            <w:tcW w:w="1020" w:type="dxa"/>
            <w:tcBorders>
              <w:top w:val="single" w:sz="4" w:space="0" w:color="auto"/>
              <w:left w:val="single" w:sz="4" w:space="0" w:color="auto"/>
              <w:bottom w:val="nil"/>
              <w:right w:val="single" w:sz="4" w:space="0" w:color="auto"/>
            </w:tcBorders>
            <w:noWrap/>
            <w:vAlign w:val="bottom"/>
            <w:hideMark/>
          </w:tcPr>
          <w:p w14:paraId="58DE47C3" w14:textId="77777777" w:rsidR="00203C37" w:rsidRPr="00203C37" w:rsidRDefault="00203C37" w:rsidP="00203C37">
            <w:pPr>
              <w:spacing w:after="0" w:line="240" w:lineRule="auto"/>
              <w:rPr>
                <w:rFonts w:ascii="Calibri" w:eastAsia="Times New Roman" w:hAnsi="Calibri" w:cs="Calibri"/>
                <w:b/>
                <w:bCs/>
                <w:color w:val="000000"/>
                <w:lang w:val="en-US"/>
              </w:rPr>
            </w:pPr>
            <w:r w:rsidRPr="00203C37">
              <w:rPr>
                <w:rFonts w:ascii="Calibri" w:eastAsia="Times New Roman" w:hAnsi="Calibri" w:cs="Calibri"/>
                <w:b/>
                <w:bCs/>
                <w:color w:val="000000"/>
                <w:lang w:val="en-US"/>
              </w:rPr>
              <w:t>TP53</w:t>
            </w:r>
          </w:p>
        </w:tc>
        <w:tc>
          <w:tcPr>
            <w:tcW w:w="1780" w:type="dxa"/>
            <w:tcBorders>
              <w:top w:val="single" w:sz="4" w:space="0" w:color="auto"/>
              <w:left w:val="nil"/>
              <w:bottom w:val="nil"/>
              <w:right w:val="single" w:sz="4" w:space="0" w:color="auto"/>
            </w:tcBorders>
            <w:noWrap/>
            <w:vAlign w:val="bottom"/>
            <w:hideMark/>
          </w:tcPr>
          <w:p w14:paraId="6273DD74" w14:textId="77777777" w:rsidR="00203C37" w:rsidRPr="00203C37" w:rsidRDefault="00203C37" w:rsidP="00203C37">
            <w:pPr>
              <w:spacing w:after="0" w:line="240" w:lineRule="auto"/>
              <w:rPr>
                <w:rFonts w:ascii="Calibri" w:eastAsia="Times New Roman" w:hAnsi="Calibri" w:cs="Calibri"/>
                <w:color w:val="000000"/>
                <w:lang w:val="en-US"/>
              </w:rPr>
            </w:pPr>
            <w:r w:rsidRPr="00203C37">
              <w:rPr>
                <w:rFonts w:ascii="Calibri" w:eastAsia="Times New Roman" w:hAnsi="Calibri" w:cs="Calibri"/>
                <w:color w:val="000000"/>
                <w:lang w:val="en-US"/>
              </w:rPr>
              <w:t>c.818G&gt;A</w:t>
            </w:r>
          </w:p>
        </w:tc>
        <w:tc>
          <w:tcPr>
            <w:tcW w:w="1600" w:type="dxa"/>
            <w:tcBorders>
              <w:top w:val="single" w:sz="4" w:space="0" w:color="auto"/>
              <w:left w:val="nil"/>
              <w:bottom w:val="nil"/>
              <w:right w:val="single" w:sz="4" w:space="0" w:color="auto"/>
            </w:tcBorders>
            <w:noWrap/>
            <w:vAlign w:val="bottom"/>
            <w:hideMark/>
          </w:tcPr>
          <w:p w14:paraId="12038E46" w14:textId="77777777" w:rsidR="00203C37" w:rsidRPr="00203C37" w:rsidRDefault="00203C37" w:rsidP="00203C37">
            <w:pPr>
              <w:spacing w:after="0" w:line="240" w:lineRule="auto"/>
              <w:rPr>
                <w:rFonts w:ascii="Calibri" w:eastAsia="Times New Roman" w:hAnsi="Calibri" w:cs="Calibri"/>
                <w:color w:val="000000"/>
                <w:lang w:val="en-US"/>
              </w:rPr>
            </w:pPr>
            <w:proofErr w:type="gramStart"/>
            <w:r w:rsidRPr="00203C37">
              <w:rPr>
                <w:rFonts w:ascii="Calibri" w:eastAsia="Times New Roman" w:hAnsi="Calibri" w:cs="Calibri"/>
                <w:color w:val="000000"/>
                <w:lang w:val="en-US"/>
              </w:rPr>
              <w:t>p.Arg</w:t>
            </w:r>
            <w:proofErr w:type="gramEnd"/>
            <w:r w:rsidRPr="00203C37">
              <w:rPr>
                <w:rFonts w:ascii="Calibri" w:eastAsia="Times New Roman" w:hAnsi="Calibri" w:cs="Calibri"/>
                <w:color w:val="000000"/>
                <w:lang w:val="en-US"/>
              </w:rPr>
              <w:t>273His</w:t>
            </w:r>
          </w:p>
        </w:tc>
        <w:tc>
          <w:tcPr>
            <w:tcW w:w="1020" w:type="dxa"/>
            <w:tcBorders>
              <w:top w:val="single" w:sz="4" w:space="0" w:color="auto"/>
              <w:left w:val="nil"/>
              <w:bottom w:val="nil"/>
              <w:right w:val="single" w:sz="4" w:space="0" w:color="auto"/>
            </w:tcBorders>
            <w:noWrap/>
            <w:vAlign w:val="bottom"/>
            <w:hideMark/>
          </w:tcPr>
          <w:p w14:paraId="2D75D2D2"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single" w:sz="4" w:space="0" w:color="auto"/>
              <w:left w:val="nil"/>
              <w:bottom w:val="nil"/>
              <w:right w:val="single" w:sz="4" w:space="0" w:color="auto"/>
            </w:tcBorders>
            <w:noWrap/>
            <w:vAlign w:val="bottom"/>
            <w:hideMark/>
          </w:tcPr>
          <w:p w14:paraId="1C258F65"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single" w:sz="4" w:space="0" w:color="auto"/>
              <w:left w:val="nil"/>
              <w:bottom w:val="nil"/>
              <w:right w:val="single" w:sz="4" w:space="0" w:color="auto"/>
            </w:tcBorders>
            <w:noWrap/>
            <w:vAlign w:val="bottom"/>
            <w:hideMark/>
          </w:tcPr>
          <w:p w14:paraId="67FAC5A5"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0.68%</w:t>
            </w:r>
          </w:p>
        </w:tc>
        <w:tc>
          <w:tcPr>
            <w:tcW w:w="1020" w:type="dxa"/>
            <w:tcBorders>
              <w:top w:val="single" w:sz="4" w:space="0" w:color="auto"/>
              <w:left w:val="nil"/>
              <w:bottom w:val="nil"/>
              <w:right w:val="single" w:sz="4" w:space="0" w:color="auto"/>
            </w:tcBorders>
            <w:noWrap/>
            <w:vAlign w:val="bottom"/>
            <w:hideMark/>
          </w:tcPr>
          <w:p w14:paraId="1A7D2E60"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1.12%</w:t>
            </w:r>
          </w:p>
        </w:tc>
      </w:tr>
      <w:tr w:rsidR="00203C37" w:rsidRPr="00203C37" w14:paraId="7E736D55" w14:textId="77777777" w:rsidTr="00203C37">
        <w:trPr>
          <w:trHeight w:val="287"/>
        </w:trPr>
        <w:tc>
          <w:tcPr>
            <w:tcW w:w="1020" w:type="dxa"/>
            <w:tcBorders>
              <w:top w:val="nil"/>
              <w:left w:val="single" w:sz="4" w:space="0" w:color="auto"/>
              <w:bottom w:val="nil"/>
              <w:right w:val="single" w:sz="4" w:space="0" w:color="auto"/>
            </w:tcBorders>
            <w:noWrap/>
            <w:vAlign w:val="bottom"/>
            <w:hideMark/>
          </w:tcPr>
          <w:p w14:paraId="02AB07EA" w14:textId="77777777" w:rsidR="00203C37" w:rsidRPr="00203C37" w:rsidRDefault="00203C37" w:rsidP="00203C37">
            <w:pPr>
              <w:spacing w:after="0" w:line="240" w:lineRule="auto"/>
              <w:rPr>
                <w:rFonts w:ascii="Calibri" w:eastAsia="Times New Roman" w:hAnsi="Calibri" w:cs="Calibri"/>
                <w:b/>
                <w:bCs/>
                <w:color w:val="000000"/>
                <w:lang w:val="en-US"/>
              </w:rPr>
            </w:pPr>
            <w:r w:rsidRPr="00203C37">
              <w:rPr>
                <w:rFonts w:ascii="Calibri" w:eastAsia="Times New Roman" w:hAnsi="Calibri" w:cs="Calibri"/>
                <w:b/>
                <w:bCs/>
                <w:color w:val="000000"/>
                <w:lang w:val="en-US"/>
              </w:rPr>
              <w:t>TP53</w:t>
            </w:r>
          </w:p>
        </w:tc>
        <w:tc>
          <w:tcPr>
            <w:tcW w:w="1780" w:type="dxa"/>
            <w:tcBorders>
              <w:top w:val="nil"/>
              <w:left w:val="nil"/>
              <w:bottom w:val="nil"/>
              <w:right w:val="single" w:sz="4" w:space="0" w:color="auto"/>
            </w:tcBorders>
            <w:noWrap/>
            <w:vAlign w:val="bottom"/>
            <w:hideMark/>
          </w:tcPr>
          <w:p w14:paraId="765B4D75" w14:textId="77777777" w:rsidR="00203C37" w:rsidRPr="00203C37" w:rsidRDefault="00203C37" w:rsidP="00203C37">
            <w:pPr>
              <w:spacing w:after="0" w:line="240" w:lineRule="auto"/>
              <w:rPr>
                <w:rFonts w:ascii="Calibri" w:eastAsia="Times New Roman" w:hAnsi="Calibri" w:cs="Calibri"/>
                <w:color w:val="000000"/>
                <w:lang w:val="en-US"/>
              </w:rPr>
            </w:pPr>
            <w:r w:rsidRPr="00203C37">
              <w:rPr>
                <w:rFonts w:ascii="Calibri" w:eastAsia="Times New Roman" w:hAnsi="Calibri" w:cs="Calibri"/>
                <w:color w:val="000000"/>
                <w:lang w:val="en-US"/>
              </w:rPr>
              <w:t>c.743G&gt;A</w:t>
            </w:r>
          </w:p>
        </w:tc>
        <w:tc>
          <w:tcPr>
            <w:tcW w:w="1600" w:type="dxa"/>
            <w:tcBorders>
              <w:top w:val="nil"/>
              <w:left w:val="nil"/>
              <w:bottom w:val="nil"/>
              <w:right w:val="single" w:sz="4" w:space="0" w:color="auto"/>
            </w:tcBorders>
            <w:noWrap/>
            <w:vAlign w:val="bottom"/>
            <w:hideMark/>
          </w:tcPr>
          <w:p w14:paraId="27B77D37" w14:textId="77777777" w:rsidR="00203C37" w:rsidRPr="00203C37" w:rsidRDefault="00203C37" w:rsidP="00203C37">
            <w:pPr>
              <w:spacing w:after="0" w:line="240" w:lineRule="auto"/>
              <w:rPr>
                <w:rFonts w:ascii="Calibri" w:eastAsia="Times New Roman" w:hAnsi="Calibri" w:cs="Calibri"/>
                <w:color w:val="000000"/>
                <w:lang w:val="en-US"/>
              </w:rPr>
            </w:pPr>
            <w:proofErr w:type="gramStart"/>
            <w:r w:rsidRPr="00203C37">
              <w:rPr>
                <w:rFonts w:ascii="Calibri" w:eastAsia="Times New Roman" w:hAnsi="Calibri" w:cs="Calibri"/>
                <w:color w:val="000000"/>
                <w:lang w:val="en-US"/>
              </w:rPr>
              <w:t>p.Arg</w:t>
            </w:r>
            <w:proofErr w:type="gramEnd"/>
            <w:r w:rsidRPr="00203C37">
              <w:rPr>
                <w:rFonts w:ascii="Calibri" w:eastAsia="Times New Roman" w:hAnsi="Calibri" w:cs="Calibri"/>
                <w:color w:val="000000"/>
                <w:lang w:val="en-US"/>
              </w:rPr>
              <w:t>248Gln</w:t>
            </w:r>
          </w:p>
        </w:tc>
        <w:tc>
          <w:tcPr>
            <w:tcW w:w="1020" w:type="dxa"/>
            <w:tcBorders>
              <w:top w:val="nil"/>
              <w:left w:val="nil"/>
              <w:bottom w:val="nil"/>
              <w:right w:val="single" w:sz="4" w:space="0" w:color="auto"/>
            </w:tcBorders>
            <w:noWrap/>
            <w:vAlign w:val="bottom"/>
            <w:hideMark/>
          </w:tcPr>
          <w:p w14:paraId="454B6D30"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nil"/>
              <w:right w:val="single" w:sz="4" w:space="0" w:color="auto"/>
            </w:tcBorders>
            <w:noWrap/>
            <w:vAlign w:val="bottom"/>
            <w:hideMark/>
          </w:tcPr>
          <w:p w14:paraId="79A8ABD7"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nil"/>
              <w:right w:val="single" w:sz="4" w:space="0" w:color="auto"/>
            </w:tcBorders>
            <w:noWrap/>
            <w:vAlign w:val="bottom"/>
            <w:hideMark/>
          </w:tcPr>
          <w:p w14:paraId="56D55C67"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0.50%</w:t>
            </w:r>
          </w:p>
        </w:tc>
        <w:tc>
          <w:tcPr>
            <w:tcW w:w="1020" w:type="dxa"/>
            <w:tcBorders>
              <w:top w:val="nil"/>
              <w:left w:val="nil"/>
              <w:bottom w:val="nil"/>
              <w:right w:val="single" w:sz="4" w:space="0" w:color="auto"/>
            </w:tcBorders>
            <w:noWrap/>
            <w:vAlign w:val="bottom"/>
            <w:hideMark/>
          </w:tcPr>
          <w:p w14:paraId="5246BAA7"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0.90%</w:t>
            </w:r>
          </w:p>
        </w:tc>
      </w:tr>
      <w:tr w:rsidR="00203C37" w:rsidRPr="00203C37" w14:paraId="54804849" w14:textId="77777777" w:rsidTr="00203C37">
        <w:trPr>
          <w:trHeight w:val="287"/>
        </w:trPr>
        <w:tc>
          <w:tcPr>
            <w:tcW w:w="1020" w:type="dxa"/>
            <w:tcBorders>
              <w:top w:val="nil"/>
              <w:left w:val="single" w:sz="4" w:space="0" w:color="auto"/>
              <w:bottom w:val="nil"/>
              <w:right w:val="single" w:sz="4" w:space="0" w:color="auto"/>
            </w:tcBorders>
            <w:noWrap/>
            <w:vAlign w:val="bottom"/>
            <w:hideMark/>
          </w:tcPr>
          <w:p w14:paraId="2D365FD3" w14:textId="77777777" w:rsidR="00203C37" w:rsidRPr="00203C37" w:rsidRDefault="00203C37" w:rsidP="00203C37">
            <w:pPr>
              <w:spacing w:after="0" w:line="240" w:lineRule="auto"/>
              <w:rPr>
                <w:rFonts w:ascii="Calibri" w:eastAsia="Times New Roman" w:hAnsi="Calibri" w:cs="Calibri"/>
                <w:b/>
                <w:bCs/>
                <w:color w:val="000000"/>
                <w:lang w:val="en-US"/>
              </w:rPr>
            </w:pPr>
            <w:r w:rsidRPr="00203C37">
              <w:rPr>
                <w:rFonts w:ascii="Calibri" w:eastAsia="Times New Roman" w:hAnsi="Calibri" w:cs="Calibri"/>
                <w:b/>
                <w:bCs/>
                <w:color w:val="000000"/>
                <w:lang w:val="en-US"/>
              </w:rPr>
              <w:t>TP53</w:t>
            </w:r>
          </w:p>
        </w:tc>
        <w:tc>
          <w:tcPr>
            <w:tcW w:w="1780" w:type="dxa"/>
            <w:tcBorders>
              <w:top w:val="nil"/>
              <w:left w:val="nil"/>
              <w:bottom w:val="nil"/>
              <w:right w:val="single" w:sz="4" w:space="0" w:color="auto"/>
            </w:tcBorders>
            <w:noWrap/>
            <w:vAlign w:val="bottom"/>
            <w:hideMark/>
          </w:tcPr>
          <w:p w14:paraId="1A06E491" w14:textId="77777777" w:rsidR="00203C37" w:rsidRPr="00203C37" w:rsidRDefault="00203C37" w:rsidP="00203C37">
            <w:pPr>
              <w:spacing w:after="0" w:line="240" w:lineRule="auto"/>
              <w:rPr>
                <w:rFonts w:ascii="Calibri" w:eastAsia="Times New Roman" w:hAnsi="Calibri" w:cs="Calibri"/>
                <w:color w:val="000000"/>
                <w:lang w:val="en-US"/>
              </w:rPr>
            </w:pPr>
            <w:r w:rsidRPr="00203C37">
              <w:rPr>
                <w:rFonts w:ascii="Calibri" w:eastAsia="Times New Roman" w:hAnsi="Calibri" w:cs="Calibri"/>
                <w:color w:val="000000"/>
                <w:lang w:val="en-US"/>
              </w:rPr>
              <w:t>c.723delC</w:t>
            </w:r>
          </w:p>
        </w:tc>
        <w:tc>
          <w:tcPr>
            <w:tcW w:w="1600" w:type="dxa"/>
            <w:tcBorders>
              <w:top w:val="nil"/>
              <w:left w:val="nil"/>
              <w:bottom w:val="nil"/>
              <w:right w:val="single" w:sz="4" w:space="0" w:color="auto"/>
            </w:tcBorders>
            <w:noWrap/>
            <w:vAlign w:val="bottom"/>
            <w:hideMark/>
          </w:tcPr>
          <w:p w14:paraId="157B4A06" w14:textId="77777777" w:rsidR="00203C37" w:rsidRPr="00203C37" w:rsidRDefault="00203C37" w:rsidP="00203C37">
            <w:pPr>
              <w:spacing w:after="0" w:line="240" w:lineRule="auto"/>
              <w:rPr>
                <w:rFonts w:ascii="Calibri" w:eastAsia="Times New Roman" w:hAnsi="Calibri" w:cs="Calibri"/>
                <w:color w:val="000000"/>
                <w:lang w:val="en-US"/>
              </w:rPr>
            </w:pPr>
            <w:proofErr w:type="gramStart"/>
            <w:r w:rsidRPr="00203C37">
              <w:rPr>
                <w:rFonts w:ascii="Calibri" w:eastAsia="Times New Roman" w:hAnsi="Calibri" w:cs="Calibri"/>
                <w:color w:val="000000"/>
                <w:lang w:val="en-US"/>
              </w:rPr>
              <w:t>p.Cys</w:t>
            </w:r>
            <w:proofErr w:type="gramEnd"/>
            <w:r w:rsidRPr="00203C37">
              <w:rPr>
                <w:rFonts w:ascii="Calibri" w:eastAsia="Times New Roman" w:hAnsi="Calibri" w:cs="Calibri"/>
                <w:color w:val="000000"/>
                <w:lang w:val="en-US"/>
              </w:rPr>
              <w:t>242Alafs*5</w:t>
            </w:r>
          </w:p>
        </w:tc>
        <w:tc>
          <w:tcPr>
            <w:tcW w:w="1020" w:type="dxa"/>
            <w:tcBorders>
              <w:top w:val="nil"/>
              <w:left w:val="nil"/>
              <w:bottom w:val="nil"/>
              <w:right w:val="single" w:sz="4" w:space="0" w:color="auto"/>
            </w:tcBorders>
            <w:noWrap/>
            <w:vAlign w:val="bottom"/>
            <w:hideMark/>
          </w:tcPr>
          <w:p w14:paraId="35D37643"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nil"/>
              <w:right w:val="single" w:sz="4" w:space="0" w:color="auto"/>
            </w:tcBorders>
            <w:noWrap/>
            <w:vAlign w:val="bottom"/>
            <w:hideMark/>
          </w:tcPr>
          <w:p w14:paraId="0C6CB705"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nil"/>
              <w:right w:val="single" w:sz="4" w:space="0" w:color="auto"/>
            </w:tcBorders>
            <w:noWrap/>
            <w:vAlign w:val="bottom"/>
            <w:hideMark/>
          </w:tcPr>
          <w:p w14:paraId="41B5E3A7"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0.51%</w:t>
            </w:r>
          </w:p>
        </w:tc>
        <w:tc>
          <w:tcPr>
            <w:tcW w:w="1020" w:type="dxa"/>
            <w:tcBorders>
              <w:top w:val="nil"/>
              <w:left w:val="nil"/>
              <w:bottom w:val="nil"/>
              <w:right w:val="single" w:sz="4" w:space="0" w:color="auto"/>
            </w:tcBorders>
            <w:noWrap/>
            <w:vAlign w:val="bottom"/>
            <w:hideMark/>
          </w:tcPr>
          <w:p w14:paraId="79EB5747"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0.85%</w:t>
            </w:r>
          </w:p>
        </w:tc>
      </w:tr>
      <w:tr w:rsidR="00203C37" w:rsidRPr="00203C37" w14:paraId="27954678" w14:textId="77777777" w:rsidTr="00203C37">
        <w:trPr>
          <w:trHeight w:val="287"/>
        </w:trPr>
        <w:tc>
          <w:tcPr>
            <w:tcW w:w="1020" w:type="dxa"/>
            <w:tcBorders>
              <w:top w:val="nil"/>
              <w:left w:val="single" w:sz="4" w:space="0" w:color="auto"/>
              <w:bottom w:val="nil"/>
              <w:right w:val="single" w:sz="4" w:space="0" w:color="auto"/>
            </w:tcBorders>
            <w:noWrap/>
            <w:vAlign w:val="bottom"/>
            <w:hideMark/>
          </w:tcPr>
          <w:p w14:paraId="5861FE59" w14:textId="77777777" w:rsidR="00203C37" w:rsidRPr="00203C37" w:rsidRDefault="00203C37" w:rsidP="00203C37">
            <w:pPr>
              <w:spacing w:after="0" w:line="240" w:lineRule="auto"/>
              <w:rPr>
                <w:rFonts w:ascii="Calibri" w:eastAsia="Times New Roman" w:hAnsi="Calibri" w:cs="Calibri"/>
                <w:b/>
                <w:bCs/>
                <w:color w:val="000000"/>
                <w:lang w:val="en-US"/>
              </w:rPr>
            </w:pPr>
            <w:r w:rsidRPr="00203C37">
              <w:rPr>
                <w:rFonts w:ascii="Calibri" w:eastAsia="Times New Roman" w:hAnsi="Calibri" w:cs="Calibri"/>
                <w:b/>
                <w:bCs/>
                <w:color w:val="000000"/>
                <w:lang w:val="en-US"/>
              </w:rPr>
              <w:t>TP53</w:t>
            </w:r>
          </w:p>
        </w:tc>
        <w:tc>
          <w:tcPr>
            <w:tcW w:w="1780" w:type="dxa"/>
            <w:tcBorders>
              <w:top w:val="nil"/>
              <w:left w:val="nil"/>
              <w:bottom w:val="nil"/>
              <w:right w:val="single" w:sz="4" w:space="0" w:color="auto"/>
            </w:tcBorders>
            <w:noWrap/>
            <w:vAlign w:val="bottom"/>
            <w:hideMark/>
          </w:tcPr>
          <w:p w14:paraId="42677067" w14:textId="77777777" w:rsidR="00203C37" w:rsidRPr="00203C37" w:rsidRDefault="00203C37" w:rsidP="00203C37">
            <w:pPr>
              <w:spacing w:after="0" w:line="240" w:lineRule="auto"/>
              <w:rPr>
                <w:rFonts w:ascii="Calibri" w:eastAsia="Times New Roman" w:hAnsi="Calibri" w:cs="Calibri"/>
                <w:color w:val="000000"/>
                <w:lang w:val="en-US"/>
              </w:rPr>
            </w:pPr>
            <w:r w:rsidRPr="00203C37">
              <w:rPr>
                <w:rFonts w:ascii="Calibri" w:eastAsia="Times New Roman" w:hAnsi="Calibri" w:cs="Calibri"/>
                <w:color w:val="000000"/>
                <w:lang w:val="en-US"/>
              </w:rPr>
              <w:t>c.524G&gt;A</w:t>
            </w:r>
          </w:p>
        </w:tc>
        <w:tc>
          <w:tcPr>
            <w:tcW w:w="1600" w:type="dxa"/>
            <w:tcBorders>
              <w:top w:val="nil"/>
              <w:left w:val="nil"/>
              <w:bottom w:val="nil"/>
              <w:right w:val="single" w:sz="4" w:space="0" w:color="auto"/>
            </w:tcBorders>
            <w:noWrap/>
            <w:vAlign w:val="bottom"/>
            <w:hideMark/>
          </w:tcPr>
          <w:p w14:paraId="154FF19E" w14:textId="77777777" w:rsidR="00203C37" w:rsidRPr="00203C37" w:rsidRDefault="00203C37" w:rsidP="00203C37">
            <w:pPr>
              <w:spacing w:after="0" w:line="240" w:lineRule="auto"/>
              <w:rPr>
                <w:rFonts w:ascii="Calibri" w:eastAsia="Times New Roman" w:hAnsi="Calibri" w:cs="Calibri"/>
                <w:color w:val="000000"/>
                <w:lang w:val="en-US"/>
              </w:rPr>
            </w:pPr>
            <w:proofErr w:type="gramStart"/>
            <w:r w:rsidRPr="00203C37">
              <w:rPr>
                <w:rFonts w:ascii="Calibri" w:eastAsia="Times New Roman" w:hAnsi="Calibri" w:cs="Calibri"/>
                <w:color w:val="000000"/>
                <w:lang w:val="en-US"/>
              </w:rPr>
              <w:t>p.Arg</w:t>
            </w:r>
            <w:proofErr w:type="gramEnd"/>
            <w:r w:rsidRPr="00203C37">
              <w:rPr>
                <w:rFonts w:ascii="Calibri" w:eastAsia="Times New Roman" w:hAnsi="Calibri" w:cs="Calibri"/>
                <w:color w:val="000000"/>
                <w:lang w:val="en-US"/>
              </w:rPr>
              <w:t>175His</w:t>
            </w:r>
          </w:p>
        </w:tc>
        <w:tc>
          <w:tcPr>
            <w:tcW w:w="1020" w:type="dxa"/>
            <w:tcBorders>
              <w:top w:val="nil"/>
              <w:left w:val="nil"/>
              <w:bottom w:val="nil"/>
              <w:right w:val="single" w:sz="4" w:space="0" w:color="auto"/>
            </w:tcBorders>
            <w:noWrap/>
            <w:vAlign w:val="bottom"/>
            <w:hideMark/>
          </w:tcPr>
          <w:p w14:paraId="36F4F7D7"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nil"/>
              <w:right w:val="single" w:sz="4" w:space="0" w:color="auto"/>
            </w:tcBorders>
            <w:noWrap/>
            <w:vAlign w:val="bottom"/>
            <w:hideMark/>
          </w:tcPr>
          <w:p w14:paraId="6ED4CAD8"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nil"/>
              <w:right w:val="single" w:sz="4" w:space="0" w:color="auto"/>
            </w:tcBorders>
            <w:noWrap/>
            <w:vAlign w:val="bottom"/>
            <w:hideMark/>
          </w:tcPr>
          <w:p w14:paraId="7476B534"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0.60%</w:t>
            </w:r>
          </w:p>
        </w:tc>
        <w:tc>
          <w:tcPr>
            <w:tcW w:w="1020" w:type="dxa"/>
            <w:tcBorders>
              <w:top w:val="nil"/>
              <w:left w:val="nil"/>
              <w:bottom w:val="nil"/>
              <w:right w:val="single" w:sz="4" w:space="0" w:color="auto"/>
            </w:tcBorders>
            <w:noWrap/>
            <w:vAlign w:val="bottom"/>
            <w:hideMark/>
          </w:tcPr>
          <w:p w14:paraId="09128C19"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1.30%</w:t>
            </w:r>
          </w:p>
        </w:tc>
      </w:tr>
      <w:tr w:rsidR="00203C37" w:rsidRPr="00203C37" w14:paraId="26BFE232" w14:textId="77777777" w:rsidTr="00203C37">
        <w:trPr>
          <w:trHeight w:val="287"/>
        </w:trPr>
        <w:tc>
          <w:tcPr>
            <w:tcW w:w="1020" w:type="dxa"/>
            <w:tcBorders>
              <w:top w:val="nil"/>
              <w:left w:val="single" w:sz="4" w:space="0" w:color="auto"/>
              <w:bottom w:val="single" w:sz="4" w:space="0" w:color="auto"/>
              <w:right w:val="single" w:sz="4" w:space="0" w:color="auto"/>
            </w:tcBorders>
            <w:noWrap/>
            <w:vAlign w:val="bottom"/>
            <w:hideMark/>
          </w:tcPr>
          <w:p w14:paraId="24BD2397" w14:textId="77777777" w:rsidR="00203C37" w:rsidRPr="00203C37" w:rsidRDefault="00203C37" w:rsidP="00203C37">
            <w:pPr>
              <w:spacing w:after="0" w:line="240" w:lineRule="auto"/>
              <w:rPr>
                <w:rFonts w:ascii="Calibri" w:eastAsia="Times New Roman" w:hAnsi="Calibri" w:cs="Calibri"/>
                <w:b/>
                <w:bCs/>
                <w:color w:val="000000"/>
                <w:lang w:val="en-US"/>
              </w:rPr>
            </w:pPr>
            <w:r w:rsidRPr="00203C37">
              <w:rPr>
                <w:rFonts w:ascii="Calibri" w:eastAsia="Times New Roman" w:hAnsi="Calibri" w:cs="Calibri"/>
                <w:b/>
                <w:bCs/>
                <w:color w:val="000000"/>
                <w:lang w:val="en-US"/>
              </w:rPr>
              <w:t>TP53</w:t>
            </w:r>
          </w:p>
        </w:tc>
        <w:tc>
          <w:tcPr>
            <w:tcW w:w="1780" w:type="dxa"/>
            <w:tcBorders>
              <w:top w:val="nil"/>
              <w:left w:val="nil"/>
              <w:bottom w:val="single" w:sz="4" w:space="0" w:color="auto"/>
              <w:right w:val="single" w:sz="4" w:space="0" w:color="auto"/>
            </w:tcBorders>
            <w:noWrap/>
            <w:vAlign w:val="bottom"/>
            <w:hideMark/>
          </w:tcPr>
          <w:p w14:paraId="070B21F7" w14:textId="77777777" w:rsidR="00203C37" w:rsidRPr="00203C37" w:rsidRDefault="00203C37" w:rsidP="00203C37">
            <w:pPr>
              <w:spacing w:after="0" w:line="240" w:lineRule="auto"/>
              <w:rPr>
                <w:rFonts w:ascii="Calibri" w:eastAsia="Times New Roman" w:hAnsi="Calibri" w:cs="Calibri"/>
                <w:color w:val="000000"/>
                <w:lang w:val="en-US"/>
              </w:rPr>
            </w:pPr>
            <w:r w:rsidRPr="00203C37">
              <w:rPr>
                <w:rFonts w:ascii="Calibri" w:eastAsia="Times New Roman" w:hAnsi="Calibri" w:cs="Calibri"/>
                <w:color w:val="000000"/>
                <w:lang w:val="en-US"/>
              </w:rPr>
              <w:t>c.267delC</w:t>
            </w:r>
          </w:p>
        </w:tc>
        <w:tc>
          <w:tcPr>
            <w:tcW w:w="1600" w:type="dxa"/>
            <w:tcBorders>
              <w:top w:val="nil"/>
              <w:left w:val="nil"/>
              <w:bottom w:val="single" w:sz="4" w:space="0" w:color="auto"/>
              <w:right w:val="single" w:sz="4" w:space="0" w:color="auto"/>
            </w:tcBorders>
            <w:noWrap/>
            <w:vAlign w:val="bottom"/>
            <w:hideMark/>
          </w:tcPr>
          <w:p w14:paraId="5122A67E" w14:textId="77777777" w:rsidR="00203C37" w:rsidRPr="00203C37" w:rsidRDefault="00203C37" w:rsidP="00203C37">
            <w:pPr>
              <w:spacing w:after="0" w:line="240" w:lineRule="auto"/>
              <w:rPr>
                <w:rFonts w:ascii="Calibri" w:eastAsia="Times New Roman" w:hAnsi="Calibri" w:cs="Calibri"/>
                <w:color w:val="000000"/>
                <w:lang w:val="en-US"/>
              </w:rPr>
            </w:pPr>
            <w:proofErr w:type="gramStart"/>
            <w:r w:rsidRPr="00203C37">
              <w:rPr>
                <w:rFonts w:ascii="Calibri" w:eastAsia="Times New Roman" w:hAnsi="Calibri" w:cs="Calibri"/>
                <w:color w:val="000000"/>
                <w:lang w:val="en-US"/>
              </w:rPr>
              <w:t>p.Ser</w:t>
            </w:r>
            <w:proofErr w:type="gramEnd"/>
            <w:r w:rsidRPr="00203C37">
              <w:rPr>
                <w:rFonts w:ascii="Calibri" w:eastAsia="Times New Roman" w:hAnsi="Calibri" w:cs="Calibri"/>
                <w:color w:val="000000"/>
                <w:lang w:val="en-US"/>
              </w:rPr>
              <w:t>90Profs*33</w:t>
            </w:r>
          </w:p>
        </w:tc>
        <w:tc>
          <w:tcPr>
            <w:tcW w:w="1020" w:type="dxa"/>
            <w:tcBorders>
              <w:top w:val="nil"/>
              <w:left w:val="nil"/>
              <w:bottom w:val="single" w:sz="4" w:space="0" w:color="auto"/>
              <w:right w:val="single" w:sz="4" w:space="0" w:color="auto"/>
            </w:tcBorders>
            <w:noWrap/>
            <w:vAlign w:val="bottom"/>
            <w:hideMark/>
          </w:tcPr>
          <w:p w14:paraId="395A1E98"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single" w:sz="4" w:space="0" w:color="auto"/>
              <w:right w:val="single" w:sz="4" w:space="0" w:color="auto"/>
            </w:tcBorders>
            <w:noWrap/>
            <w:vAlign w:val="bottom"/>
            <w:hideMark/>
          </w:tcPr>
          <w:p w14:paraId="5154797F"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ND</w:t>
            </w:r>
          </w:p>
        </w:tc>
        <w:tc>
          <w:tcPr>
            <w:tcW w:w="1020" w:type="dxa"/>
            <w:tcBorders>
              <w:top w:val="nil"/>
              <w:left w:val="nil"/>
              <w:bottom w:val="single" w:sz="4" w:space="0" w:color="auto"/>
              <w:right w:val="single" w:sz="4" w:space="0" w:color="auto"/>
            </w:tcBorders>
            <w:noWrap/>
            <w:vAlign w:val="bottom"/>
            <w:hideMark/>
          </w:tcPr>
          <w:p w14:paraId="30C5D388"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0.46%</w:t>
            </w:r>
          </w:p>
        </w:tc>
        <w:tc>
          <w:tcPr>
            <w:tcW w:w="1020" w:type="dxa"/>
            <w:tcBorders>
              <w:top w:val="nil"/>
              <w:left w:val="nil"/>
              <w:bottom w:val="single" w:sz="4" w:space="0" w:color="auto"/>
              <w:right w:val="single" w:sz="4" w:space="0" w:color="auto"/>
            </w:tcBorders>
            <w:noWrap/>
            <w:vAlign w:val="bottom"/>
            <w:hideMark/>
          </w:tcPr>
          <w:p w14:paraId="3050CC71" w14:textId="77777777" w:rsidR="00203C37" w:rsidRPr="00203C37" w:rsidRDefault="00203C37" w:rsidP="00203C37">
            <w:pPr>
              <w:spacing w:after="0" w:line="240" w:lineRule="auto"/>
              <w:jc w:val="center"/>
              <w:rPr>
                <w:rFonts w:ascii="Calibri" w:eastAsia="Times New Roman" w:hAnsi="Calibri" w:cs="Calibri"/>
                <w:color w:val="000000"/>
                <w:lang w:val="en-US"/>
              </w:rPr>
            </w:pPr>
            <w:r w:rsidRPr="00203C37">
              <w:rPr>
                <w:rFonts w:ascii="Calibri" w:eastAsia="Times New Roman" w:hAnsi="Calibri" w:cs="Calibri"/>
                <w:color w:val="000000"/>
                <w:lang w:val="en-US"/>
              </w:rPr>
              <w:t>1.40%</w:t>
            </w:r>
          </w:p>
        </w:tc>
      </w:tr>
    </w:tbl>
    <w:p w14:paraId="258E6E94" w14:textId="77777777" w:rsidR="00203C37" w:rsidRPr="00203C37" w:rsidRDefault="00203C37" w:rsidP="00203C37">
      <w:pPr>
        <w:rPr>
          <w:lang w:val="en-US" w:eastAsia="zh-CN"/>
        </w:rPr>
      </w:pPr>
    </w:p>
    <w:p w14:paraId="145B33CF" w14:textId="77777777" w:rsidR="00045D2C" w:rsidRDefault="00045D2C" w:rsidP="005A6760">
      <w:pPr>
        <w:spacing w:line="360" w:lineRule="auto"/>
        <w:rPr>
          <w:b/>
          <w:i/>
          <w:lang w:val="en-US"/>
        </w:rPr>
      </w:pPr>
    </w:p>
    <w:p w14:paraId="09DF4E84" w14:textId="77777777" w:rsidR="00045D2C" w:rsidRDefault="00000000" w:rsidP="005A6760">
      <w:pPr>
        <w:spacing w:line="360" w:lineRule="auto"/>
        <w:rPr>
          <w:b/>
          <w:i/>
          <w:lang w:val="en-US"/>
        </w:rPr>
      </w:pPr>
      <w:r>
        <w:rPr>
          <w:b/>
          <w:i/>
          <w:lang w:val="en-US"/>
        </w:rPr>
        <w:br w:type="page"/>
      </w:r>
    </w:p>
    <w:p w14:paraId="56D3C7E9" w14:textId="3B04C30C" w:rsidR="00045D2C" w:rsidRDefault="00000000" w:rsidP="005A6760">
      <w:pPr>
        <w:pStyle w:val="Heading2"/>
        <w:spacing w:line="360" w:lineRule="auto"/>
      </w:pPr>
      <w:bookmarkStart w:id="15" w:name="_Toc212073439"/>
      <w:r>
        <w:lastRenderedPageBreak/>
        <w:t>Supplementary Table 3. Co-occurrence matrix of pathogenic mutations</w:t>
      </w:r>
      <w:bookmarkEnd w:id="15"/>
    </w:p>
    <w:tbl>
      <w:tblPr>
        <w:tblW w:w="11049" w:type="dxa"/>
        <w:tblInd w:w="-996" w:type="dxa"/>
        <w:tblLook w:val="04A0" w:firstRow="1" w:lastRow="0" w:firstColumn="1" w:lastColumn="0" w:noHBand="0" w:noVBand="1"/>
      </w:tblPr>
      <w:tblGrid>
        <w:gridCol w:w="824"/>
        <w:gridCol w:w="536"/>
        <w:gridCol w:w="584"/>
        <w:gridCol w:w="712"/>
        <w:gridCol w:w="701"/>
        <w:gridCol w:w="572"/>
        <w:gridCol w:w="607"/>
        <w:gridCol w:w="704"/>
        <w:gridCol w:w="701"/>
        <w:gridCol w:w="712"/>
        <w:gridCol w:w="690"/>
        <w:gridCol w:w="654"/>
        <w:gridCol w:w="799"/>
        <w:gridCol w:w="824"/>
        <w:gridCol w:w="696"/>
        <w:gridCol w:w="733"/>
      </w:tblGrid>
      <w:tr w:rsidR="00203C37" w:rsidRPr="00203C37" w14:paraId="47A72F1C" w14:textId="77777777" w:rsidTr="008354B4">
        <w:trPr>
          <w:trHeight w:val="305"/>
        </w:trPr>
        <w:tc>
          <w:tcPr>
            <w:tcW w:w="824" w:type="dxa"/>
            <w:tcBorders>
              <w:top w:val="single" w:sz="4" w:space="0" w:color="auto"/>
              <w:left w:val="single" w:sz="4" w:space="0" w:color="auto"/>
              <w:bottom w:val="single" w:sz="4" w:space="0" w:color="auto"/>
              <w:right w:val="single" w:sz="4" w:space="0" w:color="auto"/>
            </w:tcBorders>
            <w:noWrap/>
            <w:vAlign w:val="bottom"/>
            <w:hideMark/>
          </w:tcPr>
          <w:p w14:paraId="436A781F" w14:textId="77777777" w:rsidR="00203C37" w:rsidRPr="00203C37" w:rsidRDefault="00203C37" w:rsidP="00203C37">
            <w:pPr>
              <w:spacing w:after="0" w:line="240" w:lineRule="auto"/>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 </w:t>
            </w:r>
          </w:p>
        </w:tc>
        <w:tc>
          <w:tcPr>
            <w:tcW w:w="536" w:type="dxa"/>
            <w:tcBorders>
              <w:top w:val="single" w:sz="4" w:space="0" w:color="auto"/>
              <w:left w:val="nil"/>
              <w:bottom w:val="single" w:sz="4" w:space="0" w:color="auto"/>
              <w:right w:val="single" w:sz="4" w:space="0" w:color="auto"/>
            </w:tcBorders>
            <w:noWrap/>
            <w:vAlign w:val="bottom"/>
            <w:hideMark/>
          </w:tcPr>
          <w:p w14:paraId="668F04AB"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RB1</w:t>
            </w:r>
          </w:p>
        </w:tc>
        <w:tc>
          <w:tcPr>
            <w:tcW w:w="584" w:type="dxa"/>
            <w:tcBorders>
              <w:top w:val="single" w:sz="4" w:space="0" w:color="auto"/>
              <w:left w:val="nil"/>
              <w:bottom w:val="single" w:sz="4" w:space="0" w:color="auto"/>
              <w:right w:val="single" w:sz="4" w:space="0" w:color="auto"/>
            </w:tcBorders>
            <w:noWrap/>
            <w:vAlign w:val="bottom"/>
            <w:hideMark/>
          </w:tcPr>
          <w:p w14:paraId="17B2F1EF"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TP53</w:t>
            </w:r>
          </w:p>
        </w:tc>
        <w:tc>
          <w:tcPr>
            <w:tcW w:w="712" w:type="dxa"/>
            <w:tcBorders>
              <w:top w:val="single" w:sz="4" w:space="0" w:color="auto"/>
              <w:left w:val="nil"/>
              <w:bottom w:val="single" w:sz="4" w:space="0" w:color="auto"/>
              <w:right w:val="single" w:sz="4" w:space="0" w:color="auto"/>
            </w:tcBorders>
            <w:noWrap/>
            <w:vAlign w:val="bottom"/>
            <w:hideMark/>
          </w:tcPr>
          <w:p w14:paraId="46F8212F"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BRCA2</w:t>
            </w:r>
          </w:p>
        </w:tc>
        <w:tc>
          <w:tcPr>
            <w:tcW w:w="701" w:type="dxa"/>
            <w:tcBorders>
              <w:top w:val="single" w:sz="4" w:space="0" w:color="auto"/>
              <w:left w:val="nil"/>
              <w:bottom w:val="single" w:sz="4" w:space="0" w:color="auto"/>
              <w:right w:val="single" w:sz="4" w:space="0" w:color="auto"/>
            </w:tcBorders>
            <w:noWrap/>
            <w:vAlign w:val="bottom"/>
            <w:hideMark/>
          </w:tcPr>
          <w:p w14:paraId="381DED3A"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CHEK2</w:t>
            </w:r>
          </w:p>
        </w:tc>
        <w:tc>
          <w:tcPr>
            <w:tcW w:w="572" w:type="dxa"/>
            <w:tcBorders>
              <w:top w:val="single" w:sz="4" w:space="0" w:color="auto"/>
              <w:left w:val="nil"/>
              <w:bottom w:val="single" w:sz="4" w:space="0" w:color="auto"/>
              <w:right w:val="single" w:sz="4" w:space="0" w:color="auto"/>
            </w:tcBorders>
            <w:noWrap/>
            <w:vAlign w:val="bottom"/>
            <w:hideMark/>
          </w:tcPr>
          <w:p w14:paraId="6F22AC26"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ATM</w:t>
            </w:r>
          </w:p>
        </w:tc>
        <w:tc>
          <w:tcPr>
            <w:tcW w:w="607" w:type="dxa"/>
            <w:tcBorders>
              <w:top w:val="single" w:sz="4" w:space="0" w:color="auto"/>
              <w:left w:val="nil"/>
              <w:bottom w:val="single" w:sz="4" w:space="0" w:color="auto"/>
              <w:right w:val="single" w:sz="4" w:space="0" w:color="auto"/>
            </w:tcBorders>
            <w:noWrap/>
            <w:vAlign w:val="bottom"/>
            <w:hideMark/>
          </w:tcPr>
          <w:p w14:paraId="20332518"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PTEN</w:t>
            </w:r>
          </w:p>
        </w:tc>
        <w:tc>
          <w:tcPr>
            <w:tcW w:w="704" w:type="dxa"/>
            <w:tcBorders>
              <w:top w:val="single" w:sz="4" w:space="0" w:color="auto"/>
              <w:left w:val="nil"/>
              <w:bottom w:val="single" w:sz="4" w:space="0" w:color="auto"/>
              <w:right w:val="single" w:sz="4" w:space="0" w:color="auto"/>
            </w:tcBorders>
            <w:noWrap/>
            <w:vAlign w:val="bottom"/>
            <w:hideMark/>
          </w:tcPr>
          <w:p w14:paraId="6522C3C9"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CDK12</w:t>
            </w:r>
          </w:p>
        </w:tc>
        <w:tc>
          <w:tcPr>
            <w:tcW w:w="701" w:type="dxa"/>
            <w:tcBorders>
              <w:top w:val="single" w:sz="4" w:space="0" w:color="auto"/>
              <w:left w:val="nil"/>
              <w:bottom w:val="single" w:sz="4" w:space="0" w:color="auto"/>
              <w:right w:val="single" w:sz="4" w:space="0" w:color="auto"/>
            </w:tcBorders>
            <w:noWrap/>
            <w:vAlign w:val="bottom"/>
            <w:hideMark/>
          </w:tcPr>
          <w:p w14:paraId="01BDED76"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CHEK1</w:t>
            </w:r>
          </w:p>
        </w:tc>
        <w:tc>
          <w:tcPr>
            <w:tcW w:w="712" w:type="dxa"/>
            <w:tcBorders>
              <w:top w:val="single" w:sz="4" w:space="0" w:color="auto"/>
              <w:left w:val="nil"/>
              <w:bottom w:val="single" w:sz="4" w:space="0" w:color="auto"/>
              <w:right w:val="single" w:sz="4" w:space="0" w:color="auto"/>
            </w:tcBorders>
            <w:noWrap/>
            <w:vAlign w:val="bottom"/>
            <w:hideMark/>
          </w:tcPr>
          <w:p w14:paraId="6E4B6982"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BRCA1</w:t>
            </w:r>
          </w:p>
        </w:tc>
        <w:tc>
          <w:tcPr>
            <w:tcW w:w="690" w:type="dxa"/>
            <w:tcBorders>
              <w:top w:val="single" w:sz="4" w:space="0" w:color="auto"/>
              <w:left w:val="nil"/>
              <w:bottom w:val="single" w:sz="4" w:space="0" w:color="auto"/>
              <w:right w:val="single" w:sz="4" w:space="0" w:color="auto"/>
            </w:tcBorders>
            <w:noWrap/>
            <w:vAlign w:val="bottom"/>
            <w:hideMark/>
          </w:tcPr>
          <w:p w14:paraId="5E1B8F6C"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PALB2</w:t>
            </w:r>
          </w:p>
        </w:tc>
        <w:tc>
          <w:tcPr>
            <w:tcW w:w="654" w:type="dxa"/>
            <w:tcBorders>
              <w:top w:val="single" w:sz="4" w:space="0" w:color="auto"/>
              <w:left w:val="nil"/>
              <w:bottom w:val="single" w:sz="4" w:space="0" w:color="auto"/>
              <w:right w:val="single" w:sz="4" w:space="0" w:color="auto"/>
            </w:tcBorders>
            <w:noWrap/>
            <w:vAlign w:val="bottom"/>
            <w:hideMark/>
          </w:tcPr>
          <w:p w14:paraId="625A0211"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BRIP1</w:t>
            </w:r>
          </w:p>
        </w:tc>
        <w:tc>
          <w:tcPr>
            <w:tcW w:w="799" w:type="dxa"/>
            <w:tcBorders>
              <w:top w:val="single" w:sz="4" w:space="0" w:color="auto"/>
              <w:left w:val="nil"/>
              <w:bottom w:val="single" w:sz="4" w:space="0" w:color="auto"/>
              <w:right w:val="single" w:sz="4" w:space="0" w:color="auto"/>
            </w:tcBorders>
            <w:noWrap/>
            <w:vAlign w:val="bottom"/>
            <w:hideMark/>
          </w:tcPr>
          <w:p w14:paraId="320E2C3B"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RAD54L</w:t>
            </w:r>
          </w:p>
        </w:tc>
        <w:tc>
          <w:tcPr>
            <w:tcW w:w="824" w:type="dxa"/>
            <w:tcBorders>
              <w:top w:val="single" w:sz="4" w:space="0" w:color="auto"/>
              <w:left w:val="nil"/>
              <w:bottom w:val="single" w:sz="4" w:space="0" w:color="auto"/>
              <w:right w:val="single" w:sz="4" w:space="0" w:color="auto"/>
            </w:tcBorders>
            <w:noWrap/>
            <w:vAlign w:val="bottom"/>
            <w:hideMark/>
          </w:tcPr>
          <w:p w14:paraId="64C3960B"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RAD51B</w:t>
            </w:r>
          </w:p>
        </w:tc>
        <w:tc>
          <w:tcPr>
            <w:tcW w:w="696" w:type="dxa"/>
            <w:tcBorders>
              <w:top w:val="single" w:sz="4" w:space="0" w:color="auto"/>
              <w:left w:val="nil"/>
              <w:bottom w:val="single" w:sz="4" w:space="0" w:color="auto"/>
              <w:right w:val="single" w:sz="4" w:space="0" w:color="auto"/>
            </w:tcBorders>
            <w:noWrap/>
            <w:vAlign w:val="bottom"/>
            <w:hideMark/>
          </w:tcPr>
          <w:p w14:paraId="3E601031"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FANCL</w:t>
            </w:r>
          </w:p>
        </w:tc>
        <w:tc>
          <w:tcPr>
            <w:tcW w:w="733" w:type="dxa"/>
            <w:tcBorders>
              <w:top w:val="single" w:sz="4" w:space="0" w:color="auto"/>
              <w:left w:val="nil"/>
              <w:bottom w:val="single" w:sz="4" w:space="0" w:color="auto"/>
              <w:right w:val="single" w:sz="4" w:space="0" w:color="auto"/>
            </w:tcBorders>
            <w:noWrap/>
            <w:vAlign w:val="bottom"/>
            <w:hideMark/>
          </w:tcPr>
          <w:p w14:paraId="065A0CBC"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BARD1</w:t>
            </w:r>
          </w:p>
        </w:tc>
      </w:tr>
      <w:tr w:rsidR="008354B4" w:rsidRPr="00203C37" w14:paraId="295FDBBB"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73C72274"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RB1</w:t>
            </w:r>
          </w:p>
        </w:tc>
        <w:tc>
          <w:tcPr>
            <w:tcW w:w="536" w:type="dxa"/>
            <w:tcBorders>
              <w:top w:val="nil"/>
              <w:left w:val="nil"/>
              <w:bottom w:val="single" w:sz="4" w:space="0" w:color="auto"/>
              <w:right w:val="single" w:sz="4" w:space="0" w:color="auto"/>
            </w:tcBorders>
            <w:noWrap/>
            <w:vAlign w:val="bottom"/>
            <w:hideMark/>
          </w:tcPr>
          <w:p w14:paraId="3981C1D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41F5243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0.02</w:t>
            </w:r>
          </w:p>
        </w:tc>
        <w:tc>
          <w:tcPr>
            <w:tcW w:w="712" w:type="dxa"/>
            <w:tcBorders>
              <w:top w:val="nil"/>
              <w:left w:val="nil"/>
              <w:bottom w:val="single" w:sz="4" w:space="0" w:color="auto"/>
              <w:right w:val="single" w:sz="4" w:space="0" w:color="auto"/>
            </w:tcBorders>
            <w:noWrap/>
            <w:vAlign w:val="bottom"/>
            <w:hideMark/>
          </w:tcPr>
          <w:p w14:paraId="747A97F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0.11</w:t>
            </w:r>
          </w:p>
        </w:tc>
        <w:tc>
          <w:tcPr>
            <w:tcW w:w="701" w:type="dxa"/>
            <w:tcBorders>
              <w:top w:val="nil"/>
              <w:left w:val="nil"/>
              <w:bottom w:val="single" w:sz="4" w:space="0" w:color="auto"/>
              <w:right w:val="single" w:sz="4" w:space="0" w:color="auto"/>
            </w:tcBorders>
            <w:noWrap/>
            <w:vAlign w:val="bottom"/>
            <w:hideMark/>
          </w:tcPr>
          <w:p w14:paraId="1E25882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20E3E48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61C3E68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0.05</w:t>
            </w:r>
          </w:p>
        </w:tc>
        <w:tc>
          <w:tcPr>
            <w:tcW w:w="704" w:type="dxa"/>
            <w:tcBorders>
              <w:top w:val="nil"/>
              <w:left w:val="nil"/>
              <w:bottom w:val="single" w:sz="4" w:space="0" w:color="auto"/>
              <w:right w:val="single" w:sz="4" w:space="0" w:color="auto"/>
            </w:tcBorders>
            <w:noWrap/>
            <w:vAlign w:val="bottom"/>
            <w:hideMark/>
          </w:tcPr>
          <w:p w14:paraId="336F220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4978683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2B42D66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3E271D4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7D9A348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1FDE312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2A1086C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571033F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23A5C41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0C56752F"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5D7D4BB4"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TP53</w:t>
            </w:r>
          </w:p>
        </w:tc>
        <w:tc>
          <w:tcPr>
            <w:tcW w:w="536" w:type="dxa"/>
            <w:tcBorders>
              <w:top w:val="nil"/>
              <w:left w:val="nil"/>
              <w:bottom w:val="single" w:sz="4" w:space="0" w:color="auto"/>
              <w:right w:val="single" w:sz="4" w:space="0" w:color="auto"/>
            </w:tcBorders>
            <w:noWrap/>
            <w:vAlign w:val="bottom"/>
            <w:hideMark/>
          </w:tcPr>
          <w:p w14:paraId="2ACE302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0.02</w:t>
            </w:r>
          </w:p>
        </w:tc>
        <w:tc>
          <w:tcPr>
            <w:tcW w:w="584" w:type="dxa"/>
            <w:tcBorders>
              <w:top w:val="nil"/>
              <w:left w:val="nil"/>
              <w:bottom w:val="single" w:sz="4" w:space="0" w:color="auto"/>
              <w:right w:val="single" w:sz="4" w:space="0" w:color="auto"/>
            </w:tcBorders>
            <w:noWrap/>
            <w:vAlign w:val="bottom"/>
            <w:hideMark/>
          </w:tcPr>
          <w:p w14:paraId="43191F8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35DA769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0.05</w:t>
            </w:r>
          </w:p>
        </w:tc>
        <w:tc>
          <w:tcPr>
            <w:tcW w:w="701" w:type="dxa"/>
            <w:tcBorders>
              <w:top w:val="nil"/>
              <w:left w:val="nil"/>
              <w:bottom w:val="single" w:sz="4" w:space="0" w:color="auto"/>
              <w:right w:val="single" w:sz="4" w:space="0" w:color="auto"/>
            </w:tcBorders>
            <w:noWrap/>
            <w:vAlign w:val="bottom"/>
            <w:hideMark/>
          </w:tcPr>
          <w:p w14:paraId="1903AFA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0.06</w:t>
            </w:r>
          </w:p>
        </w:tc>
        <w:tc>
          <w:tcPr>
            <w:tcW w:w="572" w:type="dxa"/>
            <w:tcBorders>
              <w:top w:val="nil"/>
              <w:left w:val="nil"/>
              <w:bottom w:val="single" w:sz="4" w:space="0" w:color="auto"/>
              <w:right w:val="single" w:sz="4" w:space="0" w:color="auto"/>
            </w:tcBorders>
            <w:noWrap/>
            <w:vAlign w:val="bottom"/>
            <w:hideMark/>
          </w:tcPr>
          <w:p w14:paraId="3D769A1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0A02714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0.1</w:t>
            </w:r>
          </w:p>
        </w:tc>
        <w:tc>
          <w:tcPr>
            <w:tcW w:w="704" w:type="dxa"/>
            <w:tcBorders>
              <w:top w:val="nil"/>
              <w:left w:val="nil"/>
              <w:bottom w:val="single" w:sz="4" w:space="0" w:color="auto"/>
              <w:right w:val="single" w:sz="4" w:space="0" w:color="auto"/>
            </w:tcBorders>
            <w:noWrap/>
            <w:vAlign w:val="bottom"/>
            <w:hideMark/>
          </w:tcPr>
          <w:p w14:paraId="1AC13DA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0266659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2D532CD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0.03</w:t>
            </w:r>
          </w:p>
        </w:tc>
        <w:tc>
          <w:tcPr>
            <w:tcW w:w="690" w:type="dxa"/>
            <w:tcBorders>
              <w:top w:val="nil"/>
              <w:left w:val="nil"/>
              <w:bottom w:val="single" w:sz="4" w:space="0" w:color="auto"/>
              <w:right w:val="single" w:sz="4" w:space="0" w:color="auto"/>
            </w:tcBorders>
            <w:noWrap/>
            <w:vAlign w:val="bottom"/>
            <w:hideMark/>
          </w:tcPr>
          <w:p w14:paraId="6AECF52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0.03</w:t>
            </w:r>
          </w:p>
        </w:tc>
        <w:tc>
          <w:tcPr>
            <w:tcW w:w="654" w:type="dxa"/>
            <w:tcBorders>
              <w:top w:val="nil"/>
              <w:left w:val="nil"/>
              <w:bottom w:val="single" w:sz="4" w:space="0" w:color="auto"/>
              <w:right w:val="single" w:sz="4" w:space="0" w:color="auto"/>
            </w:tcBorders>
            <w:noWrap/>
            <w:vAlign w:val="bottom"/>
            <w:hideMark/>
          </w:tcPr>
          <w:p w14:paraId="1F86967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09481CD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2E873F5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1596DC2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5787B5C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0.03</w:t>
            </w:r>
          </w:p>
        </w:tc>
      </w:tr>
      <w:tr w:rsidR="008354B4" w:rsidRPr="00203C37" w14:paraId="440275A9"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6BDA3B47"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BRCA2</w:t>
            </w:r>
          </w:p>
        </w:tc>
        <w:tc>
          <w:tcPr>
            <w:tcW w:w="536" w:type="dxa"/>
            <w:tcBorders>
              <w:top w:val="nil"/>
              <w:left w:val="nil"/>
              <w:bottom w:val="single" w:sz="4" w:space="0" w:color="auto"/>
              <w:right w:val="single" w:sz="4" w:space="0" w:color="auto"/>
            </w:tcBorders>
            <w:noWrap/>
            <w:vAlign w:val="bottom"/>
            <w:hideMark/>
          </w:tcPr>
          <w:p w14:paraId="2E20FD4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0.11</w:t>
            </w:r>
          </w:p>
        </w:tc>
        <w:tc>
          <w:tcPr>
            <w:tcW w:w="584" w:type="dxa"/>
            <w:tcBorders>
              <w:top w:val="nil"/>
              <w:left w:val="nil"/>
              <w:bottom w:val="single" w:sz="4" w:space="0" w:color="auto"/>
              <w:right w:val="single" w:sz="4" w:space="0" w:color="auto"/>
            </w:tcBorders>
            <w:noWrap/>
            <w:vAlign w:val="bottom"/>
            <w:hideMark/>
          </w:tcPr>
          <w:p w14:paraId="42A0F7E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0.05</w:t>
            </w:r>
          </w:p>
        </w:tc>
        <w:tc>
          <w:tcPr>
            <w:tcW w:w="712" w:type="dxa"/>
            <w:tcBorders>
              <w:top w:val="nil"/>
              <w:left w:val="nil"/>
              <w:bottom w:val="single" w:sz="4" w:space="0" w:color="auto"/>
              <w:right w:val="single" w:sz="4" w:space="0" w:color="auto"/>
            </w:tcBorders>
            <w:noWrap/>
            <w:vAlign w:val="bottom"/>
            <w:hideMark/>
          </w:tcPr>
          <w:p w14:paraId="3452A5A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61AA61A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6071C11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0708DB9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0.19</w:t>
            </w:r>
          </w:p>
        </w:tc>
        <w:tc>
          <w:tcPr>
            <w:tcW w:w="704" w:type="dxa"/>
            <w:tcBorders>
              <w:top w:val="nil"/>
              <w:left w:val="nil"/>
              <w:bottom w:val="single" w:sz="4" w:space="0" w:color="auto"/>
              <w:right w:val="single" w:sz="4" w:space="0" w:color="auto"/>
            </w:tcBorders>
            <w:noWrap/>
            <w:vAlign w:val="bottom"/>
            <w:hideMark/>
          </w:tcPr>
          <w:p w14:paraId="79DCA94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215649C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06593A6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282326F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679B850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544A9A6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4D126B36"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56A7D1E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7F2B87B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0EE0B086"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2D68A9BD"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CHEK2</w:t>
            </w:r>
          </w:p>
        </w:tc>
        <w:tc>
          <w:tcPr>
            <w:tcW w:w="536" w:type="dxa"/>
            <w:tcBorders>
              <w:top w:val="nil"/>
              <w:left w:val="nil"/>
              <w:bottom w:val="single" w:sz="4" w:space="0" w:color="auto"/>
              <w:right w:val="single" w:sz="4" w:space="0" w:color="auto"/>
            </w:tcBorders>
            <w:noWrap/>
            <w:vAlign w:val="bottom"/>
            <w:hideMark/>
          </w:tcPr>
          <w:p w14:paraId="23448D3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17EAD48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0.06</w:t>
            </w:r>
          </w:p>
        </w:tc>
        <w:tc>
          <w:tcPr>
            <w:tcW w:w="712" w:type="dxa"/>
            <w:tcBorders>
              <w:top w:val="nil"/>
              <w:left w:val="nil"/>
              <w:bottom w:val="single" w:sz="4" w:space="0" w:color="auto"/>
              <w:right w:val="single" w:sz="4" w:space="0" w:color="auto"/>
            </w:tcBorders>
            <w:noWrap/>
            <w:vAlign w:val="bottom"/>
            <w:hideMark/>
          </w:tcPr>
          <w:p w14:paraId="26E8B69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48B2378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7809A42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24EBC2D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0.09</w:t>
            </w:r>
          </w:p>
        </w:tc>
        <w:tc>
          <w:tcPr>
            <w:tcW w:w="704" w:type="dxa"/>
            <w:tcBorders>
              <w:top w:val="nil"/>
              <w:left w:val="nil"/>
              <w:bottom w:val="single" w:sz="4" w:space="0" w:color="auto"/>
              <w:right w:val="single" w:sz="4" w:space="0" w:color="auto"/>
            </w:tcBorders>
            <w:noWrap/>
            <w:vAlign w:val="bottom"/>
            <w:hideMark/>
          </w:tcPr>
          <w:p w14:paraId="039E750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70FBFC2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0E05855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04D9295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1A145E3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1A6FAC9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493BF3D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1C057B2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19528C6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45F83A97"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5CE0B023"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ATM</w:t>
            </w:r>
          </w:p>
        </w:tc>
        <w:tc>
          <w:tcPr>
            <w:tcW w:w="536" w:type="dxa"/>
            <w:tcBorders>
              <w:top w:val="nil"/>
              <w:left w:val="nil"/>
              <w:bottom w:val="single" w:sz="4" w:space="0" w:color="auto"/>
              <w:right w:val="single" w:sz="4" w:space="0" w:color="auto"/>
            </w:tcBorders>
            <w:noWrap/>
            <w:vAlign w:val="bottom"/>
            <w:hideMark/>
          </w:tcPr>
          <w:p w14:paraId="32D2160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40A469F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7E828EA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71A8BAD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7115DB0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6E8133B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6DA939D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101D930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599F236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0.25</w:t>
            </w:r>
          </w:p>
        </w:tc>
        <w:tc>
          <w:tcPr>
            <w:tcW w:w="690" w:type="dxa"/>
            <w:tcBorders>
              <w:top w:val="nil"/>
              <w:left w:val="nil"/>
              <w:bottom w:val="single" w:sz="4" w:space="0" w:color="auto"/>
              <w:right w:val="single" w:sz="4" w:space="0" w:color="auto"/>
            </w:tcBorders>
            <w:noWrap/>
            <w:vAlign w:val="bottom"/>
            <w:hideMark/>
          </w:tcPr>
          <w:p w14:paraId="491D08E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79EC008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6DDE119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7B569F8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4533FD9A"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7694CFE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5579D5B3"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5EEC87E6"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PTEN</w:t>
            </w:r>
          </w:p>
        </w:tc>
        <w:tc>
          <w:tcPr>
            <w:tcW w:w="536" w:type="dxa"/>
            <w:tcBorders>
              <w:top w:val="nil"/>
              <w:left w:val="nil"/>
              <w:bottom w:val="single" w:sz="4" w:space="0" w:color="auto"/>
              <w:right w:val="single" w:sz="4" w:space="0" w:color="auto"/>
            </w:tcBorders>
            <w:noWrap/>
            <w:vAlign w:val="bottom"/>
            <w:hideMark/>
          </w:tcPr>
          <w:p w14:paraId="3326629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0.05</w:t>
            </w:r>
          </w:p>
        </w:tc>
        <w:tc>
          <w:tcPr>
            <w:tcW w:w="584" w:type="dxa"/>
            <w:tcBorders>
              <w:top w:val="nil"/>
              <w:left w:val="nil"/>
              <w:bottom w:val="single" w:sz="4" w:space="0" w:color="auto"/>
              <w:right w:val="single" w:sz="4" w:space="0" w:color="auto"/>
            </w:tcBorders>
            <w:noWrap/>
            <w:vAlign w:val="bottom"/>
            <w:hideMark/>
          </w:tcPr>
          <w:p w14:paraId="62A1F5A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0.1</w:t>
            </w:r>
          </w:p>
        </w:tc>
        <w:tc>
          <w:tcPr>
            <w:tcW w:w="712" w:type="dxa"/>
            <w:tcBorders>
              <w:top w:val="nil"/>
              <w:left w:val="nil"/>
              <w:bottom w:val="single" w:sz="4" w:space="0" w:color="auto"/>
              <w:right w:val="single" w:sz="4" w:space="0" w:color="auto"/>
            </w:tcBorders>
            <w:noWrap/>
            <w:vAlign w:val="bottom"/>
            <w:hideMark/>
          </w:tcPr>
          <w:p w14:paraId="7A58FE1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0.19</w:t>
            </w:r>
          </w:p>
        </w:tc>
        <w:tc>
          <w:tcPr>
            <w:tcW w:w="701" w:type="dxa"/>
            <w:tcBorders>
              <w:top w:val="nil"/>
              <w:left w:val="nil"/>
              <w:bottom w:val="single" w:sz="4" w:space="0" w:color="auto"/>
              <w:right w:val="single" w:sz="4" w:space="0" w:color="auto"/>
            </w:tcBorders>
            <w:noWrap/>
            <w:vAlign w:val="bottom"/>
            <w:hideMark/>
          </w:tcPr>
          <w:p w14:paraId="4318F26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0.09</w:t>
            </w:r>
          </w:p>
        </w:tc>
        <w:tc>
          <w:tcPr>
            <w:tcW w:w="572" w:type="dxa"/>
            <w:tcBorders>
              <w:top w:val="nil"/>
              <w:left w:val="nil"/>
              <w:bottom w:val="single" w:sz="4" w:space="0" w:color="auto"/>
              <w:right w:val="single" w:sz="4" w:space="0" w:color="auto"/>
            </w:tcBorders>
            <w:noWrap/>
            <w:vAlign w:val="bottom"/>
            <w:hideMark/>
          </w:tcPr>
          <w:p w14:paraId="2F1833D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4E8A3B9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281DD4D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1B7A4D8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3DFC708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1875F85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00C5AAE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3A3B273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0A5BDF5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0192FB2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7EBA8B2A"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0.1</w:t>
            </w:r>
          </w:p>
        </w:tc>
      </w:tr>
      <w:tr w:rsidR="008354B4" w:rsidRPr="00203C37" w14:paraId="1A1D26E9"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3E081AC1"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CDK12</w:t>
            </w:r>
          </w:p>
        </w:tc>
        <w:tc>
          <w:tcPr>
            <w:tcW w:w="536" w:type="dxa"/>
            <w:tcBorders>
              <w:top w:val="nil"/>
              <w:left w:val="nil"/>
              <w:bottom w:val="single" w:sz="4" w:space="0" w:color="auto"/>
              <w:right w:val="single" w:sz="4" w:space="0" w:color="auto"/>
            </w:tcBorders>
            <w:noWrap/>
            <w:vAlign w:val="bottom"/>
            <w:hideMark/>
          </w:tcPr>
          <w:p w14:paraId="57F7391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42557B5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646AD3C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714CA66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2498C77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1427DDA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586EC12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2BF4060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4B98EC4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44AC30B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1CD496D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22AAC9B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0D081EC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0B91C13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71AD22C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3F303C13"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6B6A65AD"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CHEK1</w:t>
            </w:r>
          </w:p>
        </w:tc>
        <w:tc>
          <w:tcPr>
            <w:tcW w:w="536" w:type="dxa"/>
            <w:tcBorders>
              <w:top w:val="nil"/>
              <w:left w:val="nil"/>
              <w:bottom w:val="single" w:sz="4" w:space="0" w:color="auto"/>
              <w:right w:val="single" w:sz="4" w:space="0" w:color="auto"/>
            </w:tcBorders>
            <w:noWrap/>
            <w:vAlign w:val="bottom"/>
            <w:hideMark/>
          </w:tcPr>
          <w:p w14:paraId="6BCB7E0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78AFC19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09A39ED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6511933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6E49A18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19C5F416"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5A31AD3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3ECEB37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1AC743E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6983E74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044D69A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28DA64F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5D5F130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236A6E4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4514849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6574F51B"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387D71DB"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BRCA1</w:t>
            </w:r>
          </w:p>
        </w:tc>
        <w:tc>
          <w:tcPr>
            <w:tcW w:w="536" w:type="dxa"/>
            <w:tcBorders>
              <w:top w:val="nil"/>
              <w:left w:val="nil"/>
              <w:bottom w:val="single" w:sz="4" w:space="0" w:color="auto"/>
              <w:right w:val="single" w:sz="4" w:space="0" w:color="auto"/>
            </w:tcBorders>
            <w:noWrap/>
            <w:vAlign w:val="bottom"/>
            <w:hideMark/>
          </w:tcPr>
          <w:p w14:paraId="3F85A6F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056230D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0.03</w:t>
            </w:r>
          </w:p>
        </w:tc>
        <w:tc>
          <w:tcPr>
            <w:tcW w:w="712" w:type="dxa"/>
            <w:tcBorders>
              <w:top w:val="nil"/>
              <w:left w:val="nil"/>
              <w:bottom w:val="single" w:sz="4" w:space="0" w:color="auto"/>
              <w:right w:val="single" w:sz="4" w:space="0" w:color="auto"/>
            </w:tcBorders>
            <w:noWrap/>
            <w:vAlign w:val="bottom"/>
            <w:hideMark/>
          </w:tcPr>
          <w:p w14:paraId="22F9427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4F76865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110CDF0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0.25</w:t>
            </w:r>
          </w:p>
        </w:tc>
        <w:tc>
          <w:tcPr>
            <w:tcW w:w="607" w:type="dxa"/>
            <w:tcBorders>
              <w:top w:val="nil"/>
              <w:left w:val="nil"/>
              <w:bottom w:val="single" w:sz="4" w:space="0" w:color="auto"/>
              <w:right w:val="single" w:sz="4" w:space="0" w:color="auto"/>
            </w:tcBorders>
            <w:noWrap/>
            <w:vAlign w:val="bottom"/>
            <w:hideMark/>
          </w:tcPr>
          <w:p w14:paraId="35D3AE3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14D0063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0B8B64B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7DA2A5A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63BAD3B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1158BC5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143D490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0E27E7C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2BF3099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25C3D95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0B5DABD6"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52EBF03D"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PALB2</w:t>
            </w:r>
          </w:p>
        </w:tc>
        <w:tc>
          <w:tcPr>
            <w:tcW w:w="536" w:type="dxa"/>
            <w:tcBorders>
              <w:top w:val="nil"/>
              <w:left w:val="nil"/>
              <w:bottom w:val="single" w:sz="4" w:space="0" w:color="auto"/>
              <w:right w:val="single" w:sz="4" w:space="0" w:color="auto"/>
            </w:tcBorders>
            <w:noWrap/>
            <w:vAlign w:val="bottom"/>
            <w:hideMark/>
          </w:tcPr>
          <w:p w14:paraId="406C2F6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1164253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0.03</w:t>
            </w:r>
          </w:p>
        </w:tc>
        <w:tc>
          <w:tcPr>
            <w:tcW w:w="712" w:type="dxa"/>
            <w:tcBorders>
              <w:top w:val="nil"/>
              <w:left w:val="nil"/>
              <w:bottom w:val="single" w:sz="4" w:space="0" w:color="auto"/>
              <w:right w:val="single" w:sz="4" w:space="0" w:color="auto"/>
            </w:tcBorders>
            <w:noWrap/>
            <w:vAlign w:val="bottom"/>
            <w:hideMark/>
          </w:tcPr>
          <w:p w14:paraId="49F486C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44E4157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7D17D8B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16E1823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644DC94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172EA8D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740F2A7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04DD47EA"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381C9B7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3C85450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5FB5EFB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61BB097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5F66F1F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059CE661"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2395E412"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BRIP1</w:t>
            </w:r>
          </w:p>
        </w:tc>
        <w:tc>
          <w:tcPr>
            <w:tcW w:w="536" w:type="dxa"/>
            <w:tcBorders>
              <w:top w:val="nil"/>
              <w:left w:val="nil"/>
              <w:bottom w:val="single" w:sz="4" w:space="0" w:color="auto"/>
              <w:right w:val="single" w:sz="4" w:space="0" w:color="auto"/>
            </w:tcBorders>
            <w:noWrap/>
            <w:vAlign w:val="bottom"/>
            <w:hideMark/>
          </w:tcPr>
          <w:p w14:paraId="485B4A46"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713D410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55F5D04A"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524479D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280296C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065F253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0B22749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43DE6EC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474CF0E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6DC1DC1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4125AEA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5DAA3B5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66B48B4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374FB52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07E55FE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4B4C99E4"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6F3ED953"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RAD54L</w:t>
            </w:r>
          </w:p>
        </w:tc>
        <w:tc>
          <w:tcPr>
            <w:tcW w:w="536" w:type="dxa"/>
            <w:tcBorders>
              <w:top w:val="nil"/>
              <w:left w:val="nil"/>
              <w:bottom w:val="single" w:sz="4" w:space="0" w:color="auto"/>
              <w:right w:val="single" w:sz="4" w:space="0" w:color="auto"/>
            </w:tcBorders>
            <w:noWrap/>
            <w:vAlign w:val="bottom"/>
            <w:hideMark/>
          </w:tcPr>
          <w:p w14:paraId="592426E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5AF67A4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3CBF2096"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0B51E5F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5FEF4B6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7A2BB99A"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7A7C425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0C09744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61BD65B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39F4B6C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7C142C0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2CEA1CE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2C63964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0388B26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2E31E5E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26F402DE"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54B89FA9"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RAD51B</w:t>
            </w:r>
          </w:p>
        </w:tc>
        <w:tc>
          <w:tcPr>
            <w:tcW w:w="536" w:type="dxa"/>
            <w:tcBorders>
              <w:top w:val="nil"/>
              <w:left w:val="nil"/>
              <w:bottom w:val="single" w:sz="4" w:space="0" w:color="auto"/>
              <w:right w:val="single" w:sz="4" w:space="0" w:color="auto"/>
            </w:tcBorders>
            <w:noWrap/>
            <w:vAlign w:val="bottom"/>
            <w:hideMark/>
          </w:tcPr>
          <w:p w14:paraId="49D1FC7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17CE8A6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699FE42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3600DDD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5A4AB4D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7F08064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71E6974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364680C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49C7CB4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10CE535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565FDD56"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36BB16F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426BE83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40B7E5C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69F63FA1"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0007893E"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7A1ED064"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FANCL</w:t>
            </w:r>
          </w:p>
        </w:tc>
        <w:tc>
          <w:tcPr>
            <w:tcW w:w="536" w:type="dxa"/>
            <w:tcBorders>
              <w:top w:val="nil"/>
              <w:left w:val="nil"/>
              <w:bottom w:val="single" w:sz="4" w:space="0" w:color="auto"/>
              <w:right w:val="single" w:sz="4" w:space="0" w:color="auto"/>
            </w:tcBorders>
            <w:noWrap/>
            <w:vAlign w:val="bottom"/>
            <w:hideMark/>
          </w:tcPr>
          <w:p w14:paraId="0B2D930E"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6E6F23F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38C407E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536F4FD4"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705652FA"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3ABA2E4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4" w:type="dxa"/>
            <w:tcBorders>
              <w:top w:val="nil"/>
              <w:left w:val="nil"/>
              <w:bottom w:val="single" w:sz="4" w:space="0" w:color="auto"/>
              <w:right w:val="single" w:sz="4" w:space="0" w:color="auto"/>
            </w:tcBorders>
            <w:noWrap/>
            <w:vAlign w:val="bottom"/>
            <w:hideMark/>
          </w:tcPr>
          <w:p w14:paraId="138EB54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64CC7FCA"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144F47E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4086CC8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0E62105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6318DE1F"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4C0E3E47"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5977FCAA"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6B24DB8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r w:rsidR="008354B4" w:rsidRPr="00203C37" w14:paraId="4EC7813A" w14:textId="77777777" w:rsidTr="008354B4">
        <w:trPr>
          <w:trHeight w:val="305"/>
        </w:trPr>
        <w:tc>
          <w:tcPr>
            <w:tcW w:w="824" w:type="dxa"/>
            <w:tcBorders>
              <w:top w:val="nil"/>
              <w:left w:val="single" w:sz="4" w:space="0" w:color="auto"/>
              <w:bottom w:val="single" w:sz="4" w:space="0" w:color="auto"/>
              <w:right w:val="single" w:sz="4" w:space="0" w:color="auto"/>
            </w:tcBorders>
            <w:noWrap/>
            <w:vAlign w:val="bottom"/>
            <w:hideMark/>
          </w:tcPr>
          <w:p w14:paraId="3C28BAE8" w14:textId="77777777" w:rsidR="00203C37" w:rsidRPr="00203C37" w:rsidRDefault="00203C37" w:rsidP="00203C37">
            <w:pPr>
              <w:spacing w:after="0" w:line="240" w:lineRule="auto"/>
              <w:rPr>
                <w:rFonts w:ascii="Calibri" w:eastAsia="Times New Roman" w:hAnsi="Calibri" w:cs="Calibri"/>
                <w:b/>
                <w:bCs/>
                <w:i/>
                <w:iCs/>
                <w:color w:val="000000"/>
                <w:sz w:val="18"/>
                <w:szCs w:val="18"/>
                <w:lang w:val="en-US"/>
              </w:rPr>
            </w:pPr>
            <w:r w:rsidRPr="00203C37">
              <w:rPr>
                <w:rFonts w:ascii="Calibri" w:eastAsia="Times New Roman" w:hAnsi="Calibri" w:cs="Calibri"/>
                <w:b/>
                <w:bCs/>
                <w:i/>
                <w:iCs/>
                <w:color w:val="000000"/>
                <w:sz w:val="18"/>
                <w:szCs w:val="18"/>
                <w:lang w:val="en-US"/>
              </w:rPr>
              <w:t>BARD1</w:t>
            </w:r>
          </w:p>
        </w:tc>
        <w:tc>
          <w:tcPr>
            <w:tcW w:w="536" w:type="dxa"/>
            <w:tcBorders>
              <w:top w:val="nil"/>
              <w:left w:val="nil"/>
              <w:bottom w:val="single" w:sz="4" w:space="0" w:color="auto"/>
              <w:right w:val="single" w:sz="4" w:space="0" w:color="auto"/>
            </w:tcBorders>
            <w:noWrap/>
            <w:vAlign w:val="bottom"/>
            <w:hideMark/>
          </w:tcPr>
          <w:p w14:paraId="019736A5"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84" w:type="dxa"/>
            <w:tcBorders>
              <w:top w:val="nil"/>
              <w:left w:val="nil"/>
              <w:bottom w:val="single" w:sz="4" w:space="0" w:color="auto"/>
              <w:right w:val="single" w:sz="4" w:space="0" w:color="auto"/>
            </w:tcBorders>
            <w:noWrap/>
            <w:vAlign w:val="bottom"/>
            <w:hideMark/>
          </w:tcPr>
          <w:p w14:paraId="21180952"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0.03</w:t>
            </w:r>
          </w:p>
        </w:tc>
        <w:tc>
          <w:tcPr>
            <w:tcW w:w="712" w:type="dxa"/>
            <w:tcBorders>
              <w:top w:val="nil"/>
              <w:left w:val="nil"/>
              <w:bottom w:val="single" w:sz="4" w:space="0" w:color="auto"/>
              <w:right w:val="single" w:sz="4" w:space="0" w:color="auto"/>
            </w:tcBorders>
            <w:noWrap/>
            <w:vAlign w:val="bottom"/>
            <w:hideMark/>
          </w:tcPr>
          <w:p w14:paraId="322A5D2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1E44F97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572" w:type="dxa"/>
            <w:tcBorders>
              <w:top w:val="nil"/>
              <w:left w:val="nil"/>
              <w:bottom w:val="single" w:sz="4" w:space="0" w:color="auto"/>
              <w:right w:val="single" w:sz="4" w:space="0" w:color="auto"/>
            </w:tcBorders>
            <w:noWrap/>
            <w:vAlign w:val="bottom"/>
            <w:hideMark/>
          </w:tcPr>
          <w:p w14:paraId="57228329"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07" w:type="dxa"/>
            <w:tcBorders>
              <w:top w:val="nil"/>
              <w:left w:val="nil"/>
              <w:bottom w:val="single" w:sz="4" w:space="0" w:color="auto"/>
              <w:right w:val="single" w:sz="4" w:space="0" w:color="auto"/>
            </w:tcBorders>
            <w:noWrap/>
            <w:vAlign w:val="bottom"/>
            <w:hideMark/>
          </w:tcPr>
          <w:p w14:paraId="620E9DF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0.1</w:t>
            </w:r>
          </w:p>
        </w:tc>
        <w:tc>
          <w:tcPr>
            <w:tcW w:w="704" w:type="dxa"/>
            <w:tcBorders>
              <w:top w:val="nil"/>
              <w:left w:val="nil"/>
              <w:bottom w:val="single" w:sz="4" w:space="0" w:color="auto"/>
              <w:right w:val="single" w:sz="4" w:space="0" w:color="auto"/>
            </w:tcBorders>
            <w:noWrap/>
            <w:vAlign w:val="bottom"/>
            <w:hideMark/>
          </w:tcPr>
          <w:p w14:paraId="65CDE0D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01" w:type="dxa"/>
            <w:tcBorders>
              <w:top w:val="nil"/>
              <w:left w:val="nil"/>
              <w:bottom w:val="single" w:sz="4" w:space="0" w:color="auto"/>
              <w:right w:val="single" w:sz="4" w:space="0" w:color="auto"/>
            </w:tcBorders>
            <w:noWrap/>
            <w:vAlign w:val="bottom"/>
            <w:hideMark/>
          </w:tcPr>
          <w:p w14:paraId="2637A473"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12" w:type="dxa"/>
            <w:tcBorders>
              <w:top w:val="nil"/>
              <w:left w:val="nil"/>
              <w:bottom w:val="single" w:sz="4" w:space="0" w:color="auto"/>
              <w:right w:val="single" w:sz="4" w:space="0" w:color="auto"/>
            </w:tcBorders>
            <w:noWrap/>
            <w:vAlign w:val="bottom"/>
            <w:hideMark/>
          </w:tcPr>
          <w:p w14:paraId="3FAC8B6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0" w:type="dxa"/>
            <w:tcBorders>
              <w:top w:val="nil"/>
              <w:left w:val="nil"/>
              <w:bottom w:val="single" w:sz="4" w:space="0" w:color="auto"/>
              <w:right w:val="single" w:sz="4" w:space="0" w:color="auto"/>
            </w:tcBorders>
            <w:noWrap/>
            <w:vAlign w:val="bottom"/>
            <w:hideMark/>
          </w:tcPr>
          <w:p w14:paraId="596D783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54" w:type="dxa"/>
            <w:tcBorders>
              <w:top w:val="nil"/>
              <w:left w:val="nil"/>
              <w:bottom w:val="single" w:sz="4" w:space="0" w:color="auto"/>
              <w:right w:val="single" w:sz="4" w:space="0" w:color="auto"/>
            </w:tcBorders>
            <w:noWrap/>
            <w:vAlign w:val="bottom"/>
            <w:hideMark/>
          </w:tcPr>
          <w:p w14:paraId="57A8ADFD"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99" w:type="dxa"/>
            <w:tcBorders>
              <w:top w:val="nil"/>
              <w:left w:val="nil"/>
              <w:bottom w:val="single" w:sz="4" w:space="0" w:color="auto"/>
              <w:right w:val="single" w:sz="4" w:space="0" w:color="auto"/>
            </w:tcBorders>
            <w:noWrap/>
            <w:vAlign w:val="bottom"/>
            <w:hideMark/>
          </w:tcPr>
          <w:p w14:paraId="7D27B9F8"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824" w:type="dxa"/>
            <w:tcBorders>
              <w:top w:val="nil"/>
              <w:left w:val="nil"/>
              <w:bottom w:val="single" w:sz="4" w:space="0" w:color="auto"/>
              <w:right w:val="single" w:sz="4" w:space="0" w:color="auto"/>
            </w:tcBorders>
            <w:noWrap/>
            <w:vAlign w:val="bottom"/>
            <w:hideMark/>
          </w:tcPr>
          <w:p w14:paraId="781650FB"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696" w:type="dxa"/>
            <w:tcBorders>
              <w:top w:val="nil"/>
              <w:left w:val="nil"/>
              <w:bottom w:val="single" w:sz="4" w:space="0" w:color="auto"/>
              <w:right w:val="single" w:sz="4" w:space="0" w:color="auto"/>
            </w:tcBorders>
            <w:noWrap/>
            <w:vAlign w:val="bottom"/>
            <w:hideMark/>
          </w:tcPr>
          <w:p w14:paraId="0B2DB0FC"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c>
          <w:tcPr>
            <w:tcW w:w="733" w:type="dxa"/>
            <w:tcBorders>
              <w:top w:val="nil"/>
              <w:left w:val="nil"/>
              <w:bottom w:val="single" w:sz="4" w:space="0" w:color="auto"/>
              <w:right w:val="single" w:sz="4" w:space="0" w:color="auto"/>
            </w:tcBorders>
            <w:noWrap/>
            <w:vAlign w:val="bottom"/>
            <w:hideMark/>
          </w:tcPr>
          <w:p w14:paraId="72EB7A80" w14:textId="77777777" w:rsidR="00203C37" w:rsidRPr="00203C37" w:rsidRDefault="00203C37" w:rsidP="00203C37">
            <w:pPr>
              <w:spacing w:after="0" w:line="240" w:lineRule="auto"/>
              <w:jc w:val="right"/>
              <w:rPr>
                <w:rFonts w:ascii="Calibri" w:eastAsia="Times New Roman" w:hAnsi="Calibri" w:cs="Calibri"/>
                <w:color w:val="000000"/>
                <w:sz w:val="18"/>
                <w:szCs w:val="18"/>
                <w:lang w:val="en-US"/>
              </w:rPr>
            </w:pPr>
            <w:r w:rsidRPr="00203C37">
              <w:rPr>
                <w:rFonts w:ascii="Calibri" w:eastAsia="Times New Roman" w:hAnsi="Calibri" w:cs="Calibri"/>
                <w:color w:val="000000"/>
                <w:sz w:val="18"/>
                <w:szCs w:val="18"/>
                <w:lang w:val="en-US"/>
              </w:rPr>
              <w:t>0</w:t>
            </w:r>
          </w:p>
        </w:tc>
      </w:tr>
    </w:tbl>
    <w:p w14:paraId="24C2FD90" w14:textId="77777777" w:rsidR="00203C37" w:rsidRPr="00203C37" w:rsidRDefault="00203C37" w:rsidP="00203C37">
      <w:pPr>
        <w:rPr>
          <w:lang w:val="en-US" w:eastAsia="zh-CN"/>
        </w:rPr>
      </w:pPr>
    </w:p>
    <w:p w14:paraId="15A92B0F" w14:textId="77777777" w:rsidR="00045D2C" w:rsidRDefault="00000000" w:rsidP="005A6760">
      <w:pPr>
        <w:spacing w:line="360" w:lineRule="auto"/>
        <w:rPr>
          <w:b/>
          <w:lang w:val="en-US"/>
        </w:rPr>
      </w:pPr>
      <w:r>
        <w:rPr>
          <w:b/>
          <w:lang w:val="en-US"/>
        </w:rPr>
        <w:br w:type="page"/>
      </w:r>
    </w:p>
    <w:p w14:paraId="15E5AA21" w14:textId="0CD3705A" w:rsidR="00045D2C" w:rsidRDefault="00322A14" w:rsidP="005A6760">
      <w:pPr>
        <w:pStyle w:val="Heading1"/>
        <w:spacing w:line="360" w:lineRule="auto"/>
        <w:rPr>
          <w:b w:val="0"/>
        </w:rPr>
      </w:pPr>
      <w:bookmarkStart w:id="16" w:name="_Toc212073440"/>
      <w:r>
        <w:rPr>
          <w:b w:val="0"/>
        </w:rPr>
        <w:lastRenderedPageBreak/>
        <w:t>Supplementary Figures</w:t>
      </w:r>
      <w:bookmarkEnd w:id="16"/>
    </w:p>
    <w:p w14:paraId="26BC7900" w14:textId="352298D5" w:rsidR="00045D2C" w:rsidRDefault="00000000" w:rsidP="005A6760">
      <w:pPr>
        <w:spacing w:line="360" w:lineRule="auto"/>
        <w:jc w:val="both"/>
        <w:rPr>
          <w:bCs/>
          <w:lang w:val="en-US"/>
        </w:rPr>
      </w:pPr>
      <w:r w:rsidRPr="00322A14">
        <w:rPr>
          <w:rStyle w:val="Heading2Char"/>
          <w:noProof/>
        </w:rPr>
        <w:drawing>
          <wp:anchor distT="0" distB="0" distL="114300" distR="114300" simplePos="0" relativeHeight="251659264" behindDoc="0" locked="0" layoutInCell="1" allowOverlap="1" wp14:anchorId="3FE31441" wp14:editId="058CCECB">
            <wp:simplePos x="0" y="0"/>
            <wp:positionH relativeFrom="column">
              <wp:posOffset>159385</wp:posOffset>
            </wp:positionH>
            <wp:positionV relativeFrom="paragraph">
              <wp:posOffset>0</wp:posOffset>
            </wp:positionV>
            <wp:extent cx="5140325" cy="3916680"/>
            <wp:effectExtent l="0" t="0" r="0"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noChangeArrowheads="1"/>
                    </pic:cNvPicPr>
                  </pic:nvPicPr>
                  <pic:blipFill>
                    <a:blip r:embed="rId8">
                      <a:extLst>
                        <a:ext uri="{96DAC541-7B7A-43D3-8B79-37D633B846F1}">
                          <asvg:svgBlip xmlns:asvg="http://schemas.microsoft.com/office/drawing/2016/SVG/main" r:embed="rId9"/>
                        </a:ext>
                      </a:extLst>
                    </a:blip>
                    <a:stretch>
                      <a:fillRect/>
                    </a:stretch>
                  </pic:blipFill>
                  <pic:spPr>
                    <a:xfrm>
                      <a:off x="0" y="0"/>
                      <a:ext cx="5156151" cy="3928642"/>
                    </a:xfrm>
                    <a:prstGeom prst="rect">
                      <a:avLst/>
                    </a:prstGeom>
                  </pic:spPr>
                </pic:pic>
              </a:graphicData>
            </a:graphic>
          </wp:anchor>
        </w:drawing>
      </w:r>
      <w:bookmarkStart w:id="17" w:name="_Toc212073441"/>
      <w:r w:rsidRPr="007B04C7">
        <w:rPr>
          <w:rStyle w:val="Heading2Char"/>
          <w:lang w:val="en-US"/>
        </w:rPr>
        <w:t xml:space="preserve">Supplementary Figure 1. Summary of tumor fractions assessed by </w:t>
      </w:r>
      <w:proofErr w:type="spellStart"/>
      <w:r w:rsidRPr="007B04C7">
        <w:rPr>
          <w:rStyle w:val="Heading2Char"/>
          <w:lang w:val="en-US"/>
        </w:rPr>
        <w:t>mFAST-SeqS</w:t>
      </w:r>
      <w:proofErr w:type="spellEnd"/>
      <w:r w:rsidRPr="007B04C7">
        <w:rPr>
          <w:rStyle w:val="Heading2Char"/>
          <w:lang w:val="en-US"/>
        </w:rPr>
        <w:t xml:space="preserve"> and </w:t>
      </w:r>
      <w:proofErr w:type="spellStart"/>
      <w:r w:rsidRPr="007B04C7">
        <w:rPr>
          <w:rStyle w:val="Heading2Char"/>
          <w:lang w:val="en-US"/>
        </w:rPr>
        <w:t>lpWGS</w:t>
      </w:r>
      <w:proofErr w:type="spellEnd"/>
      <w:r w:rsidRPr="007B04C7">
        <w:rPr>
          <w:rStyle w:val="Heading2Char"/>
          <w:lang w:val="en-US"/>
        </w:rPr>
        <w:t>.</w:t>
      </w:r>
      <w:bookmarkEnd w:id="17"/>
      <w:r>
        <w:rPr>
          <w:bCs/>
          <w:lang w:val="en-US"/>
        </w:rPr>
        <w:t xml:space="preserve"> </w:t>
      </w:r>
      <w:r>
        <w:rPr>
          <w:b/>
          <w:lang w:val="en-US"/>
        </w:rPr>
        <w:t>A)</w:t>
      </w:r>
      <w:r>
        <w:rPr>
          <w:bCs/>
          <w:lang w:val="en-US"/>
        </w:rPr>
        <w:t xml:space="preserve"> Histogram of Z-scores derived from </w:t>
      </w:r>
      <w:proofErr w:type="spellStart"/>
      <w:r>
        <w:rPr>
          <w:bCs/>
          <w:lang w:val="en-US"/>
        </w:rPr>
        <w:t>mFAST-SeqS</w:t>
      </w:r>
      <w:proofErr w:type="spellEnd"/>
      <w:r>
        <w:rPr>
          <w:bCs/>
          <w:lang w:val="en-US"/>
        </w:rPr>
        <w:t xml:space="preserve"> across 898 plasma samples from 375 prostate cancer patients. A threshold of Z &gt; 5 was used to enrich for samples with estimated TF ≥ 5–10%. </w:t>
      </w:r>
      <w:r>
        <w:rPr>
          <w:b/>
          <w:lang w:val="en-US"/>
        </w:rPr>
        <w:t>B)</w:t>
      </w:r>
      <w:r>
        <w:rPr>
          <w:bCs/>
          <w:lang w:val="en-US"/>
        </w:rPr>
        <w:t xml:space="preserve"> Proportion of samples above and below the Z-score cutoff. </w:t>
      </w:r>
      <w:r>
        <w:rPr>
          <w:b/>
          <w:lang w:val="en-US"/>
        </w:rPr>
        <w:t>C)</w:t>
      </w:r>
      <w:r>
        <w:rPr>
          <w:bCs/>
          <w:lang w:val="en-US"/>
        </w:rPr>
        <w:t xml:space="preserve"> Boxplot of Z-scores (log scale) in all samples, those above the cutoff, and the final high-TF subset used for genomic analysis. </w:t>
      </w:r>
      <w:r>
        <w:rPr>
          <w:b/>
          <w:lang w:val="en-US"/>
        </w:rPr>
        <w:t>D)</w:t>
      </w:r>
      <w:r>
        <w:rPr>
          <w:bCs/>
          <w:lang w:val="en-US"/>
        </w:rPr>
        <w:t xml:space="preserve"> Z-score distribution across four clinical subgroups: castration-resistant prostate cancer (CRPC), hormone-sensitive prostate cancer (HSPC), neuroendocrine prostate cancer (</w:t>
      </w:r>
      <w:proofErr w:type="spellStart"/>
      <w:r>
        <w:rPr>
          <w:bCs/>
          <w:lang w:val="en-US"/>
        </w:rPr>
        <w:t>nePC</w:t>
      </w:r>
      <w:proofErr w:type="spellEnd"/>
      <w:r>
        <w:rPr>
          <w:bCs/>
          <w:lang w:val="en-US"/>
        </w:rPr>
        <w:t xml:space="preserve">), and unclassified (Unk). </w:t>
      </w:r>
      <w:r>
        <w:rPr>
          <w:b/>
          <w:lang w:val="en-US"/>
        </w:rPr>
        <w:t xml:space="preserve">E) </w:t>
      </w:r>
      <w:r>
        <w:rPr>
          <w:bCs/>
          <w:lang w:val="en-US"/>
        </w:rPr>
        <w:t xml:space="preserve">Tumor fraction (TF) distribution across </w:t>
      </w:r>
      <w:proofErr w:type="spellStart"/>
      <w:r>
        <w:rPr>
          <w:bCs/>
          <w:lang w:val="en-US"/>
        </w:rPr>
        <w:t>across</w:t>
      </w:r>
      <w:proofErr w:type="spellEnd"/>
      <w:r>
        <w:rPr>
          <w:bCs/>
          <w:lang w:val="en-US"/>
        </w:rPr>
        <w:t xml:space="preserve"> the same subgroups. </w:t>
      </w:r>
      <w:r>
        <w:rPr>
          <w:b/>
          <w:lang w:val="en-US"/>
        </w:rPr>
        <w:t>F)</w:t>
      </w:r>
      <w:r>
        <w:rPr>
          <w:bCs/>
          <w:lang w:val="en-US"/>
        </w:rPr>
        <w:t xml:space="preserve"> </w:t>
      </w:r>
      <w:proofErr w:type="spellStart"/>
      <w:r>
        <w:rPr>
          <w:bCs/>
          <w:lang w:val="en-US"/>
        </w:rPr>
        <w:t>sHRD</w:t>
      </w:r>
      <w:proofErr w:type="spellEnd"/>
      <w:r>
        <w:rPr>
          <w:bCs/>
          <w:lang w:val="en-US"/>
        </w:rPr>
        <w:t xml:space="preserve"> scores across the same subgroups. A significant difference in </w:t>
      </w:r>
      <w:proofErr w:type="spellStart"/>
      <w:r>
        <w:rPr>
          <w:bCs/>
          <w:lang w:val="en-US"/>
        </w:rPr>
        <w:t>sHRD</w:t>
      </w:r>
      <w:proofErr w:type="spellEnd"/>
      <w:r>
        <w:rPr>
          <w:bCs/>
          <w:lang w:val="en-US"/>
        </w:rPr>
        <w:t xml:space="preserve"> was observed between </w:t>
      </w:r>
      <w:proofErr w:type="spellStart"/>
      <w:r>
        <w:rPr>
          <w:bCs/>
          <w:lang w:val="en-US"/>
        </w:rPr>
        <w:t>mCRPC</w:t>
      </w:r>
      <w:proofErr w:type="spellEnd"/>
      <w:r>
        <w:rPr>
          <w:bCs/>
          <w:lang w:val="en-US"/>
        </w:rPr>
        <w:t xml:space="preserve"> and </w:t>
      </w:r>
      <w:proofErr w:type="spellStart"/>
      <w:r>
        <w:rPr>
          <w:bCs/>
          <w:lang w:val="en-US"/>
        </w:rPr>
        <w:t>mHSPC</w:t>
      </w:r>
      <w:proofErr w:type="spellEnd"/>
      <w:r>
        <w:rPr>
          <w:bCs/>
          <w:lang w:val="en-US"/>
        </w:rPr>
        <w:t xml:space="preserve"> groups (p &lt; 0.001, </w:t>
      </w:r>
      <w:r w:rsidR="00BE1464">
        <w:rPr>
          <w:bCs/>
          <w:lang w:val="en-US"/>
        </w:rPr>
        <w:t xml:space="preserve">two-sided </w:t>
      </w:r>
      <w:r>
        <w:rPr>
          <w:bCs/>
          <w:lang w:val="en-US"/>
        </w:rPr>
        <w:t>Mann–Whitney U test). In all boxplots, the center line denotes the median, box edges indicate the interquartile range (IQR), and whiskers extend to 1.5× IQR. Individual data points are overlaid as black dots.</w:t>
      </w:r>
    </w:p>
    <w:p w14:paraId="277AB3A4" w14:textId="77777777" w:rsidR="00045D2C" w:rsidRDefault="00000000" w:rsidP="005A6760">
      <w:pPr>
        <w:spacing w:line="360" w:lineRule="auto"/>
        <w:rPr>
          <w:bCs/>
          <w:lang w:val="en-US"/>
        </w:rPr>
      </w:pPr>
      <w:r>
        <w:rPr>
          <w:bCs/>
          <w:lang w:val="en-US"/>
        </w:rPr>
        <w:br w:type="page"/>
      </w:r>
    </w:p>
    <w:p w14:paraId="294A6EB9" w14:textId="77777777" w:rsidR="00045D2C" w:rsidRDefault="00000000" w:rsidP="005A6760">
      <w:pPr>
        <w:spacing w:line="360" w:lineRule="auto"/>
        <w:rPr>
          <w:bCs/>
          <w:lang w:val="en-US"/>
        </w:rPr>
      </w:pPr>
      <w:r>
        <w:rPr>
          <w:b/>
          <w:i/>
          <w:noProof/>
          <w:lang w:val="en-US"/>
        </w:rPr>
        <w:lastRenderedPageBreak/>
        <w:drawing>
          <wp:anchor distT="0" distB="0" distL="114300" distR="114300" simplePos="0" relativeHeight="251666432" behindDoc="0" locked="0" layoutInCell="1" allowOverlap="1" wp14:anchorId="05E5F8AC" wp14:editId="6281976E">
            <wp:simplePos x="0" y="0"/>
            <wp:positionH relativeFrom="margin">
              <wp:posOffset>10795</wp:posOffset>
            </wp:positionH>
            <wp:positionV relativeFrom="paragraph">
              <wp:posOffset>40640</wp:posOffset>
            </wp:positionV>
            <wp:extent cx="5749290" cy="2461895"/>
            <wp:effectExtent l="0" t="0" r="0" b="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a:blip r:embed="rId10">
                      <a:extLst>
                        <a:ext uri="{96DAC541-7B7A-43D3-8B79-37D633B846F1}">
                          <asvg:svgBlip xmlns:asvg="http://schemas.microsoft.com/office/drawing/2016/SVG/main" r:embed="rId11"/>
                        </a:ext>
                      </a:extLst>
                    </a:blip>
                    <a:stretch>
                      <a:fillRect/>
                    </a:stretch>
                  </pic:blipFill>
                  <pic:spPr>
                    <a:xfrm>
                      <a:off x="0" y="0"/>
                      <a:ext cx="5749290" cy="2461895"/>
                    </a:xfrm>
                    <a:prstGeom prst="rect">
                      <a:avLst/>
                    </a:prstGeom>
                  </pic:spPr>
                </pic:pic>
              </a:graphicData>
            </a:graphic>
          </wp:anchor>
        </w:drawing>
      </w:r>
    </w:p>
    <w:p w14:paraId="27868860" w14:textId="77777777" w:rsidR="00045D2C" w:rsidRDefault="00000000" w:rsidP="005A6760">
      <w:pPr>
        <w:spacing w:line="360" w:lineRule="auto"/>
        <w:jc w:val="both"/>
        <w:rPr>
          <w:lang w:val="en-US"/>
        </w:rPr>
      </w:pPr>
      <w:bookmarkStart w:id="18" w:name="_Toc212073442"/>
      <w:r w:rsidRPr="007B04C7">
        <w:rPr>
          <w:rStyle w:val="Heading2Char"/>
          <w:lang w:val="en-US"/>
        </w:rPr>
        <w:t xml:space="preserve">Supplementary Figure 2. Kaplan Meier plots stratifying the patients by </w:t>
      </w:r>
      <w:proofErr w:type="spellStart"/>
      <w:r w:rsidRPr="007B04C7">
        <w:rPr>
          <w:rStyle w:val="Heading2Char"/>
          <w:lang w:val="en-US"/>
        </w:rPr>
        <w:t>PCa</w:t>
      </w:r>
      <w:proofErr w:type="spellEnd"/>
      <w:r w:rsidRPr="007B04C7">
        <w:rPr>
          <w:rStyle w:val="Heading2Char"/>
          <w:lang w:val="en-US"/>
        </w:rPr>
        <w:t xml:space="preserve"> subtype.</w:t>
      </w:r>
      <w:bookmarkEnd w:id="18"/>
      <w:r>
        <w:rPr>
          <w:b/>
          <w:lang w:val="en-US"/>
        </w:rPr>
        <w:t xml:space="preserve"> </w:t>
      </w:r>
      <w:r>
        <w:rPr>
          <w:b/>
          <w:bCs/>
          <w:lang w:val="en-US"/>
        </w:rPr>
        <w:t>A)</w:t>
      </w:r>
      <w:r>
        <w:rPr>
          <w:lang w:val="en-US"/>
        </w:rPr>
        <w:t xml:space="preserve"> Overall survival (OS) and </w:t>
      </w:r>
      <w:r>
        <w:rPr>
          <w:b/>
          <w:bCs/>
          <w:lang w:val="en-US"/>
        </w:rPr>
        <w:t>B)</w:t>
      </w:r>
      <w:r>
        <w:rPr>
          <w:lang w:val="en-US"/>
        </w:rPr>
        <w:t xml:space="preserve"> progression-free survival (PFS) stratified by clinical group: castration-resistant prostate cancer (CRPC), hormone-sensitive prostate cancer (HSPC), and treatment-emergent neuroendocrine prostate cancer (</w:t>
      </w:r>
      <w:proofErr w:type="spellStart"/>
      <w:r>
        <w:rPr>
          <w:lang w:val="en-US"/>
        </w:rPr>
        <w:t>nePC</w:t>
      </w:r>
      <w:proofErr w:type="spellEnd"/>
      <w:r>
        <w:rPr>
          <w:lang w:val="en-US"/>
        </w:rPr>
        <w:t>). Median survival times are indicated in the legend.</w:t>
      </w:r>
      <w:r>
        <w:rPr>
          <w:lang w:val="en-US"/>
        </w:rPr>
        <w:br/>
        <w:t>Hazard ratios (HR), 95% confidence intervals (CI), and log-rank p-values are shown for pairwise comparisons between groups. Censoring is indicated by vertical tick marks. At-risk tables are shown below each plot. Survival curves were estimated using the Kaplan–Meier method; HRs were derived from Cox proportional hazards models.</w:t>
      </w:r>
    </w:p>
    <w:p w14:paraId="6F2A8431" w14:textId="77777777" w:rsidR="00045D2C" w:rsidRDefault="00000000" w:rsidP="005A6760">
      <w:pPr>
        <w:spacing w:line="360" w:lineRule="auto"/>
        <w:rPr>
          <w:lang w:val="en-US"/>
        </w:rPr>
      </w:pPr>
      <w:r>
        <w:rPr>
          <w:lang w:val="en-US"/>
        </w:rPr>
        <w:br w:type="page"/>
      </w:r>
    </w:p>
    <w:p w14:paraId="4D1E4A47" w14:textId="77777777" w:rsidR="00045D2C" w:rsidRDefault="00045D2C" w:rsidP="005A6760">
      <w:pPr>
        <w:spacing w:line="360" w:lineRule="auto"/>
        <w:rPr>
          <w:b/>
          <w:lang w:val="en-US"/>
        </w:rPr>
      </w:pPr>
    </w:p>
    <w:p w14:paraId="1E147703" w14:textId="2B1CAC6B" w:rsidR="00045D2C" w:rsidRDefault="00000000" w:rsidP="005A6760">
      <w:pPr>
        <w:spacing w:line="360" w:lineRule="auto"/>
        <w:jc w:val="both"/>
        <w:rPr>
          <w:b/>
          <w:lang w:val="en-US"/>
        </w:rPr>
      </w:pPr>
      <w:r w:rsidRPr="00322A14">
        <w:rPr>
          <w:rStyle w:val="Heading2Char"/>
          <w:noProof/>
        </w:rPr>
        <w:drawing>
          <wp:anchor distT="0" distB="0" distL="114300" distR="114300" simplePos="0" relativeHeight="251662336" behindDoc="0" locked="0" layoutInCell="1" allowOverlap="1" wp14:anchorId="209B329A" wp14:editId="7CF0F70A">
            <wp:simplePos x="0" y="0"/>
            <wp:positionH relativeFrom="column">
              <wp:posOffset>0</wp:posOffset>
            </wp:positionH>
            <wp:positionV relativeFrom="paragraph">
              <wp:posOffset>-285750</wp:posOffset>
            </wp:positionV>
            <wp:extent cx="5760720" cy="1588770"/>
            <wp:effectExtent l="0" t="0" r="0" b="0"/>
            <wp:wrapTopAndBottom/>
            <wp:docPr id="158992154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21541" name="Graphic 3"/>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5760720" cy="1588770"/>
                    </a:xfrm>
                    <a:prstGeom prst="rect">
                      <a:avLst/>
                    </a:prstGeom>
                  </pic:spPr>
                </pic:pic>
              </a:graphicData>
            </a:graphic>
          </wp:anchor>
        </w:drawing>
      </w:r>
      <w:bookmarkStart w:id="19" w:name="_Toc212073443"/>
      <w:r w:rsidRPr="007B04C7">
        <w:rPr>
          <w:rStyle w:val="Heading2Char"/>
          <w:lang w:val="en-US"/>
        </w:rPr>
        <w:t>Supplementary Figure 3. Correlation between tumor fraction, variant allele frequency, and genomic instability scores in plasma cfDNA.</w:t>
      </w:r>
      <w:bookmarkEnd w:id="19"/>
      <w:r>
        <w:rPr>
          <w:b/>
          <w:lang w:val="en-US"/>
        </w:rPr>
        <w:t xml:space="preserve"> </w:t>
      </w:r>
      <w:r>
        <w:rPr>
          <w:b/>
          <w:bCs/>
          <w:lang w:val="en-US"/>
        </w:rPr>
        <w:t>A)</w:t>
      </w:r>
      <w:r>
        <w:rPr>
          <w:bCs/>
          <w:lang w:val="en-US"/>
        </w:rPr>
        <w:t xml:space="preserve"> Scatterplot comparing tumor fraction (TF) estimated by </w:t>
      </w:r>
      <w:proofErr w:type="spellStart"/>
      <w:r>
        <w:rPr>
          <w:bCs/>
          <w:lang w:val="en-US"/>
        </w:rPr>
        <w:t>lpWGS</w:t>
      </w:r>
      <w:proofErr w:type="spellEnd"/>
      <w:r>
        <w:rPr>
          <w:bCs/>
          <w:lang w:val="en-US"/>
        </w:rPr>
        <w:t xml:space="preserve"> with Z-scores. </w:t>
      </w:r>
      <w:r>
        <w:rPr>
          <w:b/>
          <w:bCs/>
          <w:lang w:val="en-US"/>
        </w:rPr>
        <w:t>B)</w:t>
      </w:r>
      <w:r>
        <w:rPr>
          <w:bCs/>
          <w:lang w:val="en-US"/>
        </w:rPr>
        <w:t xml:space="preserve"> Scatterplot of TF versus the median variant allele frequency (VAF) of somatic mutations detected in each sample. </w:t>
      </w:r>
      <w:r>
        <w:rPr>
          <w:b/>
          <w:bCs/>
          <w:lang w:val="en-US"/>
        </w:rPr>
        <w:t>C)</w:t>
      </w:r>
      <w:r>
        <w:rPr>
          <w:bCs/>
          <w:lang w:val="en-US"/>
        </w:rPr>
        <w:t xml:space="preserve"> Scatterplot comparing Z-scores with corresponding </w:t>
      </w:r>
      <w:proofErr w:type="spellStart"/>
      <w:r>
        <w:rPr>
          <w:bCs/>
          <w:lang w:val="en-US"/>
        </w:rPr>
        <w:t>sHRD</w:t>
      </w:r>
      <w:proofErr w:type="spellEnd"/>
      <w:r>
        <w:rPr>
          <w:bCs/>
          <w:lang w:val="en-US"/>
        </w:rPr>
        <w:t xml:space="preserve"> scores derived from </w:t>
      </w:r>
      <w:proofErr w:type="spellStart"/>
      <w:r>
        <w:rPr>
          <w:bCs/>
          <w:lang w:val="en-US"/>
        </w:rPr>
        <w:t>lpWGS</w:t>
      </w:r>
      <w:proofErr w:type="spellEnd"/>
      <w:r>
        <w:rPr>
          <w:bCs/>
          <w:lang w:val="en-US"/>
        </w:rPr>
        <w:t>, reflecting large-scale genomic instability. Spearman correlation coefficients and p-values are shown in panels A</w:t>
      </w:r>
      <w:r w:rsidR="00AE14AD">
        <w:rPr>
          <w:bCs/>
          <w:lang w:val="en-US"/>
        </w:rPr>
        <w:t>-</w:t>
      </w:r>
      <w:r>
        <w:rPr>
          <w:bCs/>
          <w:lang w:val="en-US"/>
        </w:rPr>
        <w:t xml:space="preserve">C. </w:t>
      </w:r>
      <w:r>
        <w:rPr>
          <w:b/>
          <w:bCs/>
          <w:lang w:val="en-US"/>
        </w:rPr>
        <w:t>D)</w:t>
      </w:r>
      <w:r>
        <w:rPr>
          <w:bCs/>
          <w:lang w:val="en-US"/>
        </w:rPr>
        <w:t xml:space="preserve"> Strip plot showing the distribution of </w:t>
      </w:r>
      <w:proofErr w:type="spellStart"/>
      <w:r>
        <w:rPr>
          <w:bCs/>
          <w:lang w:val="en-US"/>
        </w:rPr>
        <w:t>sHRD</w:t>
      </w:r>
      <w:proofErr w:type="spellEnd"/>
      <w:r>
        <w:rPr>
          <w:bCs/>
          <w:lang w:val="en-US"/>
        </w:rPr>
        <w:t xml:space="preserve"> scores across five mutation-defined subgroups: </w:t>
      </w:r>
      <w:r>
        <w:rPr>
          <w:bCs/>
          <w:i/>
          <w:lang w:val="en-US"/>
        </w:rPr>
        <w:t>BRCA1/2</w:t>
      </w:r>
      <w:r>
        <w:rPr>
          <w:bCs/>
          <w:lang w:val="en-US"/>
        </w:rPr>
        <w:t xml:space="preserve"> or </w:t>
      </w:r>
      <w:r>
        <w:rPr>
          <w:bCs/>
          <w:i/>
          <w:lang w:val="en-US"/>
        </w:rPr>
        <w:t>PALB2</w:t>
      </w:r>
      <w:r>
        <w:rPr>
          <w:bCs/>
          <w:lang w:val="en-US"/>
        </w:rPr>
        <w:t xml:space="preserve">, other HRR genes, </w:t>
      </w:r>
      <w:r>
        <w:rPr>
          <w:bCs/>
          <w:i/>
          <w:lang w:val="en-US"/>
        </w:rPr>
        <w:t>CDK12</w:t>
      </w:r>
      <w:r>
        <w:rPr>
          <w:bCs/>
          <w:lang w:val="en-US"/>
        </w:rPr>
        <w:t xml:space="preserve">, </w:t>
      </w:r>
      <w:r>
        <w:rPr>
          <w:bCs/>
          <w:i/>
          <w:lang w:val="en-US"/>
        </w:rPr>
        <w:t>TP53/PTEN/RB1</w:t>
      </w:r>
      <w:r>
        <w:rPr>
          <w:bCs/>
          <w:lang w:val="en-US"/>
        </w:rPr>
        <w:t xml:space="preserve">, and samples without pathogenic mutations. Horizontal dashed lines indicate </w:t>
      </w:r>
      <w:proofErr w:type="spellStart"/>
      <w:r>
        <w:rPr>
          <w:bCs/>
          <w:lang w:val="en-US"/>
        </w:rPr>
        <w:t>sHRD</w:t>
      </w:r>
      <w:proofErr w:type="spellEnd"/>
      <w:r>
        <w:rPr>
          <w:bCs/>
          <w:lang w:val="en-US"/>
        </w:rPr>
        <w:t xml:space="preserve"> thresholds of 15 and 20. Median values for each group are indicated with horizontal black lines.</w:t>
      </w:r>
      <w:r>
        <w:rPr>
          <w:b/>
          <w:lang w:val="en-US"/>
        </w:rPr>
        <w:t xml:space="preserve"> </w:t>
      </w:r>
    </w:p>
    <w:p w14:paraId="1226732D" w14:textId="77777777" w:rsidR="00045D2C" w:rsidRDefault="00000000" w:rsidP="005A6760">
      <w:pPr>
        <w:spacing w:line="360" w:lineRule="auto"/>
        <w:rPr>
          <w:b/>
          <w:lang w:val="en-US"/>
        </w:rPr>
      </w:pPr>
      <w:r>
        <w:rPr>
          <w:b/>
          <w:lang w:val="en-US"/>
        </w:rPr>
        <w:br w:type="page"/>
      </w:r>
    </w:p>
    <w:p w14:paraId="681D4AF4" w14:textId="77777777" w:rsidR="00045D2C" w:rsidRDefault="00045D2C" w:rsidP="005A6760">
      <w:pPr>
        <w:spacing w:line="360" w:lineRule="auto"/>
        <w:jc w:val="both"/>
        <w:rPr>
          <w:b/>
          <w:lang w:val="en-US"/>
        </w:rPr>
      </w:pPr>
    </w:p>
    <w:p w14:paraId="46D16907" w14:textId="77777777" w:rsidR="00045D2C" w:rsidRDefault="00045D2C" w:rsidP="005A6760">
      <w:pPr>
        <w:spacing w:line="360" w:lineRule="auto"/>
        <w:rPr>
          <w:b/>
          <w:lang w:val="en-US"/>
        </w:rPr>
      </w:pPr>
    </w:p>
    <w:p w14:paraId="6AB70B14" w14:textId="77777777" w:rsidR="00045D2C" w:rsidRDefault="00000000" w:rsidP="005A6760">
      <w:pPr>
        <w:spacing w:line="360" w:lineRule="auto"/>
        <w:jc w:val="both"/>
        <w:rPr>
          <w:bCs/>
          <w:lang w:val="en-US"/>
        </w:rPr>
      </w:pPr>
      <w:r w:rsidRPr="00322A14">
        <w:rPr>
          <w:rStyle w:val="Heading2Char"/>
          <w:noProof/>
        </w:rPr>
        <w:drawing>
          <wp:anchor distT="0" distB="0" distL="114300" distR="114300" simplePos="0" relativeHeight="251663360" behindDoc="0" locked="0" layoutInCell="1" allowOverlap="1" wp14:anchorId="43422435" wp14:editId="5B73DC8B">
            <wp:simplePos x="0" y="0"/>
            <wp:positionH relativeFrom="column">
              <wp:posOffset>3810</wp:posOffset>
            </wp:positionH>
            <wp:positionV relativeFrom="paragraph">
              <wp:posOffset>1905</wp:posOffset>
            </wp:positionV>
            <wp:extent cx="5755640" cy="3291205"/>
            <wp:effectExtent l="0" t="0" r="0" b="0"/>
            <wp:wrapTopAndBottom/>
            <wp:docPr id="19621688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68832" name="Picture 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5755640" cy="3291205"/>
                    </a:xfrm>
                    <a:prstGeom prst="rect">
                      <a:avLst/>
                    </a:prstGeom>
                  </pic:spPr>
                </pic:pic>
              </a:graphicData>
            </a:graphic>
          </wp:anchor>
        </w:drawing>
      </w:r>
      <w:bookmarkStart w:id="20" w:name="_Toc212073444"/>
      <w:r w:rsidRPr="007B04C7">
        <w:rPr>
          <w:rStyle w:val="Heading2Char"/>
          <w:lang w:val="en-US"/>
        </w:rPr>
        <w:t>Supplementary Figure 4. Somatic landscape and mutation distribution of HRD-associated genes in plasma cfDNA.</w:t>
      </w:r>
      <w:bookmarkEnd w:id="20"/>
      <w:r>
        <w:rPr>
          <w:bCs/>
          <w:lang w:val="en-US"/>
        </w:rPr>
        <w:t xml:space="preserve"> </w:t>
      </w:r>
      <w:r>
        <w:rPr>
          <w:b/>
          <w:bCs/>
          <w:lang w:val="en-US"/>
        </w:rPr>
        <w:t>A)</w:t>
      </w:r>
      <w:r>
        <w:rPr>
          <w:bCs/>
          <w:lang w:val="en-US"/>
        </w:rPr>
        <w:t xml:space="preserve"> </w:t>
      </w:r>
      <w:proofErr w:type="spellStart"/>
      <w:r>
        <w:rPr>
          <w:bCs/>
          <w:lang w:val="en-US"/>
        </w:rPr>
        <w:t>Oncoprint</w:t>
      </w:r>
      <w:proofErr w:type="spellEnd"/>
      <w:r>
        <w:rPr>
          <w:bCs/>
          <w:lang w:val="en-US"/>
        </w:rPr>
        <w:t xml:space="preserve"> showing pathogenic mutations and copy number alterations across selected HRD-related genes in cfDNA from prostate cancer patients. Mutation types are annotated by shape (e.g., missense, </w:t>
      </w:r>
      <w:r>
        <w:rPr>
          <w:bCs/>
          <w:lang w:val="en"/>
        </w:rPr>
        <w:t>Loss-of-function</w:t>
      </w:r>
      <w:r>
        <w:rPr>
          <w:bCs/>
          <w:lang w:val="en-US"/>
        </w:rPr>
        <w:t xml:space="preserve"> (</w:t>
      </w:r>
      <w:proofErr w:type="spellStart"/>
      <w:r>
        <w:rPr>
          <w:bCs/>
          <w:lang w:val="en-US"/>
        </w:rPr>
        <w:t>LoF</w:t>
      </w:r>
      <w:proofErr w:type="spellEnd"/>
      <w:r>
        <w:rPr>
          <w:bCs/>
          <w:lang w:val="en-US"/>
        </w:rPr>
        <w:t xml:space="preserve">), splicing), and heterozygous deletion (HETD) is annotated by background color. Bold outline indicates a germline variant. Samples are annotated by tumor fraction (TF), </w:t>
      </w:r>
      <w:proofErr w:type="spellStart"/>
      <w:r>
        <w:rPr>
          <w:bCs/>
          <w:lang w:val="en-US"/>
        </w:rPr>
        <w:t>sHRD</w:t>
      </w:r>
      <w:proofErr w:type="spellEnd"/>
      <w:r>
        <w:rPr>
          <w:bCs/>
          <w:lang w:val="en-US"/>
        </w:rPr>
        <w:t xml:space="preserve"> score, and clinical subtype. </w:t>
      </w:r>
      <w:r>
        <w:rPr>
          <w:b/>
          <w:bCs/>
          <w:lang w:val="en-US"/>
        </w:rPr>
        <w:t>B)</w:t>
      </w:r>
      <w:r>
        <w:rPr>
          <w:bCs/>
          <w:lang w:val="en-US"/>
        </w:rPr>
        <w:t xml:space="preserve"> Lollipop plot of </w:t>
      </w:r>
      <w:r>
        <w:rPr>
          <w:bCs/>
          <w:i/>
          <w:lang w:val="en-US"/>
        </w:rPr>
        <w:t>BRCA2</w:t>
      </w:r>
      <w:r>
        <w:rPr>
          <w:bCs/>
          <w:lang w:val="en-US"/>
        </w:rPr>
        <w:t xml:space="preserve"> mutations annotated by protein domain. Each lollipop represents a unique somatic or germline variant, colored by pathogenicity (pathogenic: red; VUS: blue), with germline variants indicated by bold outlines. Protein interaction domains and functional regions are shown along the BRCA2 protein axis. </w:t>
      </w:r>
      <w:r>
        <w:rPr>
          <w:b/>
          <w:bCs/>
          <w:lang w:val="en-US"/>
        </w:rPr>
        <w:t>C)</w:t>
      </w:r>
      <w:r>
        <w:rPr>
          <w:bCs/>
          <w:lang w:val="en-US"/>
        </w:rPr>
        <w:t xml:space="preserve"> Lollipop plot of </w:t>
      </w:r>
      <w:r>
        <w:rPr>
          <w:bCs/>
          <w:i/>
          <w:lang w:val="en-US"/>
        </w:rPr>
        <w:t>TP53</w:t>
      </w:r>
      <w:r>
        <w:rPr>
          <w:bCs/>
          <w:lang w:val="en-US"/>
        </w:rPr>
        <w:t xml:space="preserve"> mutations visualized along the protein structure. Pathogenic and VUS variants are colored and labeled as in B, with structural and interaction domains annotated. Germline variants are shown with bold outlines.</w:t>
      </w:r>
    </w:p>
    <w:p w14:paraId="0B3100CB" w14:textId="77777777" w:rsidR="00045D2C" w:rsidRDefault="00045D2C" w:rsidP="005A6760">
      <w:pPr>
        <w:spacing w:line="360" w:lineRule="auto"/>
        <w:jc w:val="both"/>
        <w:rPr>
          <w:b/>
          <w:lang w:val="en-US"/>
        </w:rPr>
      </w:pPr>
    </w:p>
    <w:p w14:paraId="71F82F41" w14:textId="77777777" w:rsidR="00045D2C" w:rsidRDefault="00000000" w:rsidP="005A6760">
      <w:pPr>
        <w:spacing w:line="360" w:lineRule="auto"/>
        <w:rPr>
          <w:bCs/>
          <w:lang w:val="en-US"/>
        </w:rPr>
      </w:pPr>
      <w:bookmarkStart w:id="21" w:name="_Toc212073445"/>
      <w:r w:rsidRPr="00322A14">
        <w:rPr>
          <w:rStyle w:val="Heading2Char"/>
          <w:noProof/>
        </w:rPr>
        <w:lastRenderedPageBreak/>
        <w:drawing>
          <wp:inline distT="0" distB="0" distL="0" distR="0" wp14:anchorId="06E0B1CB" wp14:editId="75115E6F">
            <wp:extent cx="5760720" cy="6167120"/>
            <wp:effectExtent l="0" t="0" r="0" b="0"/>
            <wp:docPr id="2032069362"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69362" name="Graphic 6"/>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5760720" cy="6167120"/>
                    </a:xfrm>
                    <a:prstGeom prst="rect">
                      <a:avLst/>
                    </a:prstGeom>
                  </pic:spPr>
                </pic:pic>
              </a:graphicData>
            </a:graphic>
          </wp:inline>
        </w:drawing>
      </w:r>
      <w:r w:rsidRPr="007B04C7">
        <w:rPr>
          <w:rStyle w:val="Heading2Char"/>
          <w:lang w:val="en-US"/>
        </w:rPr>
        <w:t>Supplementary Figure 5. Genome-wide copy number alteration frequencies across cfDNA prostate cancer subgroups.</w:t>
      </w:r>
      <w:bookmarkEnd w:id="21"/>
      <w:r>
        <w:rPr>
          <w:bCs/>
          <w:lang w:val="en-US"/>
        </w:rPr>
        <w:t xml:space="preserve"> Each panel shows genome-wide copy number alteration (CNA) frequencies across 5 Mb bins along chromosomes 1–22 and X. Red bars represent the percentage of samples with copy number gains; blue bars represent copy number losses. A horizontal consensus track at the bottom of each panel marks regions with predominant gains (red), losses (blue), or neutral (gray) calls based on ≥10% frequency difference. Chromosome boundaries are indicated along the x-axis. Included samples exhibit tumor fraction (TF) &gt; 10% A) CNA frequency plots for all high-tumor-fraction samples grouped by </w:t>
      </w:r>
      <w:proofErr w:type="spellStart"/>
      <w:r>
        <w:rPr>
          <w:bCs/>
          <w:lang w:val="en-US"/>
        </w:rPr>
        <w:t>sHRD</w:t>
      </w:r>
      <w:proofErr w:type="spellEnd"/>
      <w:r>
        <w:rPr>
          <w:bCs/>
          <w:lang w:val="en-US"/>
        </w:rPr>
        <w:t xml:space="preserve"> status (high, medium, low) and BRCA1/2/PALB2 mutation status. B) CNA profiles for subgroups defined by </w:t>
      </w:r>
      <w:r>
        <w:rPr>
          <w:lang w:val="en-US"/>
        </w:rPr>
        <w:t>pathogenic mutations</w:t>
      </w:r>
      <w:r>
        <w:rPr>
          <w:bCs/>
          <w:lang w:val="en-US"/>
        </w:rPr>
        <w:t xml:space="preserve"> </w:t>
      </w:r>
      <w:r>
        <w:rPr>
          <w:lang w:val="en-US"/>
        </w:rPr>
        <w:t>only</w:t>
      </w:r>
      <w:r>
        <w:rPr>
          <w:bCs/>
          <w:lang w:val="en-US"/>
        </w:rPr>
        <w:t xml:space="preserve">, comparing BRCA1/2/PALB2-only, TP53/RB1-only, both, and wild-type (WT) cases. C) CNA profiles for the same subgroups as B, but including cases with </w:t>
      </w:r>
      <w:r>
        <w:rPr>
          <w:lang w:val="en-US"/>
        </w:rPr>
        <w:t>heterozygous deletions (HETD)</w:t>
      </w:r>
      <w:r>
        <w:rPr>
          <w:bCs/>
          <w:lang w:val="en-US"/>
        </w:rPr>
        <w:t xml:space="preserve"> in the mutation group definitions.</w:t>
      </w:r>
    </w:p>
    <w:p w14:paraId="5939C3B4" w14:textId="77777777" w:rsidR="00045D2C" w:rsidRDefault="00045D2C" w:rsidP="005A6760">
      <w:pPr>
        <w:spacing w:line="360" w:lineRule="auto"/>
        <w:jc w:val="both"/>
        <w:rPr>
          <w:bCs/>
          <w:lang w:val="en-US"/>
        </w:rPr>
      </w:pPr>
    </w:p>
    <w:p w14:paraId="1815AA3B" w14:textId="18D2169C" w:rsidR="00045D2C" w:rsidRPr="00AE14AD" w:rsidRDefault="00000000" w:rsidP="005A6760">
      <w:pPr>
        <w:spacing w:line="360" w:lineRule="auto"/>
        <w:jc w:val="both"/>
        <w:rPr>
          <w:bCs/>
          <w:lang w:val="en-US"/>
        </w:rPr>
      </w:pPr>
      <w:r w:rsidRPr="00322A14">
        <w:rPr>
          <w:rStyle w:val="Heading2Char"/>
          <w:noProof/>
        </w:rPr>
        <w:drawing>
          <wp:anchor distT="0" distB="0" distL="114300" distR="114300" simplePos="0" relativeHeight="251664384" behindDoc="0" locked="0" layoutInCell="1" allowOverlap="1" wp14:anchorId="3660B02D" wp14:editId="36537EE6">
            <wp:simplePos x="0" y="0"/>
            <wp:positionH relativeFrom="column">
              <wp:posOffset>0</wp:posOffset>
            </wp:positionH>
            <wp:positionV relativeFrom="paragraph">
              <wp:posOffset>0</wp:posOffset>
            </wp:positionV>
            <wp:extent cx="5760720" cy="2466975"/>
            <wp:effectExtent l="0" t="0" r="0" b="0"/>
            <wp:wrapTopAndBottom/>
            <wp:docPr id="562512546"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12546" name="Graphic 7"/>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5760720" cy="2466975"/>
                    </a:xfrm>
                    <a:prstGeom prst="rect">
                      <a:avLst/>
                    </a:prstGeom>
                  </pic:spPr>
                </pic:pic>
              </a:graphicData>
            </a:graphic>
          </wp:anchor>
        </w:drawing>
      </w:r>
      <w:bookmarkStart w:id="22" w:name="_Toc212073446"/>
      <w:r w:rsidRPr="007B04C7">
        <w:rPr>
          <w:rStyle w:val="Heading2Char"/>
          <w:lang w:val="en-US"/>
        </w:rPr>
        <w:t xml:space="preserve">Supplementary Figure 6. Association between </w:t>
      </w:r>
      <w:proofErr w:type="spellStart"/>
      <w:r w:rsidRPr="007B04C7">
        <w:rPr>
          <w:rStyle w:val="Heading2Char"/>
          <w:lang w:val="en-US"/>
        </w:rPr>
        <w:t>sHRD</w:t>
      </w:r>
      <w:proofErr w:type="spellEnd"/>
      <w:r w:rsidRPr="007B04C7">
        <w:rPr>
          <w:rStyle w:val="Heading2Char"/>
          <w:lang w:val="en-US"/>
        </w:rPr>
        <w:t xml:space="preserve"> score and genomic alterations.</w:t>
      </w:r>
      <w:bookmarkEnd w:id="22"/>
      <w:r>
        <w:rPr>
          <w:b/>
          <w:lang w:val="en-US"/>
        </w:rPr>
        <w:t xml:space="preserve"> </w:t>
      </w:r>
      <w:r>
        <w:rPr>
          <w:b/>
          <w:bCs/>
          <w:lang w:val="en-US"/>
        </w:rPr>
        <w:t>A</w:t>
      </w:r>
      <w:r>
        <w:rPr>
          <w:bCs/>
          <w:lang w:val="en-US"/>
        </w:rPr>
        <w:t xml:space="preserve">) Distribution of </w:t>
      </w:r>
      <w:proofErr w:type="spellStart"/>
      <w:r>
        <w:rPr>
          <w:bCs/>
          <w:lang w:val="en-US"/>
        </w:rPr>
        <w:t>sHRD</w:t>
      </w:r>
      <w:proofErr w:type="spellEnd"/>
      <w:r>
        <w:rPr>
          <w:bCs/>
          <w:lang w:val="en-US"/>
        </w:rPr>
        <w:t xml:space="preserve"> scores across samples harboring pathogenic alterations in HRR-related genes. Each point represents one sample, colored </w:t>
      </w:r>
      <w:r w:rsidRPr="00AE14AD">
        <w:rPr>
          <w:bCs/>
          <w:lang w:val="en-US"/>
        </w:rPr>
        <w:t xml:space="preserve">by mutation type: clonal (red) or germline (blue). Boxplots summarize the distribution of </w:t>
      </w:r>
      <w:proofErr w:type="spellStart"/>
      <w:r w:rsidRPr="00AE14AD">
        <w:rPr>
          <w:bCs/>
          <w:lang w:val="en-US"/>
        </w:rPr>
        <w:t>sHRD</w:t>
      </w:r>
      <w:proofErr w:type="spellEnd"/>
      <w:r w:rsidRPr="00AE14AD">
        <w:rPr>
          <w:bCs/>
          <w:lang w:val="en-US"/>
        </w:rPr>
        <w:t xml:space="preserve"> scores for each gene, and samples without any pathogenic alterations are shown as a reference group (“No Alterations”). </w:t>
      </w:r>
      <w:r w:rsidR="00F20B57" w:rsidRPr="00AE14AD">
        <w:rPr>
          <w:bCs/>
          <w:lang w:val="en-US"/>
        </w:rPr>
        <w:t xml:space="preserve">Horizontal black line indicates the median. </w:t>
      </w:r>
      <w:r w:rsidRPr="00AE14AD">
        <w:rPr>
          <w:bCs/>
          <w:lang w:val="en-US"/>
        </w:rPr>
        <w:t>Asterisks indicate statistically significant differences (</w:t>
      </w:r>
      <w:bookmarkStart w:id="23" w:name="_Hlk210657690"/>
      <w:r w:rsidR="00BE1464" w:rsidRPr="00AE14AD">
        <w:rPr>
          <w:bCs/>
          <w:lang w:val="en-US"/>
        </w:rPr>
        <w:t xml:space="preserve">two-sided </w:t>
      </w:r>
      <w:r w:rsidRPr="00AE14AD">
        <w:rPr>
          <w:bCs/>
          <w:lang w:val="en-US"/>
        </w:rPr>
        <w:t>Mann–Whitney U test</w:t>
      </w:r>
      <w:r w:rsidR="00E511EE" w:rsidRPr="00AE14AD">
        <w:rPr>
          <w:bCs/>
          <w:lang w:val="en-US"/>
        </w:rPr>
        <w:t>,</w:t>
      </w:r>
      <w:r w:rsidRPr="00AE14AD">
        <w:rPr>
          <w:bCs/>
          <w:i/>
          <w:iCs/>
          <w:lang w:val="en-US"/>
        </w:rPr>
        <w:t xml:space="preserve"> p</w:t>
      </w:r>
      <w:r w:rsidRPr="00AE14AD">
        <w:rPr>
          <w:bCs/>
          <w:lang w:val="en-US"/>
        </w:rPr>
        <w:t xml:space="preserve"> &lt; 0.05</w:t>
      </w:r>
      <w:bookmarkEnd w:id="23"/>
      <w:r w:rsidRPr="00AE14AD">
        <w:rPr>
          <w:bCs/>
          <w:lang w:val="en-US"/>
        </w:rPr>
        <w:t xml:space="preserve">). </w:t>
      </w:r>
      <w:r w:rsidRPr="00AE14AD">
        <w:rPr>
          <w:b/>
          <w:bCs/>
          <w:lang w:val="en-US"/>
        </w:rPr>
        <w:t>B)</w:t>
      </w:r>
      <w:r w:rsidRPr="00AE14AD">
        <w:rPr>
          <w:bCs/>
          <w:lang w:val="en-US"/>
        </w:rPr>
        <w:t xml:space="preserve"> Volcano-style plot showing the association between focal copy number events and </w:t>
      </w:r>
      <w:proofErr w:type="spellStart"/>
      <w:r w:rsidRPr="00AE14AD">
        <w:rPr>
          <w:bCs/>
          <w:lang w:val="en-US"/>
        </w:rPr>
        <w:t>sHRD</w:t>
      </w:r>
      <w:proofErr w:type="spellEnd"/>
      <w:r w:rsidRPr="00AE14AD">
        <w:rPr>
          <w:bCs/>
          <w:lang w:val="en-US"/>
        </w:rPr>
        <w:t xml:space="preserve"> score across the genome. Each point represents a genomic locus, with the x-axis indicating significance (–log₁₀</w:t>
      </w:r>
      <w:r w:rsidRPr="00AE14AD">
        <w:rPr>
          <w:bCs/>
          <w:i/>
          <w:iCs/>
          <w:lang w:val="en-US"/>
        </w:rPr>
        <w:t>p</w:t>
      </w:r>
      <w:r w:rsidRPr="00AE14AD">
        <w:rPr>
          <w:bCs/>
          <w:lang w:val="en-US"/>
        </w:rPr>
        <w:t xml:space="preserve">) and the y-axis showing the absolute Spearman correlation between copy number and </w:t>
      </w:r>
      <w:proofErr w:type="spellStart"/>
      <w:r w:rsidRPr="00AE14AD">
        <w:rPr>
          <w:bCs/>
          <w:lang w:val="en-US"/>
        </w:rPr>
        <w:t>sHRD</w:t>
      </w:r>
      <w:proofErr w:type="spellEnd"/>
      <w:r w:rsidRPr="00AE14AD">
        <w:rPr>
          <w:bCs/>
          <w:lang w:val="en-US"/>
        </w:rPr>
        <w:t xml:space="preserve"> score. </w:t>
      </w:r>
      <w:r w:rsidRPr="00AE14AD">
        <w:rPr>
          <w:lang w:val="en-US"/>
        </w:rPr>
        <w:t xml:space="preserve">Red dots indicate </w:t>
      </w:r>
      <w:proofErr w:type="gramStart"/>
      <w:r w:rsidRPr="00AE14AD">
        <w:rPr>
          <w:lang w:val="en-US"/>
        </w:rPr>
        <w:t>gains,</w:t>
      </w:r>
      <w:proofErr w:type="gramEnd"/>
      <w:r w:rsidRPr="00AE14AD">
        <w:rPr>
          <w:lang w:val="en-US"/>
        </w:rPr>
        <w:t xml:space="preserve"> blue dots indicate losses.</w:t>
      </w:r>
      <w:r w:rsidRPr="00AE14AD">
        <w:rPr>
          <w:bCs/>
          <w:lang w:val="en-US"/>
        </w:rPr>
        <w:t xml:space="preserve"> A dashed vertical line marks the p = 0.05 significance threshold.</w:t>
      </w:r>
    </w:p>
    <w:p w14:paraId="12306B1C" w14:textId="77777777" w:rsidR="00045D2C" w:rsidRPr="00AE14AD" w:rsidRDefault="00000000" w:rsidP="005A6760">
      <w:pPr>
        <w:spacing w:line="360" w:lineRule="auto"/>
        <w:rPr>
          <w:bCs/>
          <w:lang w:val="en-US"/>
        </w:rPr>
      </w:pPr>
      <w:r w:rsidRPr="00AE14AD">
        <w:rPr>
          <w:bCs/>
          <w:lang w:val="en-US"/>
        </w:rPr>
        <w:br w:type="page"/>
      </w:r>
    </w:p>
    <w:p w14:paraId="6689C432" w14:textId="77777777" w:rsidR="00045D2C" w:rsidRDefault="00045D2C" w:rsidP="005A6760">
      <w:pPr>
        <w:spacing w:line="360" w:lineRule="auto"/>
        <w:rPr>
          <w:b/>
          <w:lang w:val="en-US"/>
        </w:rPr>
      </w:pPr>
    </w:p>
    <w:p w14:paraId="4E38A6C0" w14:textId="77777777" w:rsidR="00045D2C" w:rsidRDefault="00000000" w:rsidP="005A6760">
      <w:pPr>
        <w:spacing w:line="360" w:lineRule="auto"/>
        <w:rPr>
          <w:b/>
          <w:lang w:val="en-US"/>
        </w:rPr>
      </w:pPr>
      <w:r>
        <w:rPr>
          <w:b/>
          <w:noProof/>
          <w:lang w:val="en-US"/>
        </w:rPr>
        <w:drawing>
          <wp:inline distT="0" distB="0" distL="0" distR="0" wp14:anchorId="3C37FB25" wp14:editId="4AAAA01E">
            <wp:extent cx="5695315" cy="2284730"/>
            <wp:effectExtent l="0" t="0" r="0" b="1270"/>
            <wp:docPr id="470812231"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812231" name="Graphic 8"/>
                    <pic:cNvPicPr>
                      <a:picLocks noChangeAspect="1"/>
                    </pic:cNvPicPr>
                  </pic:nvPicPr>
                  <pic:blipFill>
                    <a:blip r:embed="rId20">
                      <a:extLst>
                        <a:ext uri="{96DAC541-7B7A-43D3-8B79-37D633B846F1}">
                          <asvg:svgBlip xmlns:asvg="http://schemas.microsoft.com/office/drawing/2016/SVG/main" r:embed="rId21"/>
                        </a:ext>
                      </a:extLst>
                    </a:blip>
                    <a:srcRect r="11163"/>
                    <a:stretch>
                      <a:fillRect/>
                    </a:stretch>
                  </pic:blipFill>
                  <pic:spPr>
                    <a:xfrm>
                      <a:off x="0" y="0"/>
                      <a:ext cx="5703024" cy="2288111"/>
                    </a:xfrm>
                    <a:prstGeom prst="rect">
                      <a:avLst/>
                    </a:prstGeom>
                  </pic:spPr>
                </pic:pic>
              </a:graphicData>
            </a:graphic>
          </wp:inline>
        </w:drawing>
      </w:r>
    </w:p>
    <w:p w14:paraId="6E6205DD" w14:textId="77777777" w:rsidR="00045D2C" w:rsidRDefault="00000000" w:rsidP="005A6760">
      <w:pPr>
        <w:spacing w:line="360" w:lineRule="auto"/>
        <w:jc w:val="both"/>
        <w:rPr>
          <w:bCs/>
          <w:lang w:val="en-US"/>
        </w:rPr>
      </w:pPr>
      <w:bookmarkStart w:id="24" w:name="_Toc212073447"/>
      <w:r w:rsidRPr="007B04C7">
        <w:rPr>
          <w:rStyle w:val="Heading2Char"/>
          <w:lang w:val="en-US"/>
        </w:rPr>
        <w:t>Supplementary Figure 7. Kaplan–Meier survival analysis stratified by genomic instability (</w:t>
      </w:r>
      <w:proofErr w:type="spellStart"/>
      <w:r w:rsidRPr="007B04C7">
        <w:rPr>
          <w:rStyle w:val="Heading2Char"/>
          <w:lang w:val="en-US"/>
        </w:rPr>
        <w:t>sHRD</w:t>
      </w:r>
      <w:proofErr w:type="spellEnd"/>
      <w:r w:rsidRPr="007B04C7">
        <w:rPr>
          <w:rStyle w:val="Heading2Char"/>
          <w:lang w:val="en-US"/>
        </w:rPr>
        <w:t xml:space="preserve"> score).</w:t>
      </w:r>
      <w:bookmarkEnd w:id="24"/>
      <w:r>
        <w:rPr>
          <w:b/>
          <w:lang w:val="en-US"/>
        </w:rPr>
        <w:t xml:space="preserve"> </w:t>
      </w:r>
      <w:r>
        <w:rPr>
          <w:b/>
          <w:bCs/>
          <w:lang w:val="en-US"/>
        </w:rPr>
        <w:t>A)</w:t>
      </w:r>
      <w:r>
        <w:rPr>
          <w:bCs/>
          <w:lang w:val="en-US"/>
        </w:rPr>
        <w:t xml:space="preserve"> Overall survival (OS) and </w:t>
      </w:r>
      <w:r>
        <w:rPr>
          <w:b/>
          <w:bCs/>
          <w:lang w:val="en-US"/>
        </w:rPr>
        <w:t>B)</w:t>
      </w:r>
      <w:r>
        <w:rPr>
          <w:bCs/>
          <w:lang w:val="en-US"/>
        </w:rPr>
        <w:t xml:space="preserve"> progression-free survival (PFS) for patients with available clinical follow-up, stratified by </w:t>
      </w:r>
      <w:proofErr w:type="spellStart"/>
      <w:r>
        <w:rPr>
          <w:bCs/>
          <w:lang w:val="en-US"/>
        </w:rPr>
        <w:t>sHRD</w:t>
      </w:r>
      <w:proofErr w:type="spellEnd"/>
      <w:r>
        <w:rPr>
          <w:bCs/>
          <w:lang w:val="en-US"/>
        </w:rPr>
        <w:t xml:space="preserve"> score: low (&lt;20, blue) vs. high (≥20, red). Median survival times are indicated in the legend for each group. Hazard ratios (HR), 95% confidence intervals (CI), and log-rank p-values were computed using Cox proportional hazards models. Censoring is marked with vertical tick marks, and at-risk counts are shown below the time axis. Survival curves were estimated using the Kaplan–Meier method.</w:t>
      </w:r>
    </w:p>
    <w:p w14:paraId="4187E1A0" w14:textId="77777777" w:rsidR="00045D2C" w:rsidRDefault="00000000" w:rsidP="005A6760">
      <w:pPr>
        <w:spacing w:line="360" w:lineRule="auto"/>
        <w:rPr>
          <w:bCs/>
          <w:lang w:val="en-US"/>
        </w:rPr>
      </w:pPr>
      <w:r>
        <w:rPr>
          <w:bCs/>
          <w:lang w:val="en-US"/>
        </w:rPr>
        <w:br w:type="page"/>
      </w:r>
    </w:p>
    <w:p w14:paraId="14E79829" w14:textId="77777777" w:rsidR="00045D2C" w:rsidRDefault="00000000" w:rsidP="005A6760">
      <w:pPr>
        <w:spacing w:line="360" w:lineRule="auto"/>
        <w:jc w:val="both"/>
        <w:rPr>
          <w:b/>
          <w:lang w:val="en-US"/>
        </w:rPr>
      </w:pPr>
      <w:r>
        <w:rPr>
          <w:b/>
          <w:noProof/>
          <w:lang w:val="en-US"/>
        </w:rPr>
        <w:lastRenderedPageBreak/>
        <w:drawing>
          <wp:anchor distT="0" distB="0" distL="114300" distR="114300" simplePos="0" relativeHeight="251665408" behindDoc="0" locked="0" layoutInCell="1" allowOverlap="1" wp14:anchorId="0ECD8B66" wp14:editId="7E697C20">
            <wp:simplePos x="0" y="0"/>
            <wp:positionH relativeFrom="margin">
              <wp:align>right</wp:align>
            </wp:positionH>
            <wp:positionV relativeFrom="paragraph">
              <wp:posOffset>321310</wp:posOffset>
            </wp:positionV>
            <wp:extent cx="5760720" cy="2466975"/>
            <wp:effectExtent l="0" t="0" r="0" b="0"/>
            <wp:wrapTopAndBottom/>
            <wp:docPr id="2094040977"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40977" name="Graphic 10"/>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5760720" cy="2466975"/>
                    </a:xfrm>
                    <a:prstGeom prst="rect">
                      <a:avLst/>
                    </a:prstGeom>
                  </pic:spPr>
                </pic:pic>
              </a:graphicData>
            </a:graphic>
          </wp:anchor>
        </w:drawing>
      </w:r>
    </w:p>
    <w:p w14:paraId="13C518FD" w14:textId="77777777" w:rsidR="00045D2C" w:rsidRDefault="00000000" w:rsidP="005A6760">
      <w:pPr>
        <w:spacing w:line="360" w:lineRule="auto"/>
        <w:jc w:val="both"/>
        <w:rPr>
          <w:bCs/>
          <w:lang w:val="en-US"/>
        </w:rPr>
      </w:pPr>
      <w:bookmarkStart w:id="25" w:name="_Toc212073448"/>
      <w:r w:rsidRPr="007B04C7">
        <w:rPr>
          <w:rStyle w:val="Heading2Char"/>
          <w:lang w:val="en-US"/>
        </w:rPr>
        <w:t>Supplementary Figure 8. Detection sensitivity and variant allele frequencies in a reference standard across VAF thresholds.</w:t>
      </w:r>
      <w:bookmarkEnd w:id="25"/>
      <w:r>
        <w:rPr>
          <w:bCs/>
          <w:lang w:val="en-US"/>
        </w:rPr>
        <w:t xml:space="preserve"> </w:t>
      </w:r>
      <w:r>
        <w:rPr>
          <w:b/>
          <w:bCs/>
          <w:lang w:val="en-US"/>
        </w:rPr>
        <w:t>A)</w:t>
      </w:r>
      <w:r>
        <w:rPr>
          <w:bCs/>
          <w:lang w:val="en-US"/>
        </w:rPr>
        <w:t xml:space="preserve"> Percentage of known variants detected in a reference material at 5% and 1% variant allele frequency (VAF), using a minimum UMI family support of 1 read. At 5% VAF, all 132/132 variants were detected (100%), while 125/132 (94.7%) were detected at 1% VAF.</w:t>
      </w:r>
      <w:r>
        <w:rPr>
          <w:bCs/>
          <w:lang w:val="en-US"/>
        </w:rPr>
        <w:br/>
      </w:r>
      <w:r>
        <w:rPr>
          <w:b/>
          <w:bCs/>
          <w:lang w:val="en-US"/>
        </w:rPr>
        <w:t>B)</w:t>
      </w:r>
      <w:r>
        <w:rPr>
          <w:bCs/>
          <w:lang w:val="en-US"/>
        </w:rPr>
        <w:t xml:space="preserve"> </w:t>
      </w:r>
      <w:proofErr w:type="spellStart"/>
      <w:r>
        <w:rPr>
          <w:bCs/>
          <w:lang w:val="en-US"/>
        </w:rPr>
        <w:t>Swarmplot</w:t>
      </w:r>
      <w:proofErr w:type="spellEnd"/>
      <w:r>
        <w:rPr>
          <w:bCs/>
          <w:lang w:val="en-US"/>
        </w:rPr>
        <w:t xml:space="preserve"> showing the distribution of observed VAFs for all detected variants. Each point represents one variant, expressed as a percentage. Detected VAFs are consistently lower in the 1% VAF reference, as expected. Colors indicate VAF group: blue for 5% and red for 1%.</w:t>
      </w:r>
    </w:p>
    <w:p w14:paraId="0B5C6F51" w14:textId="77777777" w:rsidR="00045D2C" w:rsidRDefault="00000000" w:rsidP="005A6760">
      <w:pPr>
        <w:spacing w:line="360" w:lineRule="auto"/>
        <w:rPr>
          <w:bCs/>
          <w:lang w:val="en-US"/>
        </w:rPr>
      </w:pPr>
      <w:r>
        <w:rPr>
          <w:bCs/>
          <w:lang w:val="en-US"/>
        </w:rPr>
        <w:br w:type="page"/>
      </w:r>
    </w:p>
    <w:p w14:paraId="74271BE3" w14:textId="77777777" w:rsidR="00045D2C" w:rsidRDefault="00045D2C" w:rsidP="005A6760">
      <w:pPr>
        <w:spacing w:line="360" w:lineRule="auto"/>
        <w:jc w:val="both"/>
        <w:rPr>
          <w:bCs/>
          <w:lang w:val="en-US"/>
        </w:rPr>
      </w:pPr>
    </w:p>
    <w:p w14:paraId="1B65CCC7" w14:textId="77777777" w:rsidR="00045D2C" w:rsidRDefault="00045D2C" w:rsidP="005A6760">
      <w:pPr>
        <w:spacing w:line="360" w:lineRule="auto"/>
        <w:jc w:val="both"/>
        <w:rPr>
          <w:b/>
          <w:lang w:val="en-US"/>
        </w:rPr>
      </w:pPr>
    </w:p>
    <w:p w14:paraId="2B6DA4C4" w14:textId="77777777" w:rsidR="00045D2C" w:rsidRDefault="00000000" w:rsidP="005A6760">
      <w:pPr>
        <w:tabs>
          <w:tab w:val="left" w:pos="6096"/>
        </w:tabs>
        <w:spacing w:line="360" w:lineRule="auto"/>
        <w:rPr>
          <w:b/>
          <w:lang w:val="en-US"/>
        </w:rPr>
      </w:pPr>
      <w:r>
        <w:rPr>
          <w:b/>
          <w:noProof/>
          <w:lang w:val="en-US"/>
        </w:rPr>
        <w:drawing>
          <wp:inline distT="0" distB="0" distL="0" distR="0" wp14:anchorId="2FCBE10B" wp14:editId="3B8541EE">
            <wp:extent cx="5760720" cy="2468880"/>
            <wp:effectExtent l="0" t="0" r="0" b="7620"/>
            <wp:docPr id="18925656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65665" name="Picture 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2468880"/>
                    </a:xfrm>
                    <a:prstGeom prst="rect">
                      <a:avLst/>
                    </a:prstGeom>
                  </pic:spPr>
                </pic:pic>
              </a:graphicData>
            </a:graphic>
          </wp:inline>
        </w:drawing>
      </w:r>
    </w:p>
    <w:p w14:paraId="05589D35" w14:textId="5225EDC9" w:rsidR="007B04C7" w:rsidRDefault="004B0CBA" w:rsidP="005A6760">
      <w:pPr>
        <w:spacing w:line="360" w:lineRule="auto"/>
        <w:jc w:val="both"/>
        <w:rPr>
          <w:bCs/>
          <w:lang w:val="en-US"/>
        </w:rPr>
      </w:pPr>
      <w:bookmarkStart w:id="26" w:name="_Toc212073449"/>
      <w:r w:rsidRPr="007B04C7">
        <w:rPr>
          <w:rStyle w:val="Heading2Char"/>
          <w:lang w:val="en-US"/>
        </w:rPr>
        <w:t xml:space="preserve">Supplementary Figure 9. </w:t>
      </w:r>
      <w:proofErr w:type="spellStart"/>
      <w:r w:rsidRPr="007B04C7">
        <w:rPr>
          <w:rStyle w:val="Heading2Char"/>
          <w:lang w:val="en-US"/>
        </w:rPr>
        <w:t>Fragmentomic</w:t>
      </w:r>
      <w:proofErr w:type="spellEnd"/>
      <w:r w:rsidRPr="007B04C7">
        <w:rPr>
          <w:rStyle w:val="Heading2Char"/>
          <w:lang w:val="en-US"/>
        </w:rPr>
        <w:t xml:space="preserve"> profiles stratified by HRD mutation status and genomic instability.</w:t>
      </w:r>
      <w:bookmarkEnd w:id="26"/>
      <w:r>
        <w:rPr>
          <w:b/>
          <w:i/>
          <w:lang w:val="en-US"/>
        </w:rPr>
        <w:t xml:space="preserve"> </w:t>
      </w:r>
      <w:r>
        <w:rPr>
          <w:b/>
          <w:bCs/>
          <w:lang w:val="en-US"/>
        </w:rPr>
        <w:t>A)</w:t>
      </w:r>
      <w:r>
        <w:rPr>
          <w:bCs/>
          <w:lang w:val="en-US"/>
        </w:rPr>
        <w:t xml:space="preserve"> Heatmap of cfDNA fragment length distributions across patient and control samples. Rows represent individual plasma samples, and columns correspond to fragment length bins. Values are normalized intensities. </w:t>
      </w:r>
      <w:r>
        <w:rPr>
          <w:b/>
          <w:bCs/>
          <w:lang w:val="en-US"/>
        </w:rPr>
        <w:t>B)</w:t>
      </w:r>
      <w:r>
        <w:rPr>
          <w:bCs/>
          <w:lang w:val="en-US"/>
        </w:rPr>
        <w:t xml:space="preserve"> Heatmap of cfDNA 4-mer end motif usage from the same samples. Columns represent specific end motifs, and color intensity reflects relative motif frequency.</w:t>
      </w:r>
      <w:r>
        <w:rPr>
          <w:bCs/>
          <w:lang w:val="en-US"/>
        </w:rPr>
        <w:br/>
        <w:t xml:space="preserve">Samples are hierarchically clustered in both panels. Sample classes are annotated by color: red (pathogenic mutation in </w:t>
      </w:r>
      <w:r>
        <w:rPr>
          <w:bCs/>
          <w:i/>
          <w:iCs/>
          <w:lang w:val="en-US"/>
        </w:rPr>
        <w:t>BRCA1/2</w:t>
      </w:r>
      <w:r>
        <w:rPr>
          <w:bCs/>
          <w:lang w:val="en-US"/>
        </w:rPr>
        <w:t xml:space="preserve"> or </w:t>
      </w:r>
      <w:r>
        <w:rPr>
          <w:bCs/>
          <w:i/>
          <w:iCs/>
          <w:lang w:val="en-US"/>
        </w:rPr>
        <w:t>PALB2</w:t>
      </w:r>
      <w:r>
        <w:rPr>
          <w:bCs/>
          <w:lang w:val="en-US"/>
        </w:rPr>
        <w:t xml:space="preserve">), yellow (no mutation, </w:t>
      </w:r>
      <w:proofErr w:type="spellStart"/>
      <w:r>
        <w:rPr>
          <w:bCs/>
          <w:lang w:val="en-US"/>
        </w:rPr>
        <w:t>sHRD</w:t>
      </w:r>
      <w:proofErr w:type="spellEnd"/>
      <w:r>
        <w:rPr>
          <w:bCs/>
          <w:lang w:val="en-US"/>
        </w:rPr>
        <w:t xml:space="preserve"> ≥ 20), orange (no mutation, intermediate </w:t>
      </w:r>
      <w:proofErr w:type="spellStart"/>
      <w:r>
        <w:rPr>
          <w:bCs/>
          <w:lang w:val="en-US"/>
        </w:rPr>
        <w:t>sHRD</w:t>
      </w:r>
      <w:proofErr w:type="spellEnd"/>
      <w:r>
        <w:rPr>
          <w:bCs/>
          <w:lang w:val="en-US"/>
        </w:rPr>
        <w:t xml:space="preserve"> 15–20), gray (no mutation, </w:t>
      </w:r>
      <w:proofErr w:type="spellStart"/>
      <w:r>
        <w:rPr>
          <w:bCs/>
          <w:lang w:val="en-US"/>
        </w:rPr>
        <w:t>sHRD</w:t>
      </w:r>
      <w:proofErr w:type="spellEnd"/>
      <w:r>
        <w:rPr>
          <w:bCs/>
          <w:lang w:val="en-US"/>
        </w:rPr>
        <w:t xml:space="preserve"> &lt; 15), and green (healthy controls).</w:t>
      </w:r>
    </w:p>
    <w:p w14:paraId="7E890E1C" w14:textId="14200D71" w:rsidR="00810E64" w:rsidRDefault="00301E4B" w:rsidP="005A6760">
      <w:pPr>
        <w:spacing w:line="360" w:lineRule="auto"/>
        <w:jc w:val="both"/>
        <w:rPr>
          <w:bCs/>
          <w:lang w:val="en-US"/>
        </w:rPr>
      </w:pPr>
      <w:r w:rsidRPr="007B04C7">
        <w:rPr>
          <w:bCs/>
          <w:noProof/>
          <w:lang w:val="en-US"/>
        </w:rPr>
        <w:lastRenderedPageBreak/>
        <w:drawing>
          <wp:anchor distT="0" distB="0" distL="114300" distR="114300" simplePos="0" relativeHeight="251668480" behindDoc="0" locked="0" layoutInCell="1" allowOverlap="1" wp14:anchorId="7ABF3C97" wp14:editId="2CB05E3A">
            <wp:simplePos x="0" y="0"/>
            <wp:positionH relativeFrom="margin">
              <wp:align>right</wp:align>
            </wp:positionH>
            <wp:positionV relativeFrom="paragraph">
              <wp:posOffset>-449</wp:posOffset>
            </wp:positionV>
            <wp:extent cx="5760085" cy="3361690"/>
            <wp:effectExtent l="0" t="0" r="0" b="0"/>
            <wp:wrapSquare wrapText="bothSides"/>
            <wp:docPr id="14628472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47278" name="Graphic 1"/>
                    <pic:cNvPicPr/>
                  </pic:nvPicPr>
                  <pic:blipFill>
                    <a:blip r:embed="rId25">
                      <a:extLst>
                        <a:ext uri="{96DAC541-7B7A-43D3-8B79-37D633B846F1}">
                          <asvg:svgBlip xmlns:asvg="http://schemas.microsoft.com/office/drawing/2016/SVG/main" r:embed="rId26"/>
                        </a:ext>
                      </a:extLst>
                    </a:blip>
                    <a:stretch>
                      <a:fillRect/>
                    </a:stretch>
                  </pic:blipFill>
                  <pic:spPr>
                    <a:xfrm>
                      <a:off x="0" y="0"/>
                      <a:ext cx="5760085" cy="3361690"/>
                    </a:xfrm>
                    <a:prstGeom prst="rect">
                      <a:avLst/>
                    </a:prstGeom>
                  </pic:spPr>
                </pic:pic>
              </a:graphicData>
            </a:graphic>
          </wp:anchor>
        </w:drawing>
      </w:r>
    </w:p>
    <w:p w14:paraId="6D62DB28" w14:textId="71DCDFC7" w:rsidR="007B04C7" w:rsidRDefault="007B04C7" w:rsidP="005A6760">
      <w:pPr>
        <w:spacing w:line="360" w:lineRule="auto"/>
        <w:jc w:val="both"/>
        <w:rPr>
          <w:bCs/>
          <w:lang w:val="en-US"/>
        </w:rPr>
      </w:pPr>
      <w:bookmarkStart w:id="27" w:name="_Toc212073450"/>
      <w:r w:rsidRPr="005A6760">
        <w:rPr>
          <w:rStyle w:val="Heading2Char"/>
          <w:lang w:val="en-US"/>
        </w:rPr>
        <w:t>Supplementary Figure 10. Somatic landscape of Fanconi anemia (FANC) pathway genes in prostate cancer WES data.</w:t>
      </w:r>
      <w:bookmarkEnd w:id="27"/>
      <w:r>
        <w:rPr>
          <w:rStyle w:val="Heading2Char"/>
          <w:bCs/>
          <w:lang w:val="en-US"/>
        </w:rPr>
        <w:t xml:space="preserve"> </w:t>
      </w:r>
      <w:proofErr w:type="spellStart"/>
      <w:r w:rsidRPr="007B04C7">
        <w:rPr>
          <w:bCs/>
          <w:lang w:val="en-US"/>
        </w:rPr>
        <w:t>Oncoprint</w:t>
      </w:r>
      <w:proofErr w:type="spellEnd"/>
      <w:r w:rsidRPr="007B04C7">
        <w:rPr>
          <w:bCs/>
          <w:lang w:val="en-US"/>
        </w:rPr>
        <w:t xml:space="preserve"> summarizing pathogenic and likely pathogenic mutations identified in Fanconi pathway genes across the </w:t>
      </w:r>
      <w:r>
        <w:rPr>
          <w:bCs/>
          <w:lang w:val="en-US"/>
        </w:rPr>
        <w:t>WES dataset</w:t>
      </w:r>
      <w:r w:rsidRPr="007B04C7">
        <w:rPr>
          <w:bCs/>
          <w:lang w:val="en-US"/>
        </w:rPr>
        <w:t>. Each column represents a patient, and each row corresponds to a gene. T</w:t>
      </w:r>
      <w:r w:rsidR="00E632E8">
        <w:rPr>
          <w:bCs/>
          <w:lang w:val="en-US"/>
        </w:rPr>
        <w:t>he t</w:t>
      </w:r>
      <w:r w:rsidRPr="007B04C7">
        <w:rPr>
          <w:bCs/>
          <w:lang w:val="en-US"/>
        </w:rPr>
        <w:t xml:space="preserve">op </w:t>
      </w:r>
      <w:proofErr w:type="spellStart"/>
      <w:r w:rsidRPr="007B04C7">
        <w:rPr>
          <w:bCs/>
          <w:lang w:val="en-US"/>
        </w:rPr>
        <w:t>barplot</w:t>
      </w:r>
      <w:proofErr w:type="spellEnd"/>
      <w:r w:rsidRPr="007B04C7">
        <w:rPr>
          <w:bCs/>
          <w:lang w:val="en-US"/>
        </w:rPr>
        <w:t xml:space="preserve"> indicates the number of mutated genes per patient, and the right </w:t>
      </w:r>
      <w:proofErr w:type="spellStart"/>
      <w:r w:rsidRPr="007B04C7">
        <w:rPr>
          <w:bCs/>
          <w:lang w:val="en-US"/>
        </w:rPr>
        <w:t>barplot</w:t>
      </w:r>
      <w:proofErr w:type="spellEnd"/>
      <w:r w:rsidRPr="007B04C7">
        <w:rPr>
          <w:bCs/>
          <w:lang w:val="en-US"/>
        </w:rPr>
        <w:t xml:space="preserve"> </w:t>
      </w:r>
      <w:r w:rsidR="00E632E8">
        <w:rPr>
          <w:bCs/>
          <w:lang w:val="en-US"/>
        </w:rPr>
        <w:t>shows</w:t>
      </w:r>
      <w:r w:rsidRPr="007B04C7">
        <w:rPr>
          <w:bCs/>
          <w:lang w:val="en-US"/>
        </w:rPr>
        <w:t xml:space="preserve"> the number of patients affected per gene.</w:t>
      </w:r>
    </w:p>
    <w:p w14:paraId="101F44E0" w14:textId="77777777" w:rsidR="007B5968" w:rsidRDefault="007B5968" w:rsidP="005A6760">
      <w:pPr>
        <w:spacing w:line="360" w:lineRule="auto"/>
        <w:jc w:val="both"/>
        <w:rPr>
          <w:bCs/>
          <w:lang w:val="en-US"/>
        </w:rPr>
      </w:pPr>
    </w:p>
    <w:p w14:paraId="5257B25C" w14:textId="25E4BD75" w:rsidR="007B5968" w:rsidRDefault="007B5968" w:rsidP="007B5968">
      <w:pPr>
        <w:spacing w:line="360" w:lineRule="auto"/>
        <w:jc w:val="both"/>
        <w:rPr>
          <w:lang w:val="en-US"/>
        </w:rPr>
      </w:pPr>
      <w:r w:rsidRPr="00F85956">
        <w:rPr>
          <w:rStyle w:val="Heading2Char"/>
          <w:noProof/>
        </w:rPr>
        <w:lastRenderedPageBreak/>
        <w:drawing>
          <wp:anchor distT="0" distB="0" distL="114300" distR="114300" simplePos="0" relativeHeight="251674624" behindDoc="0" locked="0" layoutInCell="1" allowOverlap="1" wp14:anchorId="09625D4D" wp14:editId="1DA1F957">
            <wp:simplePos x="0" y="0"/>
            <wp:positionH relativeFrom="column">
              <wp:posOffset>-1367</wp:posOffset>
            </wp:positionH>
            <wp:positionV relativeFrom="paragraph">
              <wp:posOffset>-285212</wp:posOffset>
            </wp:positionV>
            <wp:extent cx="5758180" cy="5306695"/>
            <wp:effectExtent l="0" t="0" r="0" b="8255"/>
            <wp:wrapSquare wrapText="bothSides"/>
            <wp:docPr id="101581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8180" cy="5306695"/>
                    </a:xfrm>
                    <a:prstGeom prst="rect">
                      <a:avLst/>
                    </a:prstGeom>
                    <a:noFill/>
                    <a:ln>
                      <a:noFill/>
                    </a:ln>
                  </pic:spPr>
                </pic:pic>
              </a:graphicData>
            </a:graphic>
          </wp:anchor>
        </w:drawing>
      </w:r>
      <w:bookmarkStart w:id="28" w:name="_Toc212073451"/>
      <w:r w:rsidRPr="0077340B">
        <w:rPr>
          <w:rStyle w:val="Heading2Char"/>
          <w:lang w:val="en-US"/>
        </w:rPr>
        <w:t>Supplementary Figure 1</w:t>
      </w:r>
      <w:r>
        <w:rPr>
          <w:rStyle w:val="Heading2Char"/>
          <w:lang w:val="en-US"/>
        </w:rPr>
        <w:t>1</w:t>
      </w:r>
      <w:r w:rsidRPr="0077340B">
        <w:rPr>
          <w:rStyle w:val="Heading2Char"/>
          <w:lang w:val="en-US"/>
        </w:rPr>
        <w:t>. Fragment length distributions stratified by HRR mutation status.</w:t>
      </w:r>
      <w:bookmarkEnd w:id="28"/>
      <w:r w:rsidRPr="000E68C7">
        <w:rPr>
          <w:lang w:val="en-US"/>
        </w:rPr>
        <w:t xml:space="preserve"> </w:t>
      </w:r>
      <w:r w:rsidRPr="00B84A5B">
        <w:rPr>
          <w:b/>
          <w:bCs/>
          <w:lang w:val="en-US"/>
        </w:rPr>
        <w:t>(A)</w:t>
      </w:r>
      <w:r w:rsidRPr="000E68C7">
        <w:rPr>
          <w:lang w:val="en-US"/>
        </w:rPr>
        <w:t xml:space="preserve"> Fragment counts across all samples, demonstrating balanced sequencing depth between groups. </w:t>
      </w:r>
      <w:r w:rsidRPr="00B84A5B">
        <w:rPr>
          <w:b/>
          <w:bCs/>
          <w:lang w:val="en-US"/>
        </w:rPr>
        <w:t>(B)</w:t>
      </w:r>
      <w:r w:rsidRPr="000E68C7">
        <w:rPr>
          <w:lang w:val="en-US"/>
        </w:rPr>
        <w:t xml:space="preserve"> Tumor fraction comparison between HRR-mutated (</w:t>
      </w:r>
      <w:r w:rsidRPr="00E632E8">
        <w:rPr>
          <w:i/>
          <w:iCs/>
          <w:lang w:val="en-US"/>
        </w:rPr>
        <w:t>BRCA1/2</w:t>
      </w:r>
      <w:r w:rsidRPr="000E68C7">
        <w:rPr>
          <w:lang w:val="en-US"/>
        </w:rPr>
        <w:t xml:space="preserve"> or </w:t>
      </w:r>
      <w:r w:rsidRPr="00E632E8">
        <w:rPr>
          <w:i/>
          <w:iCs/>
          <w:lang w:val="en-US"/>
        </w:rPr>
        <w:t>PALB2</w:t>
      </w:r>
      <w:r w:rsidRPr="000E68C7">
        <w:rPr>
          <w:lang w:val="en-US"/>
        </w:rPr>
        <w:t xml:space="preserve">) and HRR-wildtype tumors, showing no significant difference. </w:t>
      </w:r>
      <w:r w:rsidRPr="00B84A5B">
        <w:rPr>
          <w:b/>
          <w:bCs/>
          <w:lang w:val="en-US"/>
        </w:rPr>
        <w:t>(C)</w:t>
      </w:r>
      <w:r w:rsidRPr="000E68C7">
        <w:rPr>
          <w:lang w:val="en-US"/>
        </w:rPr>
        <w:t xml:space="preserve"> Enrichment of short fragments in all cancer groups relative to healthy controls. </w:t>
      </w:r>
      <w:r w:rsidRPr="00B84A5B">
        <w:rPr>
          <w:b/>
          <w:bCs/>
          <w:lang w:val="en-US"/>
        </w:rPr>
        <w:t>(D)</w:t>
      </w:r>
      <w:r w:rsidRPr="000E68C7">
        <w:rPr>
          <w:lang w:val="en-US"/>
        </w:rPr>
        <w:t xml:space="preserve"> Specific enrichment of 290–320 bp fragments observed exclusively in BRCA1/2 or PALB2 mutation samples, consistent with </w:t>
      </w:r>
      <w:proofErr w:type="spellStart"/>
      <w:r w:rsidRPr="000E68C7">
        <w:rPr>
          <w:lang w:val="en-US"/>
        </w:rPr>
        <w:t>dinucleosome</w:t>
      </w:r>
      <w:proofErr w:type="spellEnd"/>
      <w:r w:rsidRPr="000E68C7">
        <w:rPr>
          <w:lang w:val="en-US"/>
        </w:rPr>
        <w:t xml:space="preserve">-associated lengths. </w:t>
      </w:r>
      <w:r w:rsidRPr="00F20B57">
        <w:rPr>
          <w:lang w:val="en-US"/>
        </w:rPr>
        <w:t>Adjusted p-values were obtained from two-sided Mann–Whitney U tests with Benjamini–Hochberg false-discovery-rate correction, as described in the Methods.</w:t>
      </w:r>
    </w:p>
    <w:p w14:paraId="515C05CF" w14:textId="77777777" w:rsidR="007B5968" w:rsidRPr="007B04C7" w:rsidRDefault="007B5968" w:rsidP="005A6760">
      <w:pPr>
        <w:spacing w:line="360" w:lineRule="auto"/>
        <w:jc w:val="both"/>
        <w:rPr>
          <w:bCs/>
          <w:lang w:val="en-US"/>
        </w:rPr>
      </w:pPr>
    </w:p>
    <w:p w14:paraId="6981BFE4" w14:textId="66CBB2AE" w:rsidR="006A737D" w:rsidRDefault="006A737D" w:rsidP="005A6760">
      <w:pPr>
        <w:spacing w:line="360" w:lineRule="auto"/>
        <w:jc w:val="both"/>
        <w:rPr>
          <w:bCs/>
          <w:lang w:val="en-US"/>
        </w:rPr>
      </w:pPr>
      <w:r w:rsidRPr="00F85956">
        <w:rPr>
          <w:rStyle w:val="Heading2Char"/>
          <w:noProof/>
        </w:rPr>
        <w:lastRenderedPageBreak/>
        <w:drawing>
          <wp:anchor distT="0" distB="0" distL="114300" distR="114300" simplePos="0" relativeHeight="251670528" behindDoc="0" locked="0" layoutInCell="1" allowOverlap="1" wp14:anchorId="7E571F69" wp14:editId="6F1AC3E1">
            <wp:simplePos x="0" y="0"/>
            <wp:positionH relativeFrom="column">
              <wp:posOffset>1270</wp:posOffset>
            </wp:positionH>
            <wp:positionV relativeFrom="paragraph">
              <wp:posOffset>-635</wp:posOffset>
            </wp:positionV>
            <wp:extent cx="5760720" cy="2191385"/>
            <wp:effectExtent l="0" t="0" r="0" b="0"/>
            <wp:wrapSquare wrapText="bothSides"/>
            <wp:docPr id="11925698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69839"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5760720" cy="2191385"/>
                    </a:xfrm>
                    <a:prstGeom prst="rect">
                      <a:avLst/>
                    </a:prstGeom>
                  </pic:spPr>
                </pic:pic>
              </a:graphicData>
            </a:graphic>
          </wp:anchor>
        </w:drawing>
      </w:r>
      <w:bookmarkStart w:id="29" w:name="_Toc212073452"/>
      <w:r w:rsidRPr="0077340B">
        <w:rPr>
          <w:rStyle w:val="Heading2Char"/>
          <w:lang w:val="en-US"/>
        </w:rPr>
        <w:t>Supplementary Figure 1</w:t>
      </w:r>
      <w:r w:rsidR="007B5968">
        <w:rPr>
          <w:rStyle w:val="Heading2Char"/>
          <w:lang w:val="en-US"/>
        </w:rPr>
        <w:t>2</w:t>
      </w:r>
      <w:r w:rsidRPr="0077340B">
        <w:rPr>
          <w:rStyle w:val="Heading2Char"/>
          <w:lang w:val="en-US"/>
        </w:rPr>
        <w:t>. Quantification of differential accessibility</w:t>
      </w:r>
      <w:r w:rsidR="007D36F0" w:rsidRPr="0077340B">
        <w:rPr>
          <w:rStyle w:val="Heading2Char"/>
          <w:lang w:val="en-US"/>
        </w:rPr>
        <w:t xml:space="preserve"> </w:t>
      </w:r>
      <w:r w:rsidRPr="0077340B">
        <w:rPr>
          <w:rStyle w:val="Heading2Char"/>
          <w:lang w:val="en-US"/>
        </w:rPr>
        <w:t>transcription factor binding sites.</w:t>
      </w:r>
      <w:bookmarkEnd w:id="29"/>
      <w:r>
        <w:rPr>
          <w:rFonts w:eastAsia="DengXian Light"/>
          <w:b/>
          <w:bCs/>
          <w:i/>
          <w:color w:val="000000"/>
          <w:szCs w:val="26"/>
          <w:lang w:val="en-US" w:eastAsia="zh-CN"/>
        </w:rPr>
        <w:t xml:space="preserve"> </w:t>
      </w:r>
      <w:r w:rsidRPr="00B84A5B">
        <w:rPr>
          <w:b/>
          <w:lang w:val="en-US"/>
        </w:rPr>
        <w:t>(A)</w:t>
      </w:r>
      <w:r w:rsidRPr="006A737D">
        <w:rPr>
          <w:bCs/>
          <w:lang w:val="en-US"/>
        </w:rPr>
        <w:t xml:space="preserve"> </w:t>
      </w:r>
      <w:r w:rsidRPr="00E632E8">
        <w:rPr>
          <w:bCs/>
          <w:i/>
          <w:iCs/>
          <w:lang w:val="en-US"/>
        </w:rPr>
        <w:t>BRCA2</w:t>
      </w:r>
      <w:r w:rsidRPr="006A737D">
        <w:rPr>
          <w:bCs/>
          <w:lang w:val="en-US"/>
        </w:rPr>
        <w:t>/</w:t>
      </w:r>
      <w:proofErr w:type="spellStart"/>
      <w:r w:rsidRPr="006A737D">
        <w:rPr>
          <w:bCs/>
          <w:lang w:val="en-US"/>
        </w:rPr>
        <w:t>sHRD</w:t>
      </w:r>
      <w:proofErr w:type="spellEnd"/>
      <w:r w:rsidRPr="006A737D">
        <w:rPr>
          <w:bCs/>
          <w:lang w:val="en-US"/>
        </w:rPr>
        <w:t xml:space="preserve">-high versus HRR-proficient tumors, </w:t>
      </w:r>
      <w:r w:rsidRPr="00B84A5B">
        <w:rPr>
          <w:b/>
          <w:lang w:val="en-US"/>
        </w:rPr>
        <w:t>(B)</w:t>
      </w:r>
      <w:r w:rsidRPr="006A737D">
        <w:rPr>
          <w:bCs/>
          <w:lang w:val="en-US"/>
        </w:rPr>
        <w:t xml:space="preserve"> </w:t>
      </w:r>
      <w:r w:rsidRPr="00E632E8">
        <w:rPr>
          <w:bCs/>
          <w:i/>
          <w:iCs/>
          <w:lang w:val="en-US"/>
        </w:rPr>
        <w:t>BRCA2</w:t>
      </w:r>
      <w:r w:rsidRPr="006A737D">
        <w:rPr>
          <w:bCs/>
          <w:lang w:val="en-US"/>
        </w:rPr>
        <w:t>/</w:t>
      </w:r>
      <w:proofErr w:type="spellStart"/>
      <w:r w:rsidRPr="006A737D">
        <w:rPr>
          <w:bCs/>
          <w:lang w:val="en-US"/>
        </w:rPr>
        <w:t>sHRD</w:t>
      </w:r>
      <w:proofErr w:type="spellEnd"/>
      <w:r w:rsidRPr="006A737D">
        <w:rPr>
          <w:bCs/>
          <w:lang w:val="en-US"/>
        </w:rPr>
        <w:t xml:space="preserve">-high versus </w:t>
      </w:r>
      <w:r w:rsidRPr="00E632E8">
        <w:rPr>
          <w:bCs/>
          <w:i/>
          <w:iCs/>
          <w:lang w:val="en-US"/>
        </w:rPr>
        <w:t>TP53</w:t>
      </w:r>
      <w:r w:rsidRPr="006A737D">
        <w:rPr>
          <w:bCs/>
          <w:lang w:val="en-US"/>
        </w:rPr>
        <w:t>/</w:t>
      </w:r>
      <w:r w:rsidRPr="00E632E8">
        <w:rPr>
          <w:bCs/>
          <w:i/>
          <w:iCs/>
          <w:lang w:val="en-US"/>
        </w:rPr>
        <w:t>RB1</w:t>
      </w:r>
      <w:r w:rsidRPr="006A737D">
        <w:rPr>
          <w:bCs/>
          <w:lang w:val="en-US"/>
        </w:rPr>
        <w:t xml:space="preserve">/NE tumors, and </w:t>
      </w:r>
      <w:r w:rsidRPr="00B84A5B">
        <w:rPr>
          <w:b/>
          <w:lang w:val="en-US"/>
        </w:rPr>
        <w:t>(C)</w:t>
      </w:r>
      <w:r w:rsidRPr="006A737D">
        <w:rPr>
          <w:bCs/>
          <w:lang w:val="en-US"/>
        </w:rPr>
        <w:t xml:space="preserve"> </w:t>
      </w:r>
      <w:r w:rsidRPr="00E632E8">
        <w:rPr>
          <w:bCs/>
          <w:i/>
          <w:iCs/>
          <w:lang w:val="en-US"/>
        </w:rPr>
        <w:t>TP53</w:t>
      </w:r>
      <w:r w:rsidRPr="006A737D">
        <w:rPr>
          <w:bCs/>
          <w:lang w:val="en-US"/>
        </w:rPr>
        <w:t>/</w:t>
      </w:r>
      <w:r w:rsidRPr="00E632E8">
        <w:rPr>
          <w:bCs/>
          <w:i/>
          <w:iCs/>
          <w:lang w:val="en-US"/>
        </w:rPr>
        <w:t>RB1</w:t>
      </w:r>
      <w:r w:rsidRPr="006A737D">
        <w:rPr>
          <w:bCs/>
          <w:lang w:val="en-US"/>
        </w:rPr>
        <w:t xml:space="preserve">/NE versus HRR-proficient tumors. Each panel shows log₂ fold change (x-axis) versus –log₁₀ adjusted p-value (y-axis) for chromatin accessibility at ZNF TFBS derived from cfDNA. </w:t>
      </w:r>
      <w:r w:rsidR="00F20B57" w:rsidRPr="00F20B57">
        <w:rPr>
          <w:bCs/>
          <w:lang w:val="en-US"/>
        </w:rPr>
        <w:t>Adjusted p-values were obtained from two-sided Mann–Whitney U tests with Benjamini–Hochberg false-discovery-rate correction, as described in the Methods.</w:t>
      </w:r>
      <w:r w:rsidR="00F20B57">
        <w:rPr>
          <w:bCs/>
          <w:lang w:val="en-US"/>
        </w:rPr>
        <w:t xml:space="preserve"> </w:t>
      </w:r>
      <w:r w:rsidRPr="006A737D">
        <w:rPr>
          <w:bCs/>
          <w:lang w:val="en-US"/>
        </w:rPr>
        <w:t xml:space="preserve">Each point represents a single transcription factor binding site, with color indicating the direction and magnitude of the log₂ fold change. Gene names are labeled for significantly altered loci. Together, these comparisons highlight consistent reductions in accessibility at specific ZNF TFBS in HRD cfDNA, with the most pronounced effects observed in </w:t>
      </w:r>
      <w:r w:rsidRPr="00E632E8">
        <w:rPr>
          <w:bCs/>
          <w:i/>
          <w:iCs/>
          <w:lang w:val="en-US"/>
        </w:rPr>
        <w:t>BRCA2</w:t>
      </w:r>
      <w:r w:rsidRPr="006A737D">
        <w:rPr>
          <w:bCs/>
          <w:lang w:val="en-US"/>
        </w:rPr>
        <w:t>/</w:t>
      </w:r>
      <w:proofErr w:type="spellStart"/>
      <w:r w:rsidRPr="006A737D">
        <w:rPr>
          <w:bCs/>
          <w:lang w:val="en-US"/>
        </w:rPr>
        <w:t>sHRD</w:t>
      </w:r>
      <w:proofErr w:type="spellEnd"/>
      <w:r w:rsidRPr="006A737D">
        <w:rPr>
          <w:bCs/>
          <w:lang w:val="en-US"/>
        </w:rPr>
        <w:t xml:space="preserve">-high cases relative to </w:t>
      </w:r>
      <w:r w:rsidRPr="00E632E8">
        <w:rPr>
          <w:bCs/>
          <w:i/>
          <w:iCs/>
          <w:lang w:val="en-US"/>
        </w:rPr>
        <w:t>TP53</w:t>
      </w:r>
      <w:r w:rsidRPr="006A737D">
        <w:rPr>
          <w:bCs/>
          <w:lang w:val="en-US"/>
        </w:rPr>
        <w:t>/</w:t>
      </w:r>
      <w:r w:rsidRPr="00E632E8">
        <w:rPr>
          <w:bCs/>
          <w:i/>
          <w:iCs/>
          <w:lang w:val="en-US"/>
        </w:rPr>
        <w:t>RB1</w:t>
      </w:r>
      <w:r w:rsidRPr="006A737D">
        <w:rPr>
          <w:bCs/>
          <w:lang w:val="en-US"/>
        </w:rPr>
        <w:t>/</w:t>
      </w:r>
      <w:r w:rsidRPr="00E632E8">
        <w:rPr>
          <w:bCs/>
          <w:i/>
          <w:iCs/>
          <w:lang w:val="en-US"/>
        </w:rPr>
        <w:t>NE</w:t>
      </w:r>
      <w:r w:rsidRPr="006A737D">
        <w:rPr>
          <w:bCs/>
          <w:lang w:val="en-US"/>
        </w:rPr>
        <w:t xml:space="preserve"> tumors.</w:t>
      </w:r>
    </w:p>
    <w:p w14:paraId="20C990FE" w14:textId="25D3B1B0" w:rsidR="000E68C7" w:rsidRDefault="000E68C7" w:rsidP="005A6760">
      <w:pPr>
        <w:spacing w:line="360" w:lineRule="auto"/>
        <w:rPr>
          <w:bCs/>
          <w:lang w:val="en-US"/>
        </w:rPr>
      </w:pPr>
    </w:p>
    <w:p w14:paraId="4A196ADC" w14:textId="77777777" w:rsidR="0077340B" w:rsidRDefault="0077340B" w:rsidP="005A6760">
      <w:pPr>
        <w:spacing w:line="360" w:lineRule="auto"/>
        <w:jc w:val="both"/>
        <w:rPr>
          <w:lang w:val="en-US"/>
        </w:rPr>
      </w:pPr>
    </w:p>
    <w:p w14:paraId="5ED4D742" w14:textId="77777777" w:rsidR="0077340B" w:rsidRDefault="0077340B" w:rsidP="005A6760">
      <w:pPr>
        <w:spacing w:line="360" w:lineRule="auto"/>
        <w:jc w:val="both"/>
        <w:rPr>
          <w:lang w:val="en-US"/>
        </w:rPr>
      </w:pPr>
    </w:p>
    <w:p w14:paraId="088E482D" w14:textId="77777777" w:rsidR="0077340B" w:rsidRDefault="0077340B" w:rsidP="005A6760">
      <w:pPr>
        <w:spacing w:line="360" w:lineRule="auto"/>
        <w:jc w:val="both"/>
        <w:rPr>
          <w:lang w:val="en-US"/>
        </w:rPr>
      </w:pPr>
    </w:p>
    <w:p w14:paraId="0D11EC44" w14:textId="629E1F9F" w:rsidR="0077340B" w:rsidRPr="0077340B" w:rsidRDefault="0077340B" w:rsidP="005A6760">
      <w:pPr>
        <w:spacing w:line="360" w:lineRule="auto"/>
        <w:jc w:val="both"/>
        <w:rPr>
          <w:rFonts w:eastAsia="DengXian Light"/>
          <w:b/>
          <w:bCs/>
          <w:i/>
          <w:color w:val="000000"/>
          <w:szCs w:val="26"/>
          <w:lang w:val="en-US" w:eastAsia="zh-CN"/>
        </w:rPr>
      </w:pPr>
      <w:r w:rsidRPr="0077340B">
        <w:rPr>
          <w:noProof/>
          <w:lang w:val="en-US"/>
        </w:rPr>
        <w:lastRenderedPageBreak/>
        <w:drawing>
          <wp:anchor distT="0" distB="0" distL="114300" distR="114300" simplePos="0" relativeHeight="251672576" behindDoc="0" locked="0" layoutInCell="1" allowOverlap="1" wp14:anchorId="26F19FF8" wp14:editId="625E4A41">
            <wp:simplePos x="0" y="0"/>
            <wp:positionH relativeFrom="column">
              <wp:posOffset>537</wp:posOffset>
            </wp:positionH>
            <wp:positionV relativeFrom="paragraph">
              <wp:posOffset>-2052</wp:posOffset>
            </wp:positionV>
            <wp:extent cx="5760720" cy="5485130"/>
            <wp:effectExtent l="0" t="0" r="0" b="0"/>
            <wp:wrapSquare wrapText="bothSides"/>
            <wp:docPr id="7434230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23041"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5760720" cy="5485130"/>
                    </a:xfrm>
                    <a:prstGeom prst="rect">
                      <a:avLst/>
                    </a:prstGeom>
                  </pic:spPr>
                </pic:pic>
              </a:graphicData>
            </a:graphic>
          </wp:anchor>
        </w:drawing>
      </w:r>
      <w:bookmarkStart w:id="30" w:name="_Toc212073453"/>
      <w:r w:rsidRPr="002450AF">
        <w:rPr>
          <w:rStyle w:val="Heading2Char"/>
          <w:bCs/>
          <w:lang w:val="en-US"/>
        </w:rPr>
        <w:t>Supplementary Figure 1</w:t>
      </w:r>
      <w:r w:rsidR="00D33E36">
        <w:rPr>
          <w:rStyle w:val="Heading2Char"/>
          <w:bCs/>
          <w:lang w:val="en-US"/>
        </w:rPr>
        <w:t>3</w:t>
      </w:r>
      <w:r w:rsidRPr="002450AF">
        <w:rPr>
          <w:rStyle w:val="Heading2Char"/>
          <w:bCs/>
          <w:lang w:val="en-US"/>
        </w:rPr>
        <w:t xml:space="preserve">. </w:t>
      </w:r>
      <w:r w:rsidRPr="0077340B">
        <w:rPr>
          <w:rStyle w:val="Heading2Char"/>
          <w:bCs/>
          <w:lang w:val="en-US"/>
        </w:rPr>
        <w:t>Structural variant landscape in cfDNA WGS samples.</w:t>
      </w:r>
      <w:bookmarkEnd w:id="30"/>
      <w:r w:rsidRPr="0077340B">
        <w:rPr>
          <w:rStyle w:val="Heading2Char"/>
          <w:bCs/>
          <w:lang w:val="en-US"/>
        </w:rPr>
        <w:t xml:space="preserve"> </w:t>
      </w:r>
      <w:r w:rsidRPr="0077340B">
        <w:rPr>
          <w:b/>
          <w:bCs/>
          <w:lang w:val="en-US"/>
        </w:rPr>
        <w:t>(A)</w:t>
      </w:r>
      <w:r w:rsidRPr="0077340B">
        <w:rPr>
          <w:lang w:val="en-US"/>
        </w:rPr>
        <w:t xml:space="preserve"> Total number of structural variants per type (deletions, duplications, insertions, </w:t>
      </w:r>
      <w:proofErr w:type="spellStart"/>
      <w:r w:rsidRPr="0077340B">
        <w:rPr>
          <w:lang w:val="en-US"/>
        </w:rPr>
        <w:t>breakends</w:t>
      </w:r>
      <w:proofErr w:type="spellEnd"/>
      <w:r w:rsidRPr="0077340B">
        <w:rPr>
          <w:lang w:val="en-US"/>
        </w:rPr>
        <w:t xml:space="preserve">) detected across </w:t>
      </w:r>
      <w:r w:rsidR="00B84A5B">
        <w:rPr>
          <w:lang w:val="en-US"/>
        </w:rPr>
        <w:t>in the</w:t>
      </w:r>
      <w:r w:rsidRPr="0077340B">
        <w:rPr>
          <w:lang w:val="en-US"/>
        </w:rPr>
        <w:t xml:space="preserve"> high-coverage WGS samples.</w:t>
      </w:r>
      <w:r>
        <w:rPr>
          <w:lang w:val="en-US"/>
        </w:rPr>
        <w:t xml:space="preserve"> </w:t>
      </w:r>
      <w:r w:rsidRPr="0077340B">
        <w:rPr>
          <w:b/>
          <w:bCs/>
          <w:lang w:val="en-US"/>
        </w:rPr>
        <w:t>(B)</w:t>
      </w:r>
      <w:r w:rsidRPr="0077340B">
        <w:rPr>
          <w:lang w:val="en-US"/>
        </w:rPr>
        <w:t xml:space="preserve"> Subset of structural variants affecting coding regions only, showing the predominance of large deletions.</w:t>
      </w:r>
      <w:r>
        <w:rPr>
          <w:lang w:val="en-US"/>
        </w:rPr>
        <w:t xml:space="preserve"> </w:t>
      </w:r>
      <w:r w:rsidR="00B84A5B" w:rsidRPr="00B84A5B">
        <w:rPr>
          <w:b/>
          <w:bCs/>
          <w:lang w:val="en-US"/>
        </w:rPr>
        <w:t>(C)</w:t>
      </w:r>
      <w:r w:rsidR="00B84A5B" w:rsidRPr="00B84A5B">
        <w:rPr>
          <w:lang w:val="en-US"/>
        </w:rPr>
        <w:t xml:space="preserve"> </w:t>
      </w:r>
      <w:proofErr w:type="spellStart"/>
      <w:r w:rsidR="00B84A5B" w:rsidRPr="00B84A5B">
        <w:rPr>
          <w:lang w:val="en-US"/>
        </w:rPr>
        <w:t>Oncoprint</w:t>
      </w:r>
      <w:proofErr w:type="spellEnd"/>
      <w:r w:rsidR="00B84A5B" w:rsidRPr="00B84A5B">
        <w:rPr>
          <w:lang w:val="en-US"/>
        </w:rPr>
        <w:t xml:space="preserve"> of homologous recombination repair (HRR) genes affected by structural variants. Each cell represents the presence of a deletion (red), duplication (blue), insertion (orange), or translocation/</w:t>
      </w:r>
      <w:proofErr w:type="spellStart"/>
      <w:r w:rsidR="00B84A5B" w:rsidRPr="00B84A5B">
        <w:rPr>
          <w:lang w:val="en-US"/>
        </w:rPr>
        <w:t>breakend</w:t>
      </w:r>
      <w:proofErr w:type="spellEnd"/>
      <w:r w:rsidR="00B84A5B" w:rsidRPr="00B84A5B">
        <w:rPr>
          <w:lang w:val="en-US"/>
        </w:rPr>
        <w:t xml:space="preserve"> (purple). Deletions in </w:t>
      </w:r>
      <w:r w:rsidR="00B84A5B" w:rsidRPr="00B84A5B">
        <w:rPr>
          <w:i/>
          <w:iCs/>
          <w:lang w:val="en-US"/>
        </w:rPr>
        <w:t>BRCA1/2</w:t>
      </w:r>
      <w:r w:rsidR="00B84A5B" w:rsidRPr="00B84A5B">
        <w:rPr>
          <w:lang w:val="en-US"/>
        </w:rPr>
        <w:t xml:space="preserve">, </w:t>
      </w:r>
      <w:r w:rsidR="00B84A5B" w:rsidRPr="00B84A5B">
        <w:rPr>
          <w:i/>
          <w:iCs/>
          <w:lang w:val="en-US"/>
        </w:rPr>
        <w:t>PALB2</w:t>
      </w:r>
      <w:r w:rsidR="00B84A5B" w:rsidRPr="00B84A5B">
        <w:rPr>
          <w:lang w:val="en-US"/>
        </w:rPr>
        <w:t xml:space="preserve">, </w:t>
      </w:r>
      <w:r w:rsidR="00B84A5B" w:rsidRPr="00B84A5B">
        <w:rPr>
          <w:i/>
          <w:iCs/>
          <w:lang w:val="en-US"/>
        </w:rPr>
        <w:t>RAD51</w:t>
      </w:r>
      <w:r w:rsidR="00B84A5B" w:rsidRPr="00B84A5B">
        <w:rPr>
          <w:lang w:val="en-US"/>
        </w:rPr>
        <w:t xml:space="preserve"> family members, and other HRR regulators were common, while no recurrent fusions were detected. Duplications, insertions, or other structural variants were not observed in HRR genes.</w:t>
      </w:r>
    </w:p>
    <w:p w14:paraId="63E19E32" w14:textId="162B9C8B" w:rsidR="0077340B" w:rsidRDefault="0077340B" w:rsidP="005A6760">
      <w:pPr>
        <w:spacing w:line="360" w:lineRule="auto"/>
        <w:rPr>
          <w:lang w:val="en-US"/>
        </w:rPr>
      </w:pPr>
    </w:p>
    <w:p w14:paraId="208801B7" w14:textId="3068B468" w:rsidR="00D9683F" w:rsidRDefault="00D9683F" w:rsidP="005A6760">
      <w:pPr>
        <w:spacing w:line="360" w:lineRule="auto"/>
        <w:rPr>
          <w:rStyle w:val="Heading2Char"/>
        </w:rPr>
      </w:pPr>
      <w:r w:rsidRPr="00D9683F">
        <w:rPr>
          <w:rStyle w:val="Heading2Char"/>
        </w:rPr>
        <w:t>References</w:t>
      </w:r>
    </w:p>
    <w:p w14:paraId="61D750B9" w14:textId="77777777" w:rsidR="00E632E8" w:rsidRPr="00E632E8" w:rsidRDefault="00D9683F" w:rsidP="00E632E8">
      <w:pPr>
        <w:pStyle w:val="Bibliography"/>
        <w:rPr>
          <w:rFonts w:ascii="Calibri" w:hAnsi="Calibri" w:cs="Calibri"/>
          <w:lang w:val="en-US"/>
        </w:rPr>
      </w:pPr>
      <w:r>
        <w:rPr>
          <w:rStyle w:val="Heading2Char"/>
        </w:rPr>
        <w:fldChar w:fldCharType="begin"/>
      </w:r>
      <w:r w:rsidR="00E71097">
        <w:rPr>
          <w:rStyle w:val="Heading2Char"/>
        </w:rPr>
        <w:instrText xml:space="preserve"> ADDIN ZOTERO_BIBL {"uncited":[],"omitted":[],"custom":[]} CSL_BIBLIOGRAPHY </w:instrText>
      </w:r>
      <w:r>
        <w:rPr>
          <w:rStyle w:val="Heading2Char"/>
        </w:rPr>
        <w:fldChar w:fldCharType="separate"/>
      </w:r>
      <w:r w:rsidR="00E632E8" w:rsidRPr="00E632E8">
        <w:rPr>
          <w:rFonts w:ascii="Calibri" w:hAnsi="Calibri" w:cs="Calibri"/>
        </w:rPr>
        <w:t>1.</w:t>
      </w:r>
      <w:r w:rsidR="00E632E8" w:rsidRPr="00E632E8">
        <w:rPr>
          <w:rFonts w:ascii="Calibri" w:hAnsi="Calibri" w:cs="Calibri"/>
        </w:rPr>
        <w:tab/>
        <w:t xml:space="preserve">Heitzer E, Auer M, Hoffmann EM, Pichler M, Gasch C, Ulz P, et al. </w:t>
      </w:r>
      <w:r w:rsidR="00E632E8" w:rsidRPr="00E632E8">
        <w:rPr>
          <w:rFonts w:ascii="Calibri" w:hAnsi="Calibri" w:cs="Calibri"/>
          <w:lang w:val="en-US"/>
        </w:rPr>
        <w:t xml:space="preserve">Establishment of tumor‐specific copy number alterations from plasma DNA of patients with cancer. Intl Journal of Cancer. 2013 July 15;133(2):346–56. </w:t>
      </w:r>
    </w:p>
    <w:p w14:paraId="1C40A4C6"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lastRenderedPageBreak/>
        <w:t>2.</w:t>
      </w:r>
      <w:r w:rsidRPr="00E632E8">
        <w:rPr>
          <w:rFonts w:ascii="Calibri" w:hAnsi="Calibri" w:cs="Calibri"/>
          <w:lang w:val="en-US"/>
        </w:rPr>
        <w:tab/>
        <w:t xml:space="preserve">Belic J, Koch M, Ulz P, Auer M, Gerhalter T, Mohan S, et al. Rapid Identification of Plasma DNA Samples with Increased ctDNA Levels by a Modified FAST-SeqS Approach. Clinical Chemistry. 2015 June 1;61(6):838–49. </w:t>
      </w:r>
    </w:p>
    <w:p w14:paraId="76FDF20E"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3.</w:t>
      </w:r>
      <w:r w:rsidRPr="00E632E8">
        <w:rPr>
          <w:rFonts w:ascii="Calibri" w:hAnsi="Calibri" w:cs="Calibri"/>
          <w:lang w:val="en-US"/>
        </w:rPr>
        <w:tab/>
        <w:t>Md V, Misra S, Li H, Aluru S. Efficient Architecture-Aware Acceleration of BWA-MEM for Multicore Systems [Internet]. arXiv; 2019 [cited 2025 Oct 24]. Available from: https://arxiv.org/abs/1907.12931</w:t>
      </w:r>
    </w:p>
    <w:p w14:paraId="073BF0C9"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4.</w:t>
      </w:r>
      <w:r w:rsidRPr="00E632E8">
        <w:rPr>
          <w:rFonts w:ascii="Calibri" w:hAnsi="Calibri" w:cs="Calibri"/>
          <w:lang w:val="en-US"/>
        </w:rPr>
        <w:tab/>
        <w:t xml:space="preserve">Xu C, Gu X, Padmanabhan R, Wu Z, Peng Q, DiCarlo J, et al. smCounter2: an accurate low-frequency variant caller for targeted sequencing data with unique molecular identifiers. Bioinformatics. 2019 Apr 15;35(8):1299–309. </w:t>
      </w:r>
    </w:p>
    <w:p w14:paraId="2190FF80"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5.</w:t>
      </w:r>
      <w:r w:rsidRPr="00E632E8">
        <w:rPr>
          <w:rFonts w:ascii="Calibri" w:hAnsi="Calibri" w:cs="Calibri"/>
          <w:lang w:val="en-US"/>
        </w:rPr>
        <w:tab/>
        <w:t xml:space="preserve">Liu X, Jian X, Boerwinkle E. dbNSFP v2.0: A Database of Human Non-synonymous SNVs and Their Functional Predictions and Annotations. Human Mutation. 2013 Sept 1;34(9):E2393–402. </w:t>
      </w:r>
    </w:p>
    <w:p w14:paraId="52A698FB"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6.</w:t>
      </w:r>
      <w:r w:rsidRPr="00E632E8">
        <w:rPr>
          <w:rFonts w:ascii="Calibri" w:hAnsi="Calibri" w:cs="Calibri"/>
          <w:lang w:val="en-US"/>
        </w:rPr>
        <w:tab/>
        <w:t xml:space="preserve">Karczewski KJ, Francioli LC, Tiao G, Cummings BB, Alföldi J, Wang Q, et al. The mutational constraint spectrum quantified from variation in 141,456 humans. Nature. 2020;581(7809):434–43. </w:t>
      </w:r>
    </w:p>
    <w:p w14:paraId="5C47B9F6"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7.</w:t>
      </w:r>
      <w:r w:rsidRPr="00E632E8">
        <w:rPr>
          <w:rFonts w:ascii="Calibri" w:hAnsi="Calibri" w:cs="Calibri"/>
          <w:lang w:val="en-US"/>
        </w:rPr>
        <w:tab/>
        <w:t xml:space="preserve">Richards S, Aziz N, Bale S, Bick D, Das S, Gastier-Foster J, et al. Standards and guidelines for the interpretation of sequence variants: a joint consensus recommendation of the American College of Medical Genetics and Genomics and the Association for Molecular Pathology. Genetics in Medicine. 2015 May 1;17(5):405–24. </w:t>
      </w:r>
    </w:p>
    <w:p w14:paraId="46B5F7F8"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8.</w:t>
      </w:r>
      <w:r w:rsidRPr="00E632E8">
        <w:rPr>
          <w:rFonts w:ascii="Calibri" w:hAnsi="Calibri" w:cs="Calibri"/>
          <w:lang w:val="en-US"/>
        </w:rPr>
        <w:tab/>
        <w:t xml:space="preserve">Sheldon M. R. Introduction to Probability Models. Elsevier; 2014. </w:t>
      </w:r>
    </w:p>
    <w:p w14:paraId="4DF6CA9F"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9.</w:t>
      </w:r>
      <w:r w:rsidRPr="00E632E8">
        <w:rPr>
          <w:rFonts w:ascii="Calibri" w:hAnsi="Calibri" w:cs="Calibri"/>
          <w:lang w:val="en-US"/>
        </w:rPr>
        <w:tab/>
        <w:t xml:space="preserve">Blokzijl F, Janssen R, van Boxtel R, Cuppen E. MutationalPatterns: comprehensive genome-wide analysis of mutational processes. Genome Med. 2018 Apr 25;10(1):33. </w:t>
      </w:r>
    </w:p>
    <w:p w14:paraId="0FC81453"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10.</w:t>
      </w:r>
      <w:r w:rsidRPr="00E632E8">
        <w:rPr>
          <w:rFonts w:ascii="Calibri" w:hAnsi="Calibri" w:cs="Calibri"/>
          <w:lang w:val="en-US"/>
        </w:rPr>
        <w:tab/>
        <w:t xml:space="preserve">Alexandrov LB, Kim J, Haradhvala NJ, Huang MN, Tian Ng AW, Wu Y, et al. The repertoire of mutational signatures in human cancer. Nature. 2020 Feb 1;578(7793):94–101. </w:t>
      </w:r>
    </w:p>
    <w:p w14:paraId="09C07079"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11.</w:t>
      </w:r>
      <w:r w:rsidRPr="00E632E8">
        <w:rPr>
          <w:rFonts w:ascii="Calibri" w:hAnsi="Calibri" w:cs="Calibri"/>
          <w:lang w:val="en-US"/>
        </w:rPr>
        <w:tab/>
        <w:t xml:space="preserve">Favero F, Joshi T, Marquard AM, Birkbak NJ, Krzystanek M, Li Q, et al. Sequenza: allele-specific copy number and mutation profiles from tumor sequencing data. Annals of Oncology. 2015 Jan;26(1):64–70. </w:t>
      </w:r>
    </w:p>
    <w:p w14:paraId="36A78DE7"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12.</w:t>
      </w:r>
      <w:r w:rsidRPr="00E632E8">
        <w:rPr>
          <w:rFonts w:ascii="Calibri" w:hAnsi="Calibri" w:cs="Calibri"/>
          <w:lang w:val="en-US"/>
        </w:rPr>
        <w:tab/>
        <w:t xml:space="preserve">Heitzer E, Ulz P, Belic J, Gutschi S, Quehenberger F, Fischereder K, et al. Tumor-associated copy number changes in the circulation of patients with prostate cancer identified through whole-genome sequencing. Genome Medicine. 2013;5(4):30. </w:t>
      </w:r>
    </w:p>
    <w:p w14:paraId="54FB9662"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13.</w:t>
      </w:r>
      <w:r w:rsidRPr="00E632E8">
        <w:rPr>
          <w:rFonts w:ascii="Calibri" w:hAnsi="Calibri" w:cs="Calibri"/>
          <w:lang w:val="en-US"/>
        </w:rPr>
        <w:tab/>
        <w:t>Broad Institute. Picard Toolkit [Internet]. Broad Institute, GitHub repository; 2018. Available from: http://broadinstitute.github.io/picard/</w:t>
      </w:r>
    </w:p>
    <w:p w14:paraId="52C501AC"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14.</w:t>
      </w:r>
      <w:r w:rsidRPr="00E632E8">
        <w:rPr>
          <w:rFonts w:ascii="Calibri" w:hAnsi="Calibri" w:cs="Calibri"/>
          <w:lang w:val="en-US"/>
        </w:rPr>
        <w:tab/>
        <w:t xml:space="preserve">Adalsteinsson VA, Ha G, Freeman SS, Choudhury AD, Stover DG, Parsons HA, et al. Scalable whole-exome sequencing of cell-free DNA reveals high concordance with metastatic tumors. Nature communications. 2017;8(1):1324. </w:t>
      </w:r>
    </w:p>
    <w:p w14:paraId="6ADDF5AE"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15.</w:t>
      </w:r>
      <w:r w:rsidRPr="00E632E8">
        <w:rPr>
          <w:rFonts w:ascii="Calibri" w:hAnsi="Calibri" w:cs="Calibri"/>
          <w:lang w:val="en-US"/>
        </w:rPr>
        <w:tab/>
        <w:t xml:space="preserve">Kent WJ, Sugnet CW, Furey TS, Roskin KM, Pringle TH, Zahler AM, et al. The human genome browser at UCSC. Genome Res. 2002 June;12(6):996–1006. </w:t>
      </w:r>
    </w:p>
    <w:p w14:paraId="6026F804" w14:textId="77777777" w:rsidR="00E632E8" w:rsidRPr="00E632E8" w:rsidRDefault="00E632E8" w:rsidP="00E632E8">
      <w:pPr>
        <w:pStyle w:val="Bibliography"/>
        <w:rPr>
          <w:rFonts w:ascii="Calibri" w:hAnsi="Calibri" w:cs="Calibri"/>
        </w:rPr>
      </w:pPr>
      <w:r w:rsidRPr="00E632E8">
        <w:rPr>
          <w:rFonts w:ascii="Calibri" w:hAnsi="Calibri" w:cs="Calibri"/>
          <w:lang w:val="en-US"/>
        </w:rPr>
        <w:t>16.</w:t>
      </w:r>
      <w:r w:rsidRPr="00E632E8">
        <w:rPr>
          <w:rFonts w:ascii="Calibri" w:hAnsi="Calibri" w:cs="Calibri"/>
          <w:lang w:val="en-US"/>
        </w:rPr>
        <w:tab/>
        <w:t xml:space="preserve">Eeckhoutte A, Houy A, Manié E, Reverdy M, Bieche I, Marangoni E, et al. ShallowHRD: detection of homologous recombination deficiency from shallow whole genome sequencing. </w:t>
      </w:r>
      <w:r w:rsidRPr="00E632E8">
        <w:rPr>
          <w:rFonts w:ascii="Calibri" w:hAnsi="Calibri" w:cs="Calibri"/>
        </w:rPr>
        <w:t xml:space="preserve">Bioinformatics. 2020;36(12):3888–9. </w:t>
      </w:r>
    </w:p>
    <w:p w14:paraId="52058932" w14:textId="77777777" w:rsidR="00E632E8" w:rsidRPr="00E632E8" w:rsidRDefault="00E632E8" w:rsidP="00E632E8">
      <w:pPr>
        <w:pStyle w:val="Bibliography"/>
        <w:rPr>
          <w:rFonts w:ascii="Calibri" w:hAnsi="Calibri" w:cs="Calibri"/>
          <w:lang w:val="en-US"/>
        </w:rPr>
      </w:pPr>
      <w:r w:rsidRPr="00E632E8">
        <w:rPr>
          <w:rFonts w:ascii="Calibri" w:hAnsi="Calibri" w:cs="Calibri"/>
        </w:rPr>
        <w:lastRenderedPageBreak/>
        <w:t>17.</w:t>
      </w:r>
      <w:r w:rsidRPr="00E632E8">
        <w:rPr>
          <w:rFonts w:ascii="Calibri" w:hAnsi="Calibri" w:cs="Calibri"/>
        </w:rPr>
        <w:tab/>
        <w:t xml:space="preserve">Chen X, Schulz-Trieglaff O, Shaw R, Barnes B, Schlesinger F, Källberg M, et al. </w:t>
      </w:r>
      <w:r w:rsidRPr="00E632E8">
        <w:rPr>
          <w:rFonts w:ascii="Calibri" w:hAnsi="Calibri" w:cs="Calibri"/>
          <w:lang w:val="en-US"/>
        </w:rPr>
        <w:t xml:space="preserve">Manta: rapid detection of structural variants and indels for germline and cancer sequencing applications. Bioinformatics. 2016 Apr 15;32(8):1220–2. </w:t>
      </w:r>
    </w:p>
    <w:p w14:paraId="396D118A"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18.</w:t>
      </w:r>
      <w:r w:rsidRPr="00E632E8">
        <w:rPr>
          <w:rFonts w:ascii="Calibri" w:hAnsi="Calibri" w:cs="Calibri"/>
          <w:lang w:val="en-US"/>
        </w:rPr>
        <w:tab/>
        <w:t xml:space="preserve">McLaren W, Gil L, Hunt SE, Riat HS, Ritchie GRS, Thormann A, et al. The Ensembl Variant Effect Predictor. Genome Biol. 2016 Dec;17(1):122. </w:t>
      </w:r>
    </w:p>
    <w:p w14:paraId="2846B4D3" w14:textId="77777777" w:rsidR="00E632E8" w:rsidRPr="00E632E8" w:rsidRDefault="00E632E8" w:rsidP="00E632E8">
      <w:pPr>
        <w:pStyle w:val="Bibliography"/>
        <w:rPr>
          <w:rFonts w:ascii="Calibri" w:hAnsi="Calibri" w:cs="Calibri"/>
          <w:lang w:val="en-US"/>
        </w:rPr>
      </w:pPr>
      <w:r w:rsidRPr="00E632E8">
        <w:rPr>
          <w:rFonts w:ascii="Calibri" w:hAnsi="Calibri" w:cs="Calibri"/>
          <w:lang w:val="en-US"/>
        </w:rPr>
        <w:t>19.</w:t>
      </w:r>
      <w:r w:rsidRPr="00E632E8">
        <w:rPr>
          <w:rFonts w:ascii="Calibri" w:hAnsi="Calibri" w:cs="Calibri"/>
          <w:lang w:val="en-US"/>
        </w:rPr>
        <w:tab/>
        <w:t xml:space="preserve">Lazzeri I, Spiegl BG, Hasenleithner SO, Speicher MR, Kircher M. LBFextract: Unveiling transcription factor dynamics from liquid biopsy data. Computational and Structural Biotechnology Journal. 2024 Dec 1;23:3163–74. </w:t>
      </w:r>
    </w:p>
    <w:p w14:paraId="3B93C663" w14:textId="77777777" w:rsidR="00E632E8" w:rsidRPr="00E632E8" w:rsidRDefault="00E632E8" w:rsidP="00E632E8">
      <w:pPr>
        <w:pStyle w:val="Bibliography"/>
        <w:rPr>
          <w:rFonts w:ascii="Calibri" w:hAnsi="Calibri" w:cs="Calibri"/>
        </w:rPr>
      </w:pPr>
      <w:r w:rsidRPr="00E632E8">
        <w:rPr>
          <w:rFonts w:ascii="Calibri" w:hAnsi="Calibri" w:cs="Calibri"/>
          <w:lang w:val="en-US"/>
        </w:rPr>
        <w:t>20.</w:t>
      </w:r>
      <w:r w:rsidRPr="00E632E8">
        <w:rPr>
          <w:rFonts w:ascii="Calibri" w:hAnsi="Calibri" w:cs="Calibri"/>
          <w:lang w:val="en-US"/>
        </w:rPr>
        <w:tab/>
        <w:t xml:space="preserve">Spiegl B, Kapidzic F, Röner S, Kircher M, Speicher MR. GCparagon: evaluating and correcting GC biases in cell-free DNA at the fragment level. </w:t>
      </w:r>
      <w:r w:rsidRPr="00E632E8">
        <w:rPr>
          <w:rFonts w:ascii="Calibri" w:hAnsi="Calibri" w:cs="Calibri"/>
        </w:rPr>
        <w:t xml:space="preserve">NAR Genomics and Bioinformatics. 2023 Oct 11;5(4):lqad102. </w:t>
      </w:r>
    </w:p>
    <w:p w14:paraId="60C447D2" w14:textId="5B3C8E3E" w:rsidR="00D9683F" w:rsidRPr="00D9683F" w:rsidRDefault="00D9683F" w:rsidP="005A6760">
      <w:pPr>
        <w:spacing w:line="360" w:lineRule="auto"/>
        <w:rPr>
          <w:rStyle w:val="Heading2Char"/>
        </w:rPr>
      </w:pPr>
      <w:r>
        <w:rPr>
          <w:rStyle w:val="Heading2Char"/>
        </w:rPr>
        <w:fldChar w:fldCharType="end"/>
      </w:r>
    </w:p>
    <w:sectPr w:rsidR="00D9683F" w:rsidRPr="00D9683F" w:rsidSect="00684FE4">
      <w:footerReference w:type="default" r:id="rI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EFD6F" w14:textId="77777777" w:rsidR="00035546" w:rsidRDefault="00035546">
      <w:pPr>
        <w:spacing w:line="240" w:lineRule="auto"/>
      </w:pPr>
      <w:r>
        <w:separator/>
      </w:r>
    </w:p>
  </w:endnote>
  <w:endnote w:type="continuationSeparator" w:id="0">
    <w:p w14:paraId="102BCEDB" w14:textId="77777777" w:rsidR="00035546" w:rsidRDefault="000355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752166"/>
      <w:docPartObj>
        <w:docPartGallery w:val="AutoText"/>
      </w:docPartObj>
    </w:sdtPr>
    <w:sdtContent>
      <w:p w14:paraId="5BA43430" w14:textId="77777777" w:rsidR="00045D2C" w:rsidRDefault="00000000">
        <w:pPr>
          <w:pStyle w:val="Footer"/>
          <w:jc w:val="right"/>
        </w:pPr>
        <w:r>
          <w:fldChar w:fldCharType="begin"/>
        </w:r>
        <w:r>
          <w:instrText>PAGE   \* MERGEFORMAT</w:instrText>
        </w:r>
        <w:r>
          <w:fldChar w:fldCharType="separate"/>
        </w:r>
        <w:r>
          <w:t>1</w:t>
        </w:r>
        <w:r>
          <w:fldChar w:fldCharType="end"/>
        </w:r>
      </w:p>
    </w:sdtContent>
  </w:sdt>
  <w:p w14:paraId="4572ED07" w14:textId="77777777" w:rsidR="00045D2C" w:rsidRDefault="00045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7DE8F" w14:textId="77777777" w:rsidR="00035546" w:rsidRDefault="00035546">
      <w:pPr>
        <w:spacing w:after="0"/>
      </w:pPr>
      <w:r>
        <w:separator/>
      </w:r>
    </w:p>
  </w:footnote>
  <w:footnote w:type="continuationSeparator" w:id="0">
    <w:p w14:paraId="69A4BADC" w14:textId="77777777" w:rsidR="00035546" w:rsidRDefault="0003554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87F02F"/>
    <w:multiLevelType w:val="multilevel"/>
    <w:tmpl w:val="CC87F02F"/>
    <w:lvl w:ilvl="0">
      <w:start w:val="1"/>
      <w:numFmt w:val="decimal"/>
      <w:pStyle w:val="Heading1"/>
      <w:lvlText w:val="%1"/>
      <w:lvlJc w:val="left"/>
      <w:pPr>
        <w:ind w:left="432" w:hanging="432"/>
      </w:pPr>
    </w:lvl>
    <w:lvl w:ilvl="1">
      <w:start w:val="1"/>
      <w:numFmt w:val="decimal"/>
      <w:pStyle w:val="Heading2"/>
      <w:lvlText w:val="%1.%2"/>
      <w:lvlJc w:val="left"/>
      <w:pPr>
        <w:ind w:left="111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9245E0F"/>
    <w:multiLevelType w:val="hybridMultilevel"/>
    <w:tmpl w:val="653AE7F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51033120">
    <w:abstractNumId w:val="0"/>
  </w:num>
  <w:num w:numId="2" w16cid:durableId="1565946537">
    <w:abstractNumId w:val="0"/>
  </w:num>
  <w:num w:numId="3" w16cid:durableId="144500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1A5"/>
    <w:rsid w:val="00010541"/>
    <w:rsid w:val="00035546"/>
    <w:rsid w:val="000370C3"/>
    <w:rsid w:val="0004248F"/>
    <w:rsid w:val="00045D2C"/>
    <w:rsid w:val="000466BE"/>
    <w:rsid w:val="00077B97"/>
    <w:rsid w:val="00080E86"/>
    <w:rsid w:val="000836C1"/>
    <w:rsid w:val="000B758C"/>
    <w:rsid w:val="000D1C17"/>
    <w:rsid w:val="000E3591"/>
    <w:rsid w:val="000E68C7"/>
    <w:rsid w:val="000E7EB2"/>
    <w:rsid w:val="00203C37"/>
    <w:rsid w:val="002450AF"/>
    <w:rsid w:val="0025232E"/>
    <w:rsid w:val="00274DBC"/>
    <w:rsid w:val="00301E4B"/>
    <w:rsid w:val="003146B9"/>
    <w:rsid w:val="00322A14"/>
    <w:rsid w:val="003772CC"/>
    <w:rsid w:val="003A68C5"/>
    <w:rsid w:val="003D5F18"/>
    <w:rsid w:val="00431F0E"/>
    <w:rsid w:val="004616D6"/>
    <w:rsid w:val="00481A3B"/>
    <w:rsid w:val="00486876"/>
    <w:rsid w:val="004B0CBA"/>
    <w:rsid w:val="004E3BB3"/>
    <w:rsid w:val="00514288"/>
    <w:rsid w:val="0051744F"/>
    <w:rsid w:val="00517F08"/>
    <w:rsid w:val="005264AA"/>
    <w:rsid w:val="005503B7"/>
    <w:rsid w:val="0057680E"/>
    <w:rsid w:val="005A6760"/>
    <w:rsid w:val="005E3145"/>
    <w:rsid w:val="0062785F"/>
    <w:rsid w:val="00684FE4"/>
    <w:rsid w:val="0069053B"/>
    <w:rsid w:val="006A737D"/>
    <w:rsid w:val="006C0996"/>
    <w:rsid w:val="006F429A"/>
    <w:rsid w:val="0070090C"/>
    <w:rsid w:val="0070379D"/>
    <w:rsid w:val="00724383"/>
    <w:rsid w:val="00725BB2"/>
    <w:rsid w:val="00740185"/>
    <w:rsid w:val="007576A2"/>
    <w:rsid w:val="0077340B"/>
    <w:rsid w:val="007929FB"/>
    <w:rsid w:val="007B04C7"/>
    <w:rsid w:val="007B5968"/>
    <w:rsid w:val="007D36F0"/>
    <w:rsid w:val="00810E64"/>
    <w:rsid w:val="00827C53"/>
    <w:rsid w:val="008354B4"/>
    <w:rsid w:val="008756FF"/>
    <w:rsid w:val="008B177E"/>
    <w:rsid w:val="00900567"/>
    <w:rsid w:val="00904C30"/>
    <w:rsid w:val="00926C4C"/>
    <w:rsid w:val="00934D2D"/>
    <w:rsid w:val="00953B66"/>
    <w:rsid w:val="009779B6"/>
    <w:rsid w:val="009A5883"/>
    <w:rsid w:val="009B5C20"/>
    <w:rsid w:val="009B6E35"/>
    <w:rsid w:val="009E6A2C"/>
    <w:rsid w:val="00A413A4"/>
    <w:rsid w:val="00AE14AD"/>
    <w:rsid w:val="00AE2D18"/>
    <w:rsid w:val="00B01AD9"/>
    <w:rsid w:val="00B46C36"/>
    <w:rsid w:val="00B63788"/>
    <w:rsid w:val="00B77B2D"/>
    <w:rsid w:val="00B81058"/>
    <w:rsid w:val="00B84A5B"/>
    <w:rsid w:val="00B85A80"/>
    <w:rsid w:val="00B935AE"/>
    <w:rsid w:val="00BC11A5"/>
    <w:rsid w:val="00BE1464"/>
    <w:rsid w:val="00C03EBC"/>
    <w:rsid w:val="00C118F2"/>
    <w:rsid w:val="00C12CC8"/>
    <w:rsid w:val="00C135BE"/>
    <w:rsid w:val="00C40124"/>
    <w:rsid w:val="00C40410"/>
    <w:rsid w:val="00CA5236"/>
    <w:rsid w:val="00CE0BEA"/>
    <w:rsid w:val="00D1259C"/>
    <w:rsid w:val="00D20EEA"/>
    <w:rsid w:val="00D33E36"/>
    <w:rsid w:val="00D4648A"/>
    <w:rsid w:val="00D9683F"/>
    <w:rsid w:val="00DC5560"/>
    <w:rsid w:val="00E511EE"/>
    <w:rsid w:val="00E632E8"/>
    <w:rsid w:val="00E71097"/>
    <w:rsid w:val="00E91370"/>
    <w:rsid w:val="00EA039F"/>
    <w:rsid w:val="00EB0E67"/>
    <w:rsid w:val="00ED67A1"/>
    <w:rsid w:val="00F20B57"/>
    <w:rsid w:val="00F85956"/>
    <w:rsid w:val="00FB308A"/>
    <w:rsid w:val="00FD2210"/>
    <w:rsid w:val="6B4B36E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EF5FB97"/>
  <w15:docId w15:val="{93479B44-E397-401D-914A-03EB8396E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CBA"/>
    <w:pPr>
      <w:spacing w:after="160" w:line="259" w:lineRule="auto"/>
    </w:pPr>
    <w:rPr>
      <w:rFonts w:asciiTheme="minorHAnsi" w:eastAsiaTheme="minorHAnsi" w:hAnsiTheme="minorHAnsi" w:cstheme="minorBidi"/>
      <w:sz w:val="22"/>
      <w:szCs w:val="22"/>
      <w:lang w:val="de-DE"/>
    </w:rPr>
  </w:style>
  <w:style w:type="paragraph" w:styleId="Heading1">
    <w:name w:val="heading 1"/>
    <w:next w:val="Normal"/>
    <w:link w:val="Heading1Char"/>
    <w:uiPriority w:val="9"/>
    <w:qFormat/>
    <w:rsid w:val="00322A14"/>
    <w:pPr>
      <w:keepNext/>
      <w:keepLines/>
      <w:numPr>
        <w:numId w:val="1"/>
      </w:numPr>
      <w:spacing w:before="240" w:line="256" w:lineRule="auto"/>
      <w:outlineLvl w:val="0"/>
    </w:pPr>
    <w:rPr>
      <w:rFonts w:asciiTheme="minorHAnsi" w:eastAsia="DengXian Light" w:hAnsiTheme="minorHAnsi"/>
      <w:b/>
      <w:color w:val="000000"/>
      <w:sz w:val="32"/>
      <w:szCs w:val="32"/>
      <w:lang w:eastAsia="zh-CN"/>
    </w:rPr>
  </w:style>
  <w:style w:type="paragraph" w:styleId="Heading2">
    <w:name w:val="heading 2"/>
    <w:next w:val="Normal"/>
    <w:link w:val="Heading2Char"/>
    <w:uiPriority w:val="9"/>
    <w:unhideWhenUsed/>
    <w:qFormat/>
    <w:rsid w:val="00322A14"/>
    <w:pPr>
      <w:keepNext/>
      <w:keepLines/>
      <w:numPr>
        <w:ilvl w:val="1"/>
        <w:numId w:val="1"/>
      </w:numPr>
      <w:spacing w:before="40" w:line="256" w:lineRule="auto"/>
      <w:outlineLvl w:val="1"/>
    </w:pPr>
    <w:rPr>
      <w:rFonts w:asciiTheme="minorHAnsi" w:eastAsia="DengXian Light" w:hAnsiTheme="minorHAnsi"/>
      <w:b/>
      <w:i/>
      <w:color w:val="000000"/>
      <w:sz w:val="22"/>
      <w:szCs w:val="26"/>
      <w:lang w:eastAsia="zh-CN"/>
    </w:rPr>
  </w:style>
  <w:style w:type="paragraph" w:styleId="Heading3">
    <w:name w:val="heading 3"/>
    <w:basedOn w:val="Normal"/>
    <w:next w:val="Normal"/>
    <w:link w:val="Heading3Char"/>
    <w:uiPriority w:val="9"/>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link w:val="Heading5Char"/>
    <w:uiPriority w:val="9"/>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link w:val="Heading6Char"/>
    <w:uiPriority w:val="9"/>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link w:val="Heading7Char"/>
    <w:uiPriority w:val="9"/>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link w:val="Heading8Char"/>
    <w:uiPriority w:val="9"/>
    <w:semiHidden/>
    <w:unhideWhenUsed/>
    <w:qFormat/>
    <w:pPr>
      <w:keepNext/>
      <w:keepLines/>
      <w:spacing w:before="240" w:after="64" w:line="320" w:lineRule="auto"/>
      <w:outlineLvl w:val="7"/>
    </w:pPr>
    <w:rPr>
      <w:sz w:val="24"/>
      <w:szCs w:val="24"/>
    </w:rPr>
  </w:style>
  <w:style w:type="paragraph" w:styleId="Heading9">
    <w:name w:val="heading 9"/>
    <w:basedOn w:val="Normal"/>
    <w:next w:val="Normal"/>
    <w:link w:val="Heading9Char"/>
    <w:uiPriority w:val="9"/>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pPr>
      <w:spacing w:after="120"/>
    </w:p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rPr>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paragraph" w:customStyle="1" w:styleId="Normal1">
    <w:name w:val="Normal1"/>
    <w:qFormat/>
    <w:pPr>
      <w:spacing w:after="120"/>
      <w:jc w:val="both"/>
    </w:pPr>
    <w:rPr>
      <w:rFonts w:ascii="Calibri" w:hAnsi="Calibri"/>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9Char">
    <w:name w:val="Heading 9 Char"/>
    <w:link w:val="Heading9"/>
    <w:rPr>
      <w:rFonts w:ascii="Calibri Light" w:eastAsia="DengXian Light" w:hAnsi="Calibri Light" w:cs="Times New Roman" w:hint="default"/>
      <w:i/>
      <w:iCs/>
      <w:color w:val="272727"/>
      <w:sz w:val="21"/>
      <w:szCs w:val="21"/>
    </w:rPr>
  </w:style>
  <w:style w:type="character" w:customStyle="1" w:styleId="BodyTextChar">
    <w:name w:val="Body Text Char"/>
    <w:link w:val="BodyText"/>
    <w:rPr>
      <w:rFonts w:ascii="Calibri" w:eastAsia="Calibri" w:hAnsi="Calibri" w:cs="Times New Roman" w:hint="default"/>
      <w:sz w:val="22"/>
      <w:szCs w:val="22"/>
    </w:rPr>
  </w:style>
  <w:style w:type="character" w:customStyle="1" w:styleId="Heading1Char">
    <w:name w:val="Heading 1 Char"/>
    <w:link w:val="Heading1"/>
    <w:uiPriority w:val="9"/>
    <w:rsid w:val="00322A14"/>
    <w:rPr>
      <w:rFonts w:asciiTheme="minorHAnsi" w:eastAsia="DengXian Light" w:hAnsiTheme="minorHAnsi"/>
      <w:b/>
      <w:color w:val="000000"/>
      <w:sz w:val="32"/>
      <w:szCs w:val="32"/>
      <w:lang w:eastAsia="zh-CN"/>
    </w:rPr>
  </w:style>
  <w:style w:type="character" w:customStyle="1" w:styleId="Heading2Char">
    <w:name w:val="Heading 2 Char"/>
    <w:link w:val="Heading2"/>
    <w:uiPriority w:val="9"/>
    <w:rsid w:val="00322A14"/>
    <w:rPr>
      <w:rFonts w:asciiTheme="minorHAnsi" w:eastAsia="DengXian Light" w:hAnsiTheme="minorHAnsi"/>
      <w:b/>
      <w:i/>
      <w:color w:val="000000"/>
      <w:sz w:val="22"/>
      <w:szCs w:val="26"/>
      <w:lang w:eastAsia="zh-CN"/>
    </w:rPr>
  </w:style>
  <w:style w:type="character" w:customStyle="1" w:styleId="Heading3Char">
    <w:name w:val="Heading 3 Char"/>
    <w:link w:val="Heading3"/>
    <w:rPr>
      <w:rFonts w:ascii="Calibri" w:eastAsia="Calibri" w:hAnsi="Calibri" w:cs="Times New Roman" w:hint="default"/>
      <w:sz w:val="22"/>
      <w:szCs w:val="22"/>
    </w:rPr>
  </w:style>
  <w:style w:type="character" w:customStyle="1" w:styleId="Heading4Char">
    <w:name w:val="Heading 4 Char"/>
    <w:link w:val="Heading4"/>
    <w:rPr>
      <w:rFonts w:ascii="Calibri Light" w:eastAsia="DengXian Light" w:hAnsi="Calibri Light" w:cs="Times New Roman" w:hint="default"/>
      <w:i/>
      <w:iCs/>
      <w:color w:val="2E74B5"/>
      <w:sz w:val="22"/>
      <w:szCs w:val="22"/>
    </w:rPr>
  </w:style>
  <w:style w:type="character" w:customStyle="1" w:styleId="Heading5Char">
    <w:name w:val="Heading 5 Char"/>
    <w:link w:val="Heading5"/>
    <w:rPr>
      <w:rFonts w:ascii="Calibri Light" w:eastAsia="DengXian Light" w:hAnsi="Calibri Light" w:cs="Times New Roman" w:hint="default"/>
      <w:color w:val="2E74B5"/>
      <w:sz w:val="22"/>
      <w:szCs w:val="22"/>
    </w:rPr>
  </w:style>
  <w:style w:type="character" w:customStyle="1" w:styleId="Heading6Char">
    <w:name w:val="Heading 6 Char"/>
    <w:link w:val="Heading6"/>
    <w:rPr>
      <w:rFonts w:ascii="Calibri Light" w:eastAsia="DengXian Light" w:hAnsi="Calibri Light" w:cs="Times New Roman" w:hint="default"/>
      <w:color w:val="1F4D78"/>
      <w:sz w:val="22"/>
      <w:szCs w:val="22"/>
    </w:rPr>
  </w:style>
  <w:style w:type="character" w:customStyle="1" w:styleId="Heading7Char">
    <w:name w:val="Heading 7 Char"/>
    <w:link w:val="Heading7"/>
    <w:rPr>
      <w:rFonts w:ascii="Calibri Light" w:eastAsia="DengXian Light" w:hAnsi="Calibri Light" w:cs="Times New Roman" w:hint="default"/>
      <w:i/>
      <w:iCs/>
      <w:color w:val="1F4D78"/>
      <w:sz w:val="22"/>
      <w:szCs w:val="22"/>
    </w:rPr>
  </w:style>
  <w:style w:type="character" w:customStyle="1" w:styleId="Heading8Char">
    <w:name w:val="Heading 8 Char"/>
    <w:link w:val="Heading8"/>
    <w:rPr>
      <w:rFonts w:ascii="Calibri Light" w:eastAsia="DengXian Light" w:hAnsi="Calibri Light" w:cs="Times New Roman" w:hint="default"/>
      <w:color w:val="272727"/>
      <w:sz w:val="21"/>
      <w:szCs w:val="21"/>
    </w:rPr>
  </w:style>
  <w:style w:type="paragraph" w:styleId="TOCHeading">
    <w:name w:val="TOC Heading"/>
    <w:basedOn w:val="Heading1"/>
    <w:next w:val="Normal"/>
    <w:uiPriority w:val="39"/>
    <w:unhideWhenUsed/>
    <w:qFormat/>
    <w:rsid w:val="00322A14"/>
    <w:pPr>
      <w:numPr>
        <w:numId w:val="0"/>
      </w:numPr>
      <w:spacing w:line="259" w:lineRule="auto"/>
      <w:outlineLvl w:val="9"/>
    </w:pPr>
    <w:rPr>
      <w:rFonts w:asciiTheme="majorHAnsi" w:eastAsiaTheme="majorEastAsia" w:hAnsiTheme="majorHAnsi" w:cstheme="majorBidi"/>
      <w:color w:val="2E74B5" w:themeColor="accent1" w:themeShade="BF"/>
      <w:lang w:eastAsia="en-US"/>
    </w:rPr>
  </w:style>
  <w:style w:type="paragraph" w:styleId="TOC1">
    <w:name w:val="toc 1"/>
    <w:basedOn w:val="Normal"/>
    <w:next w:val="Normal"/>
    <w:autoRedefine/>
    <w:uiPriority w:val="39"/>
    <w:unhideWhenUsed/>
    <w:rsid w:val="00322A14"/>
    <w:pPr>
      <w:spacing w:after="100"/>
    </w:pPr>
  </w:style>
  <w:style w:type="paragraph" w:styleId="TOC2">
    <w:name w:val="toc 2"/>
    <w:basedOn w:val="Normal"/>
    <w:next w:val="Normal"/>
    <w:autoRedefine/>
    <w:uiPriority w:val="39"/>
    <w:unhideWhenUsed/>
    <w:rsid w:val="00322A14"/>
    <w:pPr>
      <w:spacing w:after="100"/>
      <w:ind w:left="220"/>
    </w:pPr>
  </w:style>
  <w:style w:type="character" w:styleId="Hyperlink">
    <w:name w:val="Hyperlink"/>
    <w:basedOn w:val="DefaultParagraphFont"/>
    <w:uiPriority w:val="99"/>
    <w:unhideWhenUsed/>
    <w:rsid w:val="00322A14"/>
    <w:rPr>
      <w:color w:val="0563C1" w:themeColor="hyperlink"/>
      <w:u w:val="single"/>
    </w:rPr>
  </w:style>
  <w:style w:type="paragraph" w:styleId="Revision">
    <w:name w:val="Revision"/>
    <w:hidden/>
    <w:uiPriority w:val="99"/>
    <w:unhideWhenUsed/>
    <w:rsid w:val="00BE1464"/>
    <w:rPr>
      <w:rFonts w:asciiTheme="minorHAnsi" w:eastAsiaTheme="minorHAnsi" w:hAnsiTheme="minorHAnsi" w:cstheme="minorBidi"/>
      <w:sz w:val="22"/>
      <w:szCs w:val="22"/>
      <w:lang w:val="de-DE"/>
    </w:rPr>
  </w:style>
  <w:style w:type="character" w:styleId="CommentReference">
    <w:name w:val="annotation reference"/>
    <w:basedOn w:val="DefaultParagraphFont"/>
    <w:uiPriority w:val="99"/>
    <w:semiHidden/>
    <w:unhideWhenUsed/>
    <w:rsid w:val="002450AF"/>
    <w:rPr>
      <w:sz w:val="16"/>
      <w:szCs w:val="16"/>
    </w:rPr>
  </w:style>
  <w:style w:type="paragraph" w:styleId="CommentText">
    <w:name w:val="annotation text"/>
    <w:basedOn w:val="Normal"/>
    <w:link w:val="CommentTextChar"/>
    <w:uiPriority w:val="99"/>
    <w:semiHidden/>
    <w:unhideWhenUsed/>
    <w:rsid w:val="002450AF"/>
    <w:pPr>
      <w:spacing w:line="240" w:lineRule="auto"/>
    </w:pPr>
    <w:rPr>
      <w:sz w:val="20"/>
      <w:szCs w:val="20"/>
    </w:rPr>
  </w:style>
  <w:style w:type="character" w:customStyle="1" w:styleId="CommentTextChar">
    <w:name w:val="Comment Text Char"/>
    <w:basedOn w:val="DefaultParagraphFont"/>
    <w:link w:val="CommentText"/>
    <w:uiPriority w:val="99"/>
    <w:semiHidden/>
    <w:rsid w:val="002450AF"/>
    <w:rPr>
      <w:rFonts w:asciiTheme="minorHAnsi" w:eastAsiaTheme="minorHAnsi" w:hAnsiTheme="minorHAnsi" w:cstheme="minorBidi"/>
      <w:lang w:val="de-DE"/>
    </w:rPr>
  </w:style>
  <w:style w:type="paragraph" w:styleId="CommentSubject">
    <w:name w:val="annotation subject"/>
    <w:basedOn w:val="CommentText"/>
    <w:next w:val="CommentText"/>
    <w:link w:val="CommentSubjectChar"/>
    <w:uiPriority w:val="99"/>
    <w:semiHidden/>
    <w:unhideWhenUsed/>
    <w:rsid w:val="002450AF"/>
    <w:rPr>
      <w:b/>
      <w:bCs/>
    </w:rPr>
  </w:style>
  <w:style w:type="character" w:customStyle="1" w:styleId="CommentSubjectChar">
    <w:name w:val="Comment Subject Char"/>
    <w:basedOn w:val="CommentTextChar"/>
    <w:link w:val="CommentSubject"/>
    <w:uiPriority w:val="99"/>
    <w:semiHidden/>
    <w:rsid w:val="002450AF"/>
    <w:rPr>
      <w:rFonts w:asciiTheme="minorHAnsi" w:eastAsiaTheme="minorHAnsi" w:hAnsiTheme="minorHAnsi" w:cstheme="minorBidi"/>
      <w:b/>
      <w:bCs/>
      <w:lang w:val="de-DE"/>
    </w:rPr>
  </w:style>
  <w:style w:type="character" w:styleId="LineNumber">
    <w:name w:val="line number"/>
    <w:basedOn w:val="DefaultParagraphFont"/>
    <w:uiPriority w:val="99"/>
    <w:semiHidden/>
    <w:unhideWhenUsed/>
    <w:rsid w:val="00431F0E"/>
  </w:style>
  <w:style w:type="paragraph" w:styleId="Bibliography">
    <w:name w:val="Bibliography"/>
    <w:basedOn w:val="Normal"/>
    <w:next w:val="Normal"/>
    <w:uiPriority w:val="37"/>
    <w:unhideWhenUsed/>
    <w:rsid w:val="00D9683F"/>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image" Target="media/image19.svg"/><Relationship Id="rId3" Type="http://schemas.openxmlformats.org/officeDocument/2006/relationships/styles" Target="styles.xml"/><Relationship Id="rId21" Type="http://schemas.openxmlformats.org/officeDocument/2006/relationships/image" Target="media/image14.sv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image" Target="media/image17.tif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6.sv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image" Target="media/image24.sv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4B11D-E853-45F1-901C-E3EE80252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19098</Words>
  <Characters>108865</Characters>
  <Application>Microsoft Office Word</Application>
  <DocSecurity>0</DocSecurity>
  <Lines>907</Lines>
  <Paragraphs>255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Medizinische Universität Graz</Company>
  <LinksUpToDate>false</LinksUpToDate>
  <CharactersWithSpaces>127708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Heitzer, Ellen</dc:creator>
  <cp:lastModifiedBy>Georgios Vlachos</cp:lastModifiedBy>
  <cp:revision>3</cp:revision>
  <dcterms:created xsi:type="dcterms:W3CDTF">2025-11-20T16:43:00Z</dcterms:created>
  <dcterms:modified xsi:type="dcterms:W3CDTF">2025-11-24T16:12:00Z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DF9B32DE0C5F4149BC193C3CD37BE6E3_12</vt:lpwstr>
  </property>
  <property fmtid="{D5CDD505-2E9C-101B-9397-08002B2CF9AE}" pid="4" name="ZOTERO_PREF_1">
    <vt:lpwstr>&lt;data data-version="3" zotero-version="7.0.27"&gt;&lt;session id="lU5A22Of"/&gt;&lt;style id="http://www.zotero.org/styles/vancouver" locale="en-US" hasBibliography="1" bibliographyStyleHasBeenSet="1"/&gt;&lt;prefs&gt;&lt;pref name="fieldType" value="Field"/&gt;&lt;/prefs&gt;&lt;/data&gt;</vt:lpwstr>
  </property>
</Properties>
</file>