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E3F71" w14:textId="77777777" w:rsidR="00357402" w:rsidRPr="00357402" w:rsidRDefault="00357402" w:rsidP="0035740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  <w:r w:rsidRPr="00357402">
        <w:rPr>
          <w:rFonts w:ascii="Times New Roman" w:eastAsia="宋体" w:hAnsi="Times New Roman" w:cs="Times New Roman"/>
          <w:b/>
          <w:bCs/>
          <w:sz w:val="44"/>
          <w:szCs w:val="44"/>
        </w:rPr>
        <w:t>Supplementary Information</w:t>
      </w:r>
    </w:p>
    <w:p w14:paraId="1BD49185" w14:textId="77777777" w:rsidR="00357402" w:rsidRPr="00357402" w:rsidRDefault="00357402" w:rsidP="00357402">
      <w:pPr>
        <w:tabs>
          <w:tab w:val="left" w:pos="1785"/>
        </w:tabs>
        <w:rPr>
          <w:rFonts w:ascii="Times New Roman" w:eastAsia="宋体" w:hAnsi="Times New Roman" w:cs="Times New Roman"/>
          <w:sz w:val="24"/>
          <w:szCs w:val="24"/>
        </w:rPr>
      </w:pPr>
    </w:p>
    <w:p w14:paraId="44DF4906" w14:textId="1061D663" w:rsidR="00357402" w:rsidRPr="00407135" w:rsidRDefault="00357402" w:rsidP="00357402">
      <w:pPr>
        <w:ind w:firstLine="1"/>
        <w:jc w:val="center"/>
        <w:rPr>
          <w:rFonts w:ascii="Times New Roman" w:eastAsia="等线" w:hAnsi="Times New Roman" w:cs="Times New Roman"/>
          <w:sz w:val="28"/>
          <w:szCs w:val="28"/>
        </w:rPr>
      </w:pPr>
      <w:r w:rsidRPr="00357402">
        <w:rPr>
          <w:rFonts w:ascii="Times New Roman" w:eastAsia="宋体" w:hAnsi="Times New Roman" w:cs="Times New Roman"/>
          <w:sz w:val="24"/>
          <w:szCs w:val="24"/>
        </w:rPr>
        <w:tab/>
      </w:r>
      <w:r w:rsidR="00407135" w:rsidRPr="00407135">
        <w:rPr>
          <w:rFonts w:ascii="Times New Roman" w:eastAsia="等线" w:hAnsi="Times New Roman" w:cs="Times New Roman" w:hint="eastAsia"/>
          <w:b/>
          <w:bCs/>
          <w:sz w:val="28"/>
          <w:szCs w:val="28"/>
        </w:rPr>
        <w:t>Senescence-related gene signature predicts prostate cancer progression and identifies PCNA as a therapeutic target via multi-omics machine learning integration</w:t>
      </w:r>
    </w:p>
    <w:p w14:paraId="45013D60" w14:textId="77777777" w:rsidR="00357402" w:rsidRPr="00357402" w:rsidRDefault="00357402" w:rsidP="00357402">
      <w:pPr>
        <w:jc w:val="center"/>
        <w:rPr>
          <w:rFonts w:ascii="Times New Roman" w:eastAsia="等线" w:hAnsi="Times New Roman" w:cs="Times New Roman"/>
          <w:i/>
          <w:iCs/>
          <w:szCs w:val="24"/>
        </w:rPr>
      </w:pPr>
      <w:r w:rsidRPr="00357402">
        <w:rPr>
          <w:rFonts w:ascii="Times New Roman" w:eastAsia="等线" w:hAnsi="Times New Roman" w:cs="Times New Roman" w:hint="eastAsia"/>
          <w:szCs w:val="24"/>
        </w:rPr>
        <w:t>Renxuan Lin</w:t>
      </w:r>
      <w:r w:rsidRPr="00357402">
        <w:rPr>
          <w:rFonts w:ascii="Times New Roman" w:eastAsia="等线" w:hAnsi="Times New Roman" w:cs="Times New Roman"/>
          <w:szCs w:val="24"/>
        </w:rPr>
        <w:t xml:space="preserve"> </w:t>
      </w:r>
      <w:r w:rsidRPr="00357402">
        <w:rPr>
          <w:rFonts w:ascii="Times New Roman" w:eastAsia="等线" w:hAnsi="Times New Roman" w:cs="Times New Roman"/>
          <w:i/>
          <w:iCs/>
          <w:szCs w:val="24"/>
        </w:rPr>
        <w:t>et al.</w:t>
      </w:r>
    </w:p>
    <w:p w14:paraId="5B9C6FAE" w14:textId="77777777" w:rsidR="00357402" w:rsidRPr="00357402" w:rsidRDefault="00357402" w:rsidP="00357402">
      <w:pPr>
        <w:jc w:val="center"/>
        <w:rPr>
          <w:rFonts w:ascii="Times New Roman" w:eastAsia="等线" w:hAnsi="Times New Roman" w:cs="Times New Roman"/>
          <w:szCs w:val="24"/>
        </w:rPr>
      </w:pPr>
    </w:p>
    <w:p w14:paraId="1B753DF4" w14:textId="7A6EBD3E" w:rsidR="00357402" w:rsidRPr="00357402" w:rsidRDefault="00357402" w:rsidP="00357402">
      <w:pPr>
        <w:jc w:val="center"/>
        <w:rPr>
          <w:rFonts w:ascii="Times New Roman" w:eastAsia="等线" w:hAnsi="Times New Roman" w:cs="Times New Roman"/>
          <w:sz w:val="20"/>
        </w:rPr>
      </w:pPr>
      <w:r w:rsidRPr="00357402">
        <w:rPr>
          <w:rFonts w:ascii="Times New Roman" w:eastAsia="等线" w:hAnsi="Times New Roman" w:cs="Times New Roman"/>
          <w:sz w:val="20"/>
        </w:rPr>
        <w:t xml:space="preserve">*Corresponding author: Zong-Ren Wang, </w:t>
      </w:r>
      <w:r w:rsidRPr="00DC6920">
        <w:rPr>
          <w:rFonts w:ascii="Times New Roman" w:eastAsia="等线" w:hAnsi="Times New Roman" w:cs="Times New Roman"/>
          <w:sz w:val="20"/>
        </w:rPr>
        <w:t>wangzr27@mail.sysu.edu.cn</w:t>
      </w:r>
      <w:r w:rsidRPr="00357402">
        <w:rPr>
          <w:rFonts w:ascii="Times New Roman" w:eastAsia="等线" w:hAnsi="Times New Roman" w:cs="Times New Roman"/>
          <w:sz w:val="20"/>
        </w:rPr>
        <w:t>;</w:t>
      </w:r>
      <w:r w:rsidRPr="00357402">
        <w:rPr>
          <w:rFonts w:ascii="Times New Roman" w:eastAsia="等线" w:hAnsi="Times New Roman" w:cs="Times New Roman" w:hint="eastAsia"/>
          <w:sz w:val="20"/>
        </w:rPr>
        <w:t xml:space="preserve"> </w:t>
      </w:r>
      <w:r w:rsidRPr="00357402">
        <w:rPr>
          <w:rFonts w:ascii="Times New Roman" w:eastAsia="等线" w:hAnsi="Times New Roman" w:cs="Times New Roman" w:hint="eastAsia"/>
        </w:rPr>
        <w:t>Ren Liu,</w:t>
      </w:r>
      <w:r w:rsidR="00DC6920" w:rsidRPr="00DC6920">
        <w:rPr>
          <w:rFonts w:hint="eastAsia"/>
        </w:rPr>
        <w:t xml:space="preserve"> </w:t>
      </w:r>
      <w:r w:rsidR="00DC6920" w:rsidRPr="00DC6920">
        <w:rPr>
          <w:rFonts w:ascii="Times New Roman" w:eastAsia="等线" w:hAnsi="Times New Roman" w:cs="Times New Roman" w:hint="eastAsia"/>
        </w:rPr>
        <w:t>liur227@mail.sysu.edu.cn</w:t>
      </w:r>
      <w:r w:rsidRPr="00357402">
        <w:rPr>
          <w:rFonts w:ascii="Times New Roman" w:eastAsia="等线" w:hAnsi="Times New Roman" w:cs="Times New Roman"/>
          <w:sz w:val="20"/>
        </w:rPr>
        <w:t>.</w:t>
      </w:r>
    </w:p>
    <w:p w14:paraId="7BD68803" w14:textId="77777777" w:rsidR="00357402" w:rsidRPr="00357402" w:rsidRDefault="00357402" w:rsidP="00357402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357402">
        <w:rPr>
          <w:rFonts w:ascii="Times New Roman" w:eastAsia="宋体" w:hAnsi="Times New Roman" w:cs="Times New Roman"/>
          <w:b/>
          <w:bCs/>
          <w:sz w:val="24"/>
          <w:szCs w:val="24"/>
        </w:rPr>
        <w:br w:type="page"/>
      </w:r>
    </w:p>
    <w:p w14:paraId="702CDB24" w14:textId="57855473" w:rsidR="00357402" w:rsidRPr="00357402" w:rsidRDefault="00357402" w:rsidP="00357402">
      <w:pPr>
        <w:spacing w:line="360" w:lineRule="auto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357402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Supplementary Table</w:t>
      </w:r>
      <w:r w:rsidR="00D770DA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1</w:t>
      </w:r>
      <w:r w:rsidRPr="00357402">
        <w:rPr>
          <w:rFonts w:ascii="Times New Roman" w:eastAsia="宋体" w:hAnsi="Times New Roman" w:cs="Times New Roman"/>
          <w:b/>
          <w:bCs/>
          <w:sz w:val="28"/>
          <w:szCs w:val="28"/>
        </w:rPr>
        <w:t>. Reagents and resources.</w:t>
      </w:r>
    </w:p>
    <w:tbl>
      <w:tblPr>
        <w:tblW w:w="8010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621"/>
        <w:gridCol w:w="2845"/>
      </w:tblGrid>
      <w:tr w:rsidR="00357402" w:rsidRPr="00357402" w14:paraId="3C5F8F49" w14:textId="77777777" w:rsidTr="00357402">
        <w:trPr>
          <w:trHeight w:val="320"/>
          <w:jc w:val="center"/>
        </w:trPr>
        <w:tc>
          <w:tcPr>
            <w:tcW w:w="354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03DFDE4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Reagent or Resource</w:t>
            </w:r>
          </w:p>
        </w:tc>
        <w:tc>
          <w:tcPr>
            <w:tcW w:w="162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3E5E25ED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Source</w:t>
            </w:r>
          </w:p>
        </w:tc>
        <w:tc>
          <w:tcPr>
            <w:tcW w:w="284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noWrap/>
            <w:vAlign w:val="center"/>
          </w:tcPr>
          <w:p w14:paraId="3CE1C56C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Identifier</w:t>
            </w:r>
          </w:p>
        </w:tc>
      </w:tr>
      <w:tr w:rsidR="00357402" w:rsidRPr="00357402" w14:paraId="1D35FC8A" w14:textId="77777777" w:rsidTr="00357402">
        <w:trPr>
          <w:trHeight w:val="320"/>
          <w:jc w:val="center"/>
        </w:trPr>
        <w:tc>
          <w:tcPr>
            <w:tcW w:w="8010" w:type="dxa"/>
            <w:gridSpan w:val="3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908AF33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b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b/>
                <w:sz w:val="24"/>
                <w:szCs w:val="24"/>
              </w:rPr>
              <w:t>Cell lines</w:t>
            </w:r>
          </w:p>
        </w:tc>
      </w:tr>
      <w:tr w:rsidR="00357402" w:rsidRPr="00357402" w14:paraId="328B6DDC" w14:textId="77777777" w:rsidTr="00357402">
        <w:trPr>
          <w:trHeight w:val="320"/>
          <w:jc w:val="center"/>
        </w:trPr>
        <w:tc>
          <w:tcPr>
            <w:tcW w:w="3544" w:type="dxa"/>
            <w:tcBorders>
              <w:top w:val="single" w:sz="8" w:space="0" w:color="000000"/>
              <w:left w:val="nil"/>
              <w:right w:val="nil"/>
            </w:tcBorders>
            <w:noWrap/>
            <w:vAlign w:val="center"/>
          </w:tcPr>
          <w:p w14:paraId="3B25F8C6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RM-1</w:t>
            </w:r>
          </w:p>
        </w:tc>
        <w:tc>
          <w:tcPr>
            <w:tcW w:w="1621" w:type="dxa"/>
            <w:tcBorders>
              <w:top w:val="single" w:sz="8" w:space="0" w:color="000000"/>
              <w:left w:val="nil"/>
              <w:right w:val="nil"/>
            </w:tcBorders>
            <w:noWrap/>
            <w:vAlign w:val="center"/>
          </w:tcPr>
          <w:p w14:paraId="3AC59813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iCell</w:t>
            </w:r>
            <w:proofErr w:type="spellEnd"/>
          </w:p>
        </w:tc>
        <w:tc>
          <w:tcPr>
            <w:tcW w:w="2845" w:type="dxa"/>
            <w:tcBorders>
              <w:top w:val="single" w:sz="8" w:space="0" w:color="000000"/>
              <w:left w:val="nil"/>
              <w:right w:val="nil"/>
            </w:tcBorders>
            <w:noWrap/>
            <w:vAlign w:val="center"/>
          </w:tcPr>
          <w:p w14:paraId="4967EA1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iCell-m051</w:t>
            </w:r>
          </w:p>
        </w:tc>
      </w:tr>
      <w:tr w:rsidR="00357402" w:rsidRPr="00357402" w14:paraId="627F74BE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A02690A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PC3</w:t>
            </w:r>
          </w:p>
        </w:tc>
        <w:tc>
          <w:tcPr>
            <w:tcW w:w="162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39846F7D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iCell</w:t>
            </w:r>
            <w:proofErr w:type="spellEnd"/>
          </w:p>
        </w:tc>
        <w:tc>
          <w:tcPr>
            <w:tcW w:w="284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8B5D37F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iCell-h174</w:t>
            </w:r>
          </w:p>
        </w:tc>
      </w:tr>
      <w:tr w:rsidR="00357402" w:rsidRPr="00357402" w14:paraId="692C932B" w14:textId="77777777" w:rsidTr="00357402">
        <w:trPr>
          <w:trHeight w:val="320"/>
          <w:jc w:val="center"/>
        </w:trPr>
        <w:tc>
          <w:tcPr>
            <w:tcW w:w="3544" w:type="dxa"/>
            <w:tcBorders>
              <w:bottom w:val="single" w:sz="12" w:space="0" w:color="000000"/>
            </w:tcBorders>
            <w:noWrap/>
            <w:vAlign w:val="center"/>
          </w:tcPr>
          <w:p w14:paraId="4EAE9369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DU145</w:t>
            </w:r>
          </w:p>
        </w:tc>
        <w:tc>
          <w:tcPr>
            <w:tcW w:w="1621" w:type="dxa"/>
            <w:tcBorders>
              <w:bottom w:val="single" w:sz="12" w:space="0" w:color="000000"/>
            </w:tcBorders>
            <w:noWrap/>
            <w:vAlign w:val="center"/>
          </w:tcPr>
          <w:p w14:paraId="1A59FCB0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iCell</w:t>
            </w:r>
            <w:proofErr w:type="spellEnd"/>
          </w:p>
        </w:tc>
        <w:tc>
          <w:tcPr>
            <w:tcW w:w="2845" w:type="dxa"/>
            <w:tcBorders>
              <w:bottom w:val="single" w:sz="12" w:space="0" w:color="000000"/>
            </w:tcBorders>
            <w:noWrap/>
            <w:vAlign w:val="center"/>
          </w:tcPr>
          <w:p w14:paraId="093FA1BD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iCell-h250</w:t>
            </w:r>
          </w:p>
        </w:tc>
      </w:tr>
      <w:tr w:rsidR="00357402" w:rsidRPr="00357402" w14:paraId="7B91DEF4" w14:textId="77777777" w:rsidTr="00357402">
        <w:trPr>
          <w:trHeight w:val="320"/>
          <w:jc w:val="center"/>
        </w:trPr>
        <w:tc>
          <w:tcPr>
            <w:tcW w:w="8010" w:type="dxa"/>
            <w:gridSpan w:val="3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E16CBB5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Antibodies</w:t>
            </w:r>
          </w:p>
        </w:tc>
      </w:tr>
      <w:tr w:rsidR="00357402" w:rsidRPr="00357402" w14:paraId="75D2A1CF" w14:textId="77777777" w:rsidTr="0015110B">
        <w:trPr>
          <w:trHeight w:val="320"/>
          <w:jc w:val="center"/>
        </w:trPr>
        <w:tc>
          <w:tcPr>
            <w:tcW w:w="3544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26232EC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PCNA(PC10) Mouse </w:t>
            </w: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mAb</w:t>
            </w:r>
            <w:proofErr w:type="spellEnd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#2586</w:t>
            </w:r>
          </w:p>
        </w:tc>
        <w:tc>
          <w:tcPr>
            <w:tcW w:w="1621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2EC55C2F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CST</w:t>
            </w:r>
          </w:p>
        </w:tc>
        <w:tc>
          <w:tcPr>
            <w:tcW w:w="2845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646E4825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Cat# 2586T</w:t>
            </w:r>
          </w:p>
        </w:tc>
      </w:tr>
      <w:tr w:rsidR="00357402" w:rsidRPr="00357402" w14:paraId="2D382196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C967165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Rabbit monoclonal [SP6] to Ki67</w:t>
            </w:r>
          </w:p>
        </w:tc>
        <w:tc>
          <w:tcPr>
            <w:tcW w:w="1621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2288F873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Abcam</w:t>
            </w:r>
          </w:p>
        </w:tc>
        <w:tc>
          <w:tcPr>
            <w:tcW w:w="284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7BB01590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Cat# ab16667</w:t>
            </w:r>
          </w:p>
        </w:tc>
      </w:tr>
      <w:tr w:rsidR="00357402" w:rsidRPr="00357402" w14:paraId="6391538B" w14:textId="77777777" w:rsidTr="0015110B">
        <w:trPr>
          <w:trHeight w:val="320"/>
          <w:jc w:val="center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1C9C29D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b/>
                <w:bCs/>
                <w:sz w:val="24"/>
                <w:szCs w:val="24"/>
              </w:rPr>
              <w:t>Chemicals</w:t>
            </w:r>
          </w:p>
        </w:tc>
        <w:tc>
          <w:tcPr>
            <w:tcW w:w="16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43BDBB3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76833A0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357402" w:rsidRPr="00357402" w14:paraId="57C5A9D2" w14:textId="77777777" w:rsidTr="0015110B">
        <w:trPr>
          <w:trHeight w:val="320"/>
          <w:jc w:val="center"/>
        </w:trPr>
        <w:tc>
          <w:tcPr>
            <w:tcW w:w="3544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593EF434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AOH1996</w:t>
            </w:r>
          </w:p>
        </w:tc>
        <w:tc>
          <w:tcPr>
            <w:tcW w:w="1621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5F2B60A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Abmole</w:t>
            </w:r>
            <w:proofErr w:type="spellEnd"/>
          </w:p>
        </w:tc>
        <w:tc>
          <w:tcPr>
            <w:tcW w:w="2845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1E26F65A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Cat# M40519</w:t>
            </w:r>
          </w:p>
        </w:tc>
      </w:tr>
      <w:tr w:rsidR="00357402" w:rsidRPr="00357402" w14:paraId="4E2783DA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5510AFEF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Enzalutamide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7C3A4B12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MCE</w:t>
            </w: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635EFD47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Cat# HY-70002</w:t>
            </w:r>
          </w:p>
        </w:tc>
      </w:tr>
      <w:tr w:rsidR="00357402" w:rsidRPr="00357402" w14:paraId="371260DD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5CFA3416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Z-VAD-FMK</w:t>
            </w:r>
          </w:p>
        </w:tc>
        <w:tc>
          <w:tcPr>
            <w:tcW w:w="1621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05AD0D6F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MCE</w:t>
            </w:r>
          </w:p>
        </w:tc>
        <w:tc>
          <w:tcPr>
            <w:tcW w:w="2845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5AE8FBD7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Cat# HY-16658B</w:t>
            </w:r>
          </w:p>
        </w:tc>
      </w:tr>
      <w:tr w:rsidR="00357402" w:rsidRPr="00357402" w14:paraId="3D431576" w14:textId="77777777" w:rsidTr="0015110B">
        <w:trPr>
          <w:trHeight w:val="320"/>
          <w:jc w:val="center"/>
        </w:trPr>
        <w:tc>
          <w:tcPr>
            <w:tcW w:w="354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571ADE7E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Deposited data</w:t>
            </w:r>
          </w:p>
        </w:tc>
        <w:tc>
          <w:tcPr>
            <w:tcW w:w="162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CD66A4E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8B906B5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357402" w:rsidRPr="00357402" w14:paraId="640A327E" w14:textId="77777777" w:rsidTr="0015110B">
        <w:trPr>
          <w:trHeight w:val="320"/>
          <w:jc w:val="center"/>
        </w:trPr>
        <w:tc>
          <w:tcPr>
            <w:tcW w:w="3544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519B2330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TCGA-PRAD</w:t>
            </w:r>
          </w:p>
        </w:tc>
        <w:tc>
          <w:tcPr>
            <w:tcW w:w="1621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47A1C1AD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top w:val="single" w:sz="8" w:space="0" w:color="auto"/>
              <w:left w:val="nil"/>
              <w:right w:val="nil"/>
            </w:tcBorders>
            <w:noWrap/>
            <w:vAlign w:val="bottom"/>
          </w:tcPr>
          <w:p w14:paraId="238FF080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</w:tr>
      <w:tr w:rsidR="00357402" w:rsidRPr="00357402" w14:paraId="42B88FD0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763FFD5D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Stockholm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0FE7C0B7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48D8DD8F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GSE70769</w:t>
            </w:r>
          </w:p>
        </w:tc>
      </w:tr>
      <w:tr w:rsidR="00357402" w:rsidRPr="00357402" w14:paraId="7358D9D0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3D7208BD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Cambridge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5AC5FCE5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7883CCE8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GSE70768</w:t>
            </w:r>
          </w:p>
        </w:tc>
      </w:tr>
      <w:tr w:rsidR="00357402" w:rsidRPr="00357402" w14:paraId="22A9A264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32A8F26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CancerMap</w:t>
            </w:r>
            <w:proofErr w:type="spellEnd"/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166749C9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13864FA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GSE94767</w:t>
            </w:r>
          </w:p>
        </w:tc>
      </w:tr>
      <w:tr w:rsidR="00357402" w:rsidRPr="00357402" w14:paraId="1E5CC868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60C7941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GSE54460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638843CA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7D9D80A2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GSE54460</w:t>
            </w:r>
          </w:p>
        </w:tc>
      </w:tr>
      <w:tr w:rsidR="00357402" w:rsidRPr="00357402" w14:paraId="7184E7F8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6880F38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Taylor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360A7EC5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4BAE1C6A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GSE21034</w:t>
            </w:r>
          </w:p>
        </w:tc>
      </w:tr>
      <w:tr w:rsidR="00357402" w:rsidRPr="00357402" w14:paraId="24140368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12C410A7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GTEX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06BF9E61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002B9C33" w14:textId="77777777" w:rsidR="00357402" w:rsidRPr="00357402" w:rsidRDefault="00357402" w:rsidP="00357402">
            <w:pPr>
              <w:spacing w:line="360" w:lineRule="auto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https://xenabrowser.net/</w:t>
            </w:r>
          </w:p>
        </w:tc>
      </w:tr>
      <w:tr w:rsidR="00357402" w:rsidRPr="00357402" w14:paraId="3AB0AA92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2ED36D13" w14:textId="77777777" w:rsidR="00357402" w:rsidRPr="00357402" w:rsidRDefault="00357402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Bulk-</w:t>
            </w: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RNAseq</w:t>
            </w:r>
            <w:proofErr w:type="spellEnd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 human prostate cancer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000C2DED" w14:textId="77777777" w:rsidR="00357402" w:rsidRPr="00357402" w:rsidRDefault="00357402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Bolis et al.</w:t>
            </w: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6E4A7D2A" w14:textId="77777777" w:rsidR="00357402" w:rsidRPr="00357402" w:rsidRDefault="00357402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https://prostatecanceratlas.org</w:t>
            </w:r>
          </w:p>
        </w:tc>
      </w:tr>
      <w:tr w:rsidR="00A53156" w:rsidRPr="00357402" w14:paraId="2E2C80DF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46E45217" w14:textId="77B571FA" w:rsidR="00A53156" w:rsidRPr="00357402" w:rsidRDefault="00A53156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SU2C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402E14F5" w14:textId="77777777" w:rsidR="00A53156" w:rsidRPr="00357402" w:rsidRDefault="00A53156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42E6E002" w14:textId="36A06B47" w:rsidR="00A53156" w:rsidRPr="00357402" w:rsidRDefault="00A53156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A5315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cBioPortal</w:t>
            </w:r>
            <w:proofErr w:type="spellEnd"/>
          </w:p>
        </w:tc>
      </w:tr>
      <w:tr w:rsidR="00A53156" w:rsidRPr="00357402" w14:paraId="33B3856B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right w:val="nil"/>
            </w:tcBorders>
            <w:noWrap/>
            <w:vAlign w:val="bottom"/>
          </w:tcPr>
          <w:p w14:paraId="041CB273" w14:textId="2059F232" w:rsidR="00A53156" w:rsidRDefault="00A53156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CTPC</w:t>
            </w:r>
          </w:p>
        </w:tc>
        <w:tc>
          <w:tcPr>
            <w:tcW w:w="1621" w:type="dxa"/>
            <w:tcBorders>
              <w:left w:val="nil"/>
              <w:right w:val="nil"/>
            </w:tcBorders>
            <w:noWrap/>
            <w:vAlign w:val="bottom"/>
          </w:tcPr>
          <w:p w14:paraId="5BF6AA09" w14:textId="77777777" w:rsidR="00A53156" w:rsidRPr="00357402" w:rsidRDefault="00A53156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right w:val="nil"/>
            </w:tcBorders>
            <w:noWrap/>
            <w:vAlign w:val="bottom"/>
          </w:tcPr>
          <w:p w14:paraId="20E60751" w14:textId="674C7740" w:rsidR="00A53156" w:rsidRPr="00A53156" w:rsidRDefault="00A53156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A53156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https://pcatools.shinyapps.io/CTPC_V2/</w:t>
            </w:r>
          </w:p>
        </w:tc>
      </w:tr>
      <w:tr w:rsidR="00357402" w:rsidRPr="00357402" w14:paraId="6D916581" w14:textId="77777777" w:rsidTr="0015110B">
        <w:trPr>
          <w:trHeight w:val="320"/>
          <w:jc w:val="center"/>
        </w:trPr>
        <w:tc>
          <w:tcPr>
            <w:tcW w:w="3544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268C8353" w14:textId="77777777" w:rsidR="00357402" w:rsidRPr="00357402" w:rsidRDefault="00357402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 xml:space="preserve">CRPC </w:t>
            </w:r>
            <w:proofErr w:type="spellStart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scRNA</w:t>
            </w:r>
            <w:proofErr w:type="spellEnd"/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-seq</w:t>
            </w:r>
          </w:p>
        </w:tc>
        <w:tc>
          <w:tcPr>
            <w:tcW w:w="1621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7796CA49" w14:textId="77777777" w:rsidR="00357402" w:rsidRPr="00357402" w:rsidRDefault="00357402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</w:p>
        </w:tc>
        <w:tc>
          <w:tcPr>
            <w:tcW w:w="2845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6EDB4921" w14:textId="77777777" w:rsidR="00357402" w:rsidRPr="00357402" w:rsidRDefault="00357402" w:rsidP="00357402">
            <w:pPr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357402">
              <w:rPr>
                <w:rFonts w:ascii="Times New Roman" w:eastAsia="等线" w:hAnsi="Times New Roman" w:cs="Times New Roman"/>
                <w:sz w:val="24"/>
                <w:szCs w:val="24"/>
              </w:rPr>
              <w:t>GSE137829</w:t>
            </w:r>
          </w:p>
        </w:tc>
      </w:tr>
    </w:tbl>
    <w:p w14:paraId="7DF00311" w14:textId="77777777" w:rsidR="00357402" w:rsidRPr="00357402" w:rsidRDefault="00357402" w:rsidP="00357402">
      <w:pPr>
        <w:rPr>
          <w:rFonts w:ascii="Times New Roman" w:eastAsia="等线" w:hAnsi="Times New Roman" w:cs="Times New Roman"/>
        </w:rPr>
      </w:pPr>
    </w:p>
    <w:p w14:paraId="1A76C6C1" w14:textId="77777777" w:rsidR="00D770DA" w:rsidRDefault="00D770DA" w:rsidP="00357402">
      <w:pPr>
        <w:widowControl/>
        <w:jc w:val="left"/>
        <w:rPr>
          <w:rFonts w:ascii="Times New Roman" w:eastAsia="等线" w:hAnsi="Times New Roman" w:cs="Times New Roman"/>
        </w:rPr>
      </w:pPr>
    </w:p>
    <w:p w14:paraId="60E4FE0A" w14:textId="77777777" w:rsidR="00D770DA" w:rsidRDefault="00D770DA" w:rsidP="00357402">
      <w:pPr>
        <w:widowControl/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357402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>Supplementary Table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2</w:t>
      </w:r>
      <w:r w:rsidRPr="00357402">
        <w:rPr>
          <w:rFonts w:ascii="Times New Roman" w:eastAsia="宋体" w:hAnsi="Times New Roman" w:cs="Times New Roman"/>
          <w:b/>
          <w:bCs/>
          <w:sz w:val="28"/>
          <w:szCs w:val="28"/>
        </w:rPr>
        <w:t>.</w:t>
      </w:r>
      <w:r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 </w:t>
      </w:r>
      <w:r w:rsidRPr="00D770DA">
        <w:rPr>
          <w:rFonts w:ascii="Times New Roman" w:eastAsia="宋体" w:hAnsi="Times New Roman" w:cs="Times New Roman"/>
          <w:b/>
          <w:bCs/>
          <w:sz w:val="28"/>
          <w:szCs w:val="28"/>
        </w:rPr>
        <w:t>List of primers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543"/>
        <w:gridCol w:w="3770"/>
      </w:tblGrid>
      <w:tr w:rsidR="00D770DA" w14:paraId="4725D65C" w14:textId="77777777" w:rsidTr="00D770DA">
        <w:tc>
          <w:tcPr>
            <w:tcW w:w="993" w:type="dxa"/>
            <w:tcBorders>
              <w:top w:val="single" w:sz="12" w:space="0" w:color="auto"/>
              <w:bottom w:val="single" w:sz="8" w:space="0" w:color="auto"/>
            </w:tcBorders>
          </w:tcPr>
          <w:p w14:paraId="261CE25E" w14:textId="083DF5CE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Gene</w:t>
            </w:r>
          </w:p>
        </w:tc>
        <w:tc>
          <w:tcPr>
            <w:tcW w:w="3543" w:type="dxa"/>
            <w:tcBorders>
              <w:top w:val="single" w:sz="12" w:space="0" w:color="auto"/>
              <w:bottom w:val="single" w:sz="8" w:space="0" w:color="auto"/>
            </w:tcBorders>
          </w:tcPr>
          <w:p w14:paraId="3D24E725" w14:textId="791ABAAE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Forward primer (5</w:t>
            </w:r>
            <w:r w:rsidRPr="00D770DA">
              <w:rPr>
                <w:rFonts w:ascii="Times New Roman" w:eastAsia="等线" w:hAnsi="Times New Roman" w:cs="Times New Roman"/>
                <w:sz w:val="24"/>
                <w:szCs w:val="24"/>
              </w:rPr>
              <w:t>’</w:t>
            </w: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- 3</w:t>
            </w:r>
            <w:r w:rsidRPr="00D770DA">
              <w:rPr>
                <w:rFonts w:ascii="Times New Roman" w:eastAsia="等线" w:hAnsi="Times New Roman" w:cs="Times New Roman"/>
                <w:sz w:val="24"/>
                <w:szCs w:val="24"/>
              </w:rPr>
              <w:t>’</w:t>
            </w: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3770" w:type="dxa"/>
            <w:tcBorders>
              <w:top w:val="single" w:sz="12" w:space="0" w:color="auto"/>
              <w:bottom w:val="single" w:sz="8" w:space="0" w:color="auto"/>
            </w:tcBorders>
          </w:tcPr>
          <w:p w14:paraId="4BC45CB8" w14:textId="6175F5BB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Reverse primer (5</w:t>
            </w:r>
            <w:r w:rsidRPr="00D770DA">
              <w:rPr>
                <w:rFonts w:ascii="Times New Roman" w:eastAsia="等线" w:hAnsi="Times New Roman" w:cs="Times New Roman"/>
                <w:sz w:val="24"/>
                <w:szCs w:val="24"/>
              </w:rPr>
              <w:t>’</w:t>
            </w: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- 3</w:t>
            </w:r>
            <w:r w:rsidRPr="00D770DA">
              <w:rPr>
                <w:rFonts w:ascii="Times New Roman" w:eastAsia="等线" w:hAnsi="Times New Roman" w:cs="Times New Roman"/>
                <w:sz w:val="24"/>
                <w:szCs w:val="24"/>
              </w:rPr>
              <w:t>’</w:t>
            </w: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)</w:t>
            </w:r>
          </w:p>
        </w:tc>
      </w:tr>
      <w:tr w:rsidR="00D770DA" w14:paraId="784E8A20" w14:textId="77777777" w:rsidTr="00D770DA">
        <w:tc>
          <w:tcPr>
            <w:tcW w:w="993" w:type="dxa"/>
            <w:tcBorders>
              <w:top w:val="single" w:sz="8" w:space="0" w:color="auto"/>
            </w:tcBorders>
          </w:tcPr>
          <w:p w14:paraId="119D6742" w14:textId="1331F7B7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PCNA</w:t>
            </w:r>
          </w:p>
        </w:tc>
        <w:tc>
          <w:tcPr>
            <w:tcW w:w="3543" w:type="dxa"/>
            <w:tcBorders>
              <w:top w:val="single" w:sz="8" w:space="0" w:color="auto"/>
            </w:tcBorders>
          </w:tcPr>
          <w:p w14:paraId="5E8F0EAA" w14:textId="30FDBBFA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CCTGCTGGGATATTAGCTCCA</w:t>
            </w:r>
          </w:p>
        </w:tc>
        <w:tc>
          <w:tcPr>
            <w:tcW w:w="3770" w:type="dxa"/>
            <w:tcBorders>
              <w:top w:val="single" w:sz="8" w:space="0" w:color="auto"/>
            </w:tcBorders>
          </w:tcPr>
          <w:p w14:paraId="313278BC" w14:textId="6AC2C6EE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CAGCGGTAGGTGTCGAAGC</w:t>
            </w:r>
          </w:p>
        </w:tc>
      </w:tr>
      <w:tr w:rsidR="00D770DA" w14:paraId="1C8C2897" w14:textId="77777777" w:rsidTr="00D770DA">
        <w:tc>
          <w:tcPr>
            <w:tcW w:w="993" w:type="dxa"/>
          </w:tcPr>
          <w:p w14:paraId="7815F8EA" w14:textId="697AD980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ACTB</w:t>
            </w:r>
          </w:p>
        </w:tc>
        <w:tc>
          <w:tcPr>
            <w:tcW w:w="3543" w:type="dxa"/>
          </w:tcPr>
          <w:p w14:paraId="7DFB1C9E" w14:textId="26136557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CATGTACGTTGCTATCCAGGC</w:t>
            </w:r>
          </w:p>
        </w:tc>
        <w:tc>
          <w:tcPr>
            <w:tcW w:w="3770" w:type="dxa"/>
          </w:tcPr>
          <w:p w14:paraId="2585E418" w14:textId="1931F1D6" w:rsidR="00D770DA" w:rsidRPr="00D770DA" w:rsidRDefault="00D770DA" w:rsidP="00D770DA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D770DA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CTCCTTAATGTCACGCACGAT</w:t>
            </w:r>
          </w:p>
        </w:tc>
      </w:tr>
    </w:tbl>
    <w:p w14:paraId="7BB29118" w14:textId="4CA13E6F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 w:hint="eastAsia"/>
        </w:rPr>
        <w:br w:type="page"/>
      </w:r>
    </w:p>
    <w:p w14:paraId="0C75318B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038CF61A" wp14:editId="51CA048F">
            <wp:extent cx="5274310" cy="6149975"/>
            <wp:effectExtent l="0" t="0" r="2540" b="3175"/>
            <wp:docPr id="183224907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249077" name="图片 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4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A63A9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Figure S1. Construction of WGCNA in TCGA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-PRAD</w:t>
      </w:r>
    </w:p>
    <w:p w14:paraId="4ECE0CC8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Network topology analysis for different soft-threshold powers. The effects of soft-threshold power on the topology-fit index (scale-free) are shown in the left-hand panel.</w:t>
      </w:r>
    </w:p>
    <w:p w14:paraId="51CD2BF2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Clustering Dendrogram of Module Genes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>.</w:t>
      </w:r>
    </w:p>
    <w:p w14:paraId="471BD435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4E1DB5DE" wp14:editId="64D6F045">
            <wp:extent cx="5274310" cy="6425565"/>
            <wp:effectExtent l="0" t="0" r="2540" b="0"/>
            <wp:docPr id="113668338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683386" name="图片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2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8C14F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Figure S2. Assessment of the SRGS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m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odel</w:t>
      </w:r>
    </w:p>
    <w:p w14:paraId="120CB531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Receiver Operating Characteristic (ROC) curves for SRGS predicting biochemical recurrence (BCR) across all cohorts, with the corresponding area under the curve (AUC) values.</w:t>
      </w:r>
    </w:p>
    <w:p w14:paraId="0C8FC2D7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Time-dependent ROC analysis for predicting Biochemical Recurrence (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>BCR</w:t>
      </w:r>
      <w:r w:rsidRPr="00357402">
        <w:rPr>
          <w:rFonts w:ascii="Times New Roman" w:eastAsia="等线" w:hAnsi="Times New Roman" w:cs="Times New Roman"/>
          <w:sz w:val="24"/>
          <w:szCs w:val="24"/>
        </w:rPr>
        <w:t>) at 1, 3, and 5 years across all cohorts.</w:t>
      </w:r>
    </w:p>
    <w:p w14:paraId="023261C4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lastRenderedPageBreak/>
        <w:t>C.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Comparison of the performance of SRGS with those of other clinical factors in predicting prognosis. Statistical tests: two-sided z-score test. Data are shown as mean ± 95% CI.</w:t>
      </w:r>
    </w:p>
    <w:p w14:paraId="61DD3D65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sz w:val="24"/>
          <w:szCs w:val="24"/>
        </w:rPr>
        <w:br w:type="page"/>
      </w:r>
    </w:p>
    <w:p w14:paraId="7F893770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24CC731D" wp14:editId="5268F687">
            <wp:extent cx="5274310" cy="4878070"/>
            <wp:effectExtent l="0" t="0" r="2540" b="0"/>
            <wp:docPr id="1885048874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048874" name="图片 9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8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0BC2C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Figure S3. Comparison of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p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rognostic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m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odels in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p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rostate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ancer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ohorts</w:t>
      </w:r>
    </w:p>
    <w:p w14:paraId="58DFC0D2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Univariate Cox regression analysis of SRGS and 60 published gene signatures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 xml:space="preserve">in 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TCGA-PRAD, Stockholm, Cambridge, </w:t>
      </w:r>
      <w:proofErr w:type="spellStart"/>
      <w:r w:rsidRPr="00357402">
        <w:rPr>
          <w:rFonts w:ascii="Times New Roman" w:eastAsia="等线" w:hAnsi="Times New Roman" w:cs="Times New Roman"/>
          <w:sz w:val="24"/>
          <w:szCs w:val="24"/>
        </w:rPr>
        <w:t>CancerMap</w:t>
      </w:r>
      <w:proofErr w:type="spellEnd"/>
      <w:r w:rsidRPr="00357402">
        <w:rPr>
          <w:rFonts w:ascii="Times New Roman" w:eastAsia="等线" w:hAnsi="Times New Roman" w:cs="Times New Roman"/>
          <w:sz w:val="24"/>
          <w:szCs w:val="24"/>
        </w:rPr>
        <w:t>, GSE54460, and Taylor.</w:t>
      </w:r>
    </w:p>
    <w:p w14:paraId="1AF51427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C-index analysis comparing SRGS with 60 published gene signatures in TCGA-PRAD, Stockholm, Cambridge, </w:t>
      </w:r>
      <w:proofErr w:type="spellStart"/>
      <w:r w:rsidRPr="00357402">
        <w:rPr>
          <w:rFonts w:ascii="Times New Roman" w:eastAsia="等线" w:hAnsi="Times New Roman" w:cs="Times New Roman"/>
          <w:sz w:val="24"/>
          <w:szCs w:val="24"/>
        </w:rPr>
        <w:t>CancerMap</w:t>
      </w:r>
      <w:proofErr w:type="spellEnd"/>
      <w:r w:rsidRPr="00357402">
        <w:rPr>
          <w:rFonts w:ascii="Times New Roman" w:eastAsia="等线" w:hAnsi="Times New Roman" w:cs="Times New Roman"/>
          <w:sz w:val="24"/>
          <w:szCs w:val="24"/>
        </w:rPr>
        <w:t>, GSE54460, Taylor. Data are presented as mean ± 95% CI.</w:t>
      </w:r>
    </w:p>
    <w:p w14:paraId="4712EA2B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 w:hint="eastAsia"/>
        </w:rPr>
        <w:t xml:space="preserve"> </w:t>
      </w:r>
    </w:p>
    <w:p w14:paraId="3BAE50D5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</w:rPr>
        <w:br w:type="page"/>
      </w:r>
    </w:p>
    <w:p w14:paraId="295FD3B9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1FC66E77" wp14:editId="1A888168">
            <wp:extent cx="5274310" cy="5377815"/>
            <wp:effectExtent l="0" t="0" r="2540" b="0"/>
            <wp:docPr id="52178728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787288" name="图片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199A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Figure S4. Validation of SRGS as an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i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ndependent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risk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f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actor in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SYSU-PRAD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ohort</w:t>
      </w:r>
    </w:p>
    <w:p w14:paraId="21C50808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Results of the univariate Cox regression analysis in the SYSU-PRAD cohort (n = 90).</w:t>
      </w:r>
    </w:p>
    <w:p w14:paraId="1ED1E1A4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Results of the multivariate Cox regression analysis in the SYSU-PRAD cohort (n = 90).</w:t>
      </w:r>
    </w:p>
    <w:p w14:paraId="74CA1609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</w:rPr>
        <w:br w:type="page"/>
      </w:r>
    </w:p>
    <w:p w14:paraId="07BC3FB9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01D932C6" wp14:editId="047D8E0E">
            <wp:extent cx="5274310" cy="5929630"/>
            <wp:effectExtent l="0" t="0" r="2540" b="0"/>
            <wp:docPr id="3251255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125565" name="图片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2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557C6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Figure S5.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E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xploration of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potential mechanisms promoting tumor progression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in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TCGA-PRAD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Cohort</w:t>
      </w:r>
    </w:p>
    <w:p w14:paraId="08653048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29393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Heatmap showing correlations between SRGS and 50 tumor-associated pathways in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>TCGA</w:t>
      </w:r>
      <w:r w:rsidRPr="00357402">
        <w:rPr>
          <w:rFonts w:ascii="Times New Roman" w:eastAsia="等线" w:hAnsi="Times New Roman" w:cs="Times New Roman"/>
          <w:sz w:val="24"/>
          <w:szCs w:val="24"/>
        </w:rPr>
        <w:t>-PRAD cohort.</w:t>
      </w:r>
    </w:p>
    <w:p w14:paraId="2CF9FC78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29393A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Genomic mutation profiles in TCGA-PRAD cohort based on SRGS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>group</w:t>
      </w:r>
      <w:r w:rsidRPr="00357402">
        <w:rPr>
          <w:rFonts w:ascii="Times New Roman" w:eastAsia="等线" w:hAnsi="Times New Roman" w:cs="Times New Roman"/>
          <w:sz w:val="24"/>
          <w:szCs w:val="24"/>
        </w:rPr>
        <w:t>. Tumor mutational burden (TMB) in each tumor sample (top). Frequently mutated prostate cancer-associated genes and their occurrence in tumor samples (bottom). Mutation frequencies are represented by a bar plot.</w:t>
      </w:r>
    </w:p>
    <w:p w14:paraId="0D5757EC" w14:textId="77777777" w:rsid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29393A">
        <w:rPr>
          <w:rFonts w:ascii="Times New Roman" w:eastAsia="等线" w:hAnsi="Times New Roman" w:cs="Times New Roman" w:hint="eastAsia"/>
          <w:b/>
          <w:bCs/>
          <w:sz w:val="24"/>
          <w:szCs w:val="24"/>
        </w:rPr>
        <w:lastRenderedPageBreak/>
        <w:t>C.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 xml:space="preserve"> Comparison of the overall TMB 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in TCGA-PRAD cohort based on SRGS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 xml:space="preserve">group. 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Statistical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 xml:space="preserve">test: </w:t>
      </w:r>
      <w:r w:rsidRPr="00357402">
        <w:rPr>
          <w:rFonts w:ascii="Times New Roman" w:eastAsia="等线" w:hAnsi="Times New Roman" w:cs="Times New Roman"/>
          <w:sz w:val="24"/>
          <w:szCs w:val="24"/>
        </w:rPr>
        <w:t>two-sided unpaired Wilcoxon test.</w:t>
      </w:r>
    </w:p>
    <w:p w14:paraId="39EF49F0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0D016A64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65EED063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1C226706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4A0E3060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6DD93687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4B3758ED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3D63F9B2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1D2C92A3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39156F7F" w14:textId="77777777" w:rsidR="00A9694A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289AB97C" w14:textId="77777777" w:rsidR="00A9694A" w:rsidRPr="00357402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</w:p>
    <w:p w14:paraId="6AD4A16B" w14:textId="46AF92D6" w:rsidR="00357402" w:rsidRPr="00357402" w:rsidRDefault="00A9694A" w:rsidP="00357402">
      <w:pPr>
        <w:widowControl/>
        <w:jc w:val="left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58A0FBB9" wp14:editId="0AC10E11">
            <wp:extent cx="5274310" cy="5030470"/>
            <wp:effectExtent l="0" t="0" r="2540" b="0"/>
            <wp:docPr id="8573934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93480" name="图片 8573934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177E9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Figure S6. Single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 c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ell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a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nalysis of the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p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rostate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ancer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t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umor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m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icroenvironment</w:t>
      </w:r>
    </w:p>
    <w:p w14:paraId="3CA2112B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UMAP visualization of the prostate cancer tumor microenvironment, where each color represents a specific cell type.</w:t>
      </w:r>
    </w:p>
    <w:p w14:paraId="30796B46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Pie chart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>showing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the proportions of different cellular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>types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 xml:space="preserve">in </w:t>
      </w:r>
      <w:r w:rsidRPr="00357402">
        <w:rPr>
          <w:rFonts w:ascii="Times New Roman" w:eastAsia="等线" w:hAnsi="Times New Roman" w:cs="Times New Roman"/>
          <w:sz w:val="24"/>
          <w:szCs w:val="24"/>
        </w:rPr>
        <w:t>prostate cancer.</w:t>
      </w:r>
    </w:p>
    <w:p w14:paraId="3D152F4D" w14:textId="77777777" w:rsid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C.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Dot plot showing marker gene levels in various cell types in prostate cancer.</w:t>
      </w:r>
    </w:p>
    <w:p w14:paraId="3E60A24A" w14:textId="06800397" w:rsidR="00A9694A" w:rsidRPr="00357402" w:rsidRDefault="00A9694A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481E38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D.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="00481E38" w:rsidRPr="00481E38">
        <w:rPr>
          <w:rFonts w:ascii="Times New Roman" w:eastAsia="等线" w:hAnsi="Times New Roman" w:cs="Times New Roman" w:hint="eastAsia"/>
          <w:sz w:val="24"/>
          <w:szCs w:val="24"/>
        </w:rPr>
        <w:t>Stacked bar plots showing the composition of cell proportions in primary prostate cancer and CRPC.</w:t>
      </w:r>
    </w:p>
    <w:p w14:paraId="70C472C3" w14:textId="2131A8EE" w:rsidR="00357402" w:rsidRPr="00357402" w:rsidRDefault="0089368B" w:rsidP="00357402">
      <w:pPr>
        <w:widowControl/>
        <w:jc w:val="left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092A68B6" wp14:editId="71940AF7">
            <wp:extent cx="5274310" cy="6275070"/>
            <wp:effectExtent l="0" t="0" r="2540" b="0"/>
            <wp:docPr id="36435198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351981" name="图片 36435198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7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3A238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Figure S7. Analysis of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e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pitheli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um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subsets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in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p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rostate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ancer</w:t>
      </w:r>
    </w:p>
    <w:p w14:paraId="5E231017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Heatmap showing the differential genes of various epithelial cell clusters in prostate cancer, with the top five enriched pathways for these differential genes.</w:t>
      </w:r>
    </w:p>
    <w:p w14:paraId="022D22B8" w14:textId="77777777" w:rsid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CNV heatmap visualized 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>using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Pr="00357402">
        <w:rPr>
          <w:rFonts w:ascii="Times New Roman" w:eastAsia="等线" w:hAnsi="Times New Roman" w:cs="Times New Roman"/>
          <w:sz w:val="24"/>
          <w:szCs w:val="24"/>
        </w:rPr>
        <w:t>inferCNV</w:t>
      </w:r>
      <w:proofErr w:type="spellEnd"/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analysis, highlighting the copy number variations across different epithelial cell clusters in prostate cancer.</w:t>
      </w:r>
    </w:p>
    <w:p w14:paraId="3464E394" w14:textId="6BF1D301" w:rsidR="0089368B" w:rsidRPr="00357402" w:rsidRDefault="0089368B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89368B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C.</w:t>
      </w:r>
      <w:r>
        <w:rPr>
          <w:rFonts w:ascii="Times New Roman" w:eastAsia="等线" w:hAnsi="Times New Roman" w:cs="Times New Roman" w:hint="eastAsia"/>
          <w:sz w:val="24"/>
          <w:szCs w:val="24"/>
        </w:rPr>
        <w:t xml:space="preserve"> 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>CNV scores between epithelial cell subclusters and reference cells. Statistical test: two-sided unpaired Wilcoxon test.</w:t>
      </w:r>
    </w:p>
    <w:p w14:paraId="18999096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</w:rPr>
        <w:br w:type="page"/>
      </w:r>
    </w:p>
    <w:p w14:paraId="564C969F" w14:textId="77777777" w:rsidR="00357402" w:rsidRPr="00357402" w:rsidRDefault="00357402" w:rsidP="00357402">
      <w:pPr>
        <w:widowControl/>
        <w:jc w:val="left"/>
        <w:rPr>
          <w:rFonts w:ascii="Times New Roman" w:eastAsia="等线" w:hAnsi="Times New Roman" w:cs="Times New Roman"/>
        </w:rPr>
      </w:pPr>
      <w:r w:rsidRPr="00357402">
        <w:rPr>
          <w:rFonts w:ascii="Times New Roman" w:eastAsia="等线" w:hAnsi="Times New Roman" w:cs="Times New Roman"/>
          <w:noProof/>
        </w:rPr>
        <w:lastRenderedPageBreak/>
        <w:drawing>
          <wp:inline distT="0" distB="0" distL="0" distR="0" wp14:anchorId="06B0FB01" wp14:editId="4E9A0A43">
            <wp:extent cx="5274310" cy="3027045"/>
            <wp:effectExtent l="0" t="0" r="2540" b="1905"/>
            <wp:docPr id="55869427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94270" name="图片 1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B3138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Figure S8. </w:t>
      </w:r>
      <w:proofErr w:type="spellStart"/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Pseudotime</w:t>
      </w:r>
      <w:proofErr w:type="spellEnd"/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a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nalysis of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e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pitheli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um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 xml:space="preserve">subsets 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in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p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rostate </w:t>
      </w:r>
      <w:r w:rsidRPr="00357402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</w:t>
      </w: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ancer </w:t>
      </w:r>
    </w:p>
    <w:p w14:paraId="20DC1AEC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A.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r w:rsidRPr="00357402">
        <w:rPr>
          <w:rFonts w:ascii="Times New Roman" w:eastAsia="等线" w:hAnsi="Times New Roman" w:cs="Times New Roman"/>
          <w:sz w:val="24"/>
          <w:szCs w:val="24"/>
        </w:rPr>
        <w:t>Pseudotime</w:t>
      </w:r>
      <w:proofErr w:type="spellEnd"/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cell trajectories analysis using Monocle 2, visualizing the dynamic changes within epithelial clusters during prostate cancer progression.</w:t>
      </w:r>
    </w:p>
    <w:p w14:paraId="37018097" w14:textId="77777777" w:rsidR="00357402" w:rsidRPr="00357402" w:rsidRDefault="00357402" w:rsidP="00357402">
      <w:pPr>
        <w:widowControl/>
        <w:spacing w:line="36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B.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Expression changes of eight genes</w:t>
      </w:r>
      <w:r w:rsidRPr="00357402">
        <w:rPr>
          <w:rFonts w:ascii="Times New Roman" w:eastAsia="等线" w:hAnsi="Times New Roman" w:cs="Times New Roman" w:hint="eastAsia"/>
          <w:sz w:val="24"/>
          <w:szCs w:val="24"/>
        </w:rPr>
        <w:t xml:space="preserve"> in SRGS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during </w:t>
      </w:r>
      <w:proofErr w:type="spellStart"/>
      <w:r w:rsidRPr="00357402">
        <w:rPr>
          <w:rFonts w:ascii="Times New Roman" w:eastAsia="等线" w:hAnsi="Times New Roman" w:cs="Times New Roman"/>
          <w:sz w:val="24"/>
          <w:szCs w:val="24"/>
        </w:rPr>
        <w:t>pseudotime</w:t>
      </w:r>
      <w:proofErr w:type="spellEnd"/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progression.</w:t>
      </w:r>
    </w:p>
    <w:p w14:paraId="0F01377E" w14:textId="4FAEE4D1" w:rsidR="00A27064" w:rsidRDefault="00357402" w:rsidP="00357402">
      <w:pPr>
        <w:rPr>
          <w:rFonts w:ascii="Times New Roman" w:eastAsia="等线" w:hAnsi="Times New Roman" w:cs="Times New Roman"/>
          <w:sz w:val="24"/>
          <w:szCs w:val="24"/>
        </w:rPr>
      </w:pPr>
      <w:r w:rsidRPr="00357402">
        <w:rPr>
          <w:rFonts w:ascii="Times New Roman" w:eastAsia="等线" w:hAnsi="Times New Roman" w:cs="Times New Roman"/>
          <w:b/>
          <w:bCs/>
          <w:sz w:val="24"/>
          <w:szCs w:val="24"/>
        </w:rPr>
        <w:t>C.</w:t>
      </w:r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The expression dynamics of PCNA along the </w:t>
      </w:r>
      <w:proofErr w:type="spellStart"/>
      <w:r w:rsidRPr="00357402">
        <w:rPr>
          <w:rFonts w:ascii="Times New Roman" w:eastAsia="等线" w:hAnsi="Times New Roman" w:cs="Times New Roman"/>
          <w:sz w:val="24"/>
          <w:szCs w:val="24"/>
        </w:rPr>
        <w:t>pseudotime</w:t>
      </w:r>
      <w:proofErr w:type="spellEnd"/>
      <w:r w:rsidRPr="00357402">
        <w:rPr>
          <w:rFonts w:ascii="Times New Roman" w:eastAsia="等线" w:hAnsi="Times New Roman" w:cs="Times New Roman"/>
          <w:sz w:val="24"/>
          <w:szCs w:val="24"/>
        </w:rPr>
        <w:t xml:space="preserve"> trajectory.</w:t>
      </w:r>
    </w:p>
    <w:p w14:paraId="4D227072" w14:textId="77777777" w:rsidR="0089368B" w:rsidRDefault="0089368B" w:rsidP="00357402">
      <w:pPr>
        <w:rPr>
          <w:rFonts w:ascii="Times New Roman" w:eastAsia="等线" w:hAnsi="Times New Roman" w:cs="Times New Roman"/>
          <w:sz w:val="24"/>
          <w:szCs w:val="24"/>
        </w:rPr>
      </w:pPr>
    </w:p>
    <w:p w14:paraId="76520DF1" w14:textId="6EE721F3" w:rsidR="0089368B" w:rsidRDefault="00A20C84" w:rsidP="00357402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340E5D37" wp14:editId="42644101">
            <wp:extent cx="5242560" cy="5071872"/>
            <wp:effectExtent l="0" t="0" r="0" b="0"/>
            <wp:docPr id="637178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17806" name="图片 6371780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3C985" w14:textId="77777777" w:rsidR="0089368B" w:rsidRPr="0089368B" w:rsidRDefault="0089368B" w:rsidP="0089368B">
      <w:pPr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89368B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Figure S9. Expression levels of PCNA in PC3 and DU145 cells.</w:t>
      </w:r>
    </w:p>
    <w:p w14:paraId="5D46951C" w14:textId="77777777" w:rsidR="0089368B" w:rsidRPr="0089368B" w:rsidRDefault="0089368B" w:rsidP="0089368B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89368B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A.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 xml:space="preserve"> PCNA mRNA expression levels in PC3 and DU145 cells determined by RT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>–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>qPCR.</w:t>
      </w:r>
    </w:p>
    <w:p w14:paraId="77D329F0" w14:textId="77777777" w:rsidR="0089368B" w:rsidRPr="0089368B" w:rsidRDefault="0089368B" w:rsidP="0089368B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89368B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B.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 xml:space="preserve"> Protein expression levels of PCNA in PC3 and DU145 cells assessed by Western blot.</w:t>
      </w:r>
    </w:p>
    <w:p w14:paraId="7AFCC310" w14:textId="77777777" w:rsidR="0089368B" w:rsidRPr="0089368B" w:rsidRDefault="0089368B" w:rsidP="0089368B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89368B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C.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 xml:space="preserve"> PCNA mRNA expression levels of PC3 and DU145 cells in the CTPC dataset.</w:t>
      </w:r>
    </w:p>
    <w:p w14:paraId="072FE1E3" w14:textId="4DD425C9" w:rsidR="0089368B" w:rsidRPr="0089368B" w:rsidRDefault="0089368B" w:rsidP="0089368B">
      <w:pPr>
        <w:spacing w:line="360" w:lineRule="auto"/>
        <w:rPr>
          <w:rFonts w:ascii="Times New Roman" w:eastAsia="等线" w:hAnsi="Times New Roman" w:cs="Times New Roman"/>
          <w:sz w:val="24"/>
          <w:szCs w:val="24"/>
        </w:rPr>
      </w:pPr>
      <w:r w:rsidRPr="0089368B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D.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 xml:space="preserve"> PCNA protein expression levels in PC3 and DU145 cells based on the proteomic data reported by </w:t>
      </w:r>
      <w:r w:rsidRPr="0089368B">
        <w:rPr>
          <w:rFonts w:ascii="Times New Roman" w:eastAsia="等线" w:hAnsi="Times New Roman" w:cs="Times New Roman" w:hint="eastAsia"/>
          <w:i/>
          <w:iCs/>
          <w:sz w:val="24"/>
          <w:szCs w:val="24"/>
        </w:rPr>
        <w:t>Ou et al</w:t>
      </w:r>
      <w:r w:rsidRPr="0089368B">
        <w:rPr>
          <w:rFonts w:ascii="Times New Roman" w:eastAsia="等线" w:hAnsi="Times New Roman" w:cs="Times New Roman" w:hint="eastAsia"/>
          <w:sz w:val="24"/>
          <w:szCs w:val="24"/>
        </w:rPr>
        <w:t>.</w:t>
      </w:r>
    </w:p>
    <w:sectPr w:rsidR="0089368B" w:rsidRPr="0089368B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F4084" w14:textId="77777777" w:rsidR="00BD5094" w:rsidRDefault="00BD5094" w:rsidP="00A868E3">
      <w:pPr>
        <w:rPr>
          <w:rFonts w:hint="eastAsia"/>
        </w:rPr>
      </w:pPr>
      <w:r>
        <w:separator/>
      </w:r>
    </w:p>
  </w:endnote>
  <w:endnote w:type="continuationSeparator" w:id="0">
    <w:p w14:paraId="6CAD95C7" w14:textId="77777777" w:rsidR="00BD5094" w:rsidRDefault="00BD5094" w:rsidP="00A868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90575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B259DE4" w14:textId="28A8E028" w:rsidR="008C5E21" w:rsidRDefault="008C5E21" w:rsidP="008C5E21">
            <w:pPr>
              <w:pStyle w:val="a5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7A6950" w14:textId="77777777" w:rsidR="008C5E21" w:rsidRDefault="008C5E21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FC1AF" w14:textId="77777777" w:rsidR="00BD5094" w:rsidRDefault="00BD5094" w:rsidP="00A868E3">
      <w:pPr>
        <w:rPr>
          <w:rFonts w:hint="eastAsia"/>
        </w:rPr>
      </w:pPr>
      <w:r>
        <w:separator/>
      </w:r>
    </w:p>
  </w:footnote>
  <w:footnote w:type="continuationSeparator" w:id="0">
    <w:p w14:paraId="2E7A1C1C" w14:textId="77777777" w:rsidR="00BD5094" w:rsidRDefault="00BD5094" w:rsidP="00A868E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867D8"/>
    <w:multiLevelType w:val="multilevel"/>
    <w:tmpl w:val="4738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43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76"/>
    <w:rsid w:val="0001214A"/>
    <w:rsid w:val="00046B5B"/>
    <w:rsid w:val="000F7553"/>
    <w:rsid w:val="002172A5"/>
    <w:rsid w:val="00265AD0"/>
    <w:rsid w:val="0029393A"/>
    <w:rsid w:val="002E40D8"/>
    <w:rsid w:val="002F4F58"/>
    <w:rsid w:val="00335F60"/>
    <w:rsid w:val="00357402"/>
    <w:rsid w:val="003B4BB1"/>
    <w:rsid w:val="00407135"/>
    <w:rsid w:val="004268B2"/>
    <w:rsid w:val="00481E38"/>
    <w:rsid w:val="00497C18"/>
    <w:rsid w:val="004E07EA"/>
    <w:rsid w:val="00501D77"/>
    <w:rsid w:val="00520D73"/>
    <w:rsid w:val="00585A6E"/>
    <w:rsid w:val="006C3A50"/>
    <w:rsid w:val="006F5569"/>
    <w:rsid w:val="007648D7"/>
    <w:rsid w:val="008074BD"/>
    <w:rsid w:val="0089353C"/>
    <w:rsid w:val="0089368B"/>
    <w:rsid w:val="008C57C4"/>
    <w:rsid w:val="008C5E21"/>
    <w:rsid w:val="009443F1"/>
    <w:rsid w:val="00977338"/>
    <w:rsid w:val="009B6376"/>
    <w:rsid w:val="009D51CA"/>
    <w:rsid w:val="009F6223"/>
    <w:rsid w:val="00A20C84"/>
    <w:rsid w:val="00A27064"/>
    <w:rsid w:val="00A53156"/>
    <w:rsid w:val="00A868E3"/>
    <w:rsid w:val="00A9195A"/>
    <w:rsid w:val="00A9694A"/>
    <w:rsid w:val="00AB7F4E"/>
    <w:rsid w:val="00B45FA7"/>
    <w:rsid w:val="00B62F96"/>
    <w:rsid w:val="00BA5208"/>
    <w:rsid w:val="00BC608D"/>
    <w:rsid w:val="00BD5094"/>
    <w:rsid w:val="00C42715"/>
    <w:rsid w:val="00C4600E"/>
    <w:rsid w:val="00C9217C"/>
    <w:rsid w:val="00CA4CE5"/>
    <w:rsid w:val="00CE6A15"/>
    <w:rsid w:val="00CF43A1"/>
    <w:rsid w:val="00D27102"/>
    <w:rsid w:val="00D770DA"/>
    <w:rsid w:val="00DC304E"/>
    <w:rsid w:val="00DC6920"/>
    <w:rsid w:val="00E370D9"/>
    <w:rsid w:val="00EF7C29"/>
    <w:rsid w:val="00F14A39"/>
    <w:rsid w:val="00F74BB1"/>
    <w:rsid w:val="00FF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76C86D"/>
  <w15:chartTrackingRefBased/>
  <w15:docId w15:val="{194DDDDF-8F07-47DD-BDC0-21A41906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8E3"/>
    <w:pPr>
      <w:widowControl w:val="0"/>
      <w:jc w:val="both"/>
    </w:pPr>
    <w:rPr>
      <w:rFonts w:asciiTheme="minorHAnsi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68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868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868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868E3"/>
    <w:rPr>
      <w:sz w:val="18"/>
      <w:szCs w:val="18"/>
    </w:rPr>
  </w:style>
  <w:style w:type="table" w:styleId="a7">
    <w:name w:val="Table Grid"/>
    <w:basedOn w:val="a1"/>
    <w:uiPriority w:val="39"/>
    <w:rsid w:val="00A86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520D73"/>
    <w:rPr>
      <w:color w:val="467886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20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14</Pages>
  <Words>709</Words>
  <Characters>4310</Characters>
  <Application>Microsoft Office Word</Application>
  <DocSecurity>0</DocSecurity>
  <Lines>187</Lines>
  <Paragraphs>122</Paragraphs>
  <ScaleCrop>false</ScaleCrop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renxuan lin</dc:creator>
  <cp:keywords/>
  <dc:description/>
  <cp:lastModifiedBy>renxuan lin</cp:lastModifiedBy>
  <cp:revision>31</cp:revision>
  <dcterms:created xsi:type="dcterms:W3CDTF">2024-12-17T02:22:00Z</dcterms:created>
  <dcterms:modified xsi:type="dcterms:W3CDTF">2025-11-21T00:42:00Z</dcterms:modified>
</cp:coreProperties>
</file>