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E33F9" w14:textId="77777777" w:rsidR="00CD0916" w:rsidRPr="00DC1CCF" w:rsidRDefault="00CD0916" w:rsidP="00CD0916">
      <w:pPr>
        <w:spacing w:after="0" w:line="360" w:lineRule="auto"/>
        <w:jc w:val="both"/>
        <w:rPr>
          <w:rFonts w:ascii="Calibri" w:hAnsi="Calibri" w:cs="Calibri"/>
        </w:rPr>
      </w:pPr>
      <w:r w:rsidRPr="00DC1CCF">
        <w:rPr>
          <w:rFonts w:ascii="Calibri" w:hAnsi="Calibri" w:cs="Calibri"/>
          <w:b/>
          <w:bCs/>
        </w:rPr>
        <w:t>Supplementary Figure 1</w:t>
      </w:r>
      <w:r w:rsidRPr="00DC1CCF">
        <w:rPr>
          <w:rFonts w:ascii="Calibri" w:hAnsi="Calibri" w:cs="Calibri"/>
        </w:rPr>
        <w:t>: PLATFORM trial design. The initial protocol was used to randomly assign HER2-negative patients 1:1:1 to surveillance, capecitabine, or durvalumab (ringed in pink). Further interventional arms (rucaparib and capecitabine plus ramucirumab) were added in line with the adaptive study design. Each interventional arm is independently assessed against surveillance.</w:t>
      </w:r>
    </w:p>
    <w:p w14:paraId="245C8A09" w14:textId="77777777" w:rsidR="00CD0916" w:rsidRPr="00DC1CCF" w:rsidRDefault="00CD0916" w:rsidP="00CD0916">
      <w:pPr>
        <w:spacing w:after="0" w:line="360" w:lineRule="auto"/>
        <w:jc w:val="both"/>
        <w:rPr>
          <w:rFonts w:ascii="Calibri" w:hAnsi="Calibri" w:cs="Calibri"/>
        </w:rPr>
      </w:pPr>
      <w:r w:rsidRPr="00DC1CCF">
        <w:rPr>
          <w:rFonts w:ascii="Calibri" w:hAnsi="Calibri" w:cs="Calibri"/>
        </w:rPr>
        <w:t xml:space="preserve">Legend: CT – computed tomography; GOJ – gastroesophageal junction; HER2 – human epidermal growth factor receptor; PFS – progression-free survival; PS – performance status; SD – stable disease. </w:t>
      </w:r>
    </w:p>
    <w:p w14:paraId="0D28460D" w14:textId="77777777" w:rsidR="00CD0916" w:rsidRPr="00DC1CCF" w:rsidRDefault="00CD0916" w:rsidP="00CD0916">
      <w:pPr>
        <w:spacing w:after="0" w:line="360" w:lineRule="auto"/>
        <w:jc w:val="both"/>
        <w:rPr>
          <w:rFonts w:ascii="Calibri" w:hAnsi="Calibri" w:cs="Calibri"/>
        </w:rPr>
      </w:pPr>
    </w:p>
    <w:p w14:paraId="5D141ED6" w14:textId="77777777" w:rsidR="00CD0916" w:rsidRPr="00DC1CCF" w:rsidRDefault="00CD0916" w:rsidP="00CD0916">
      <w:pPr>
        <w:spacing w:after="0" w:line="360" w:lineRule="auto"/>
        <w:jc w:val="both"/>
        <w:rPr>
          <w:rFonts w:ascii="Calibri" w:hAnsi="Calibri" w:cs="Calibri"/>
        </w:rPr>
      </w:pPr>
      <w:r w:rsidRPr="00DC1CCF">
        <w:rPr>
          <w:rFonts w:ascii="Calibri" w:hAnsi="Calibri" w:cs="Calibri"/>
          <w:b/>
          <w:bCs/>
        </w:rPr>
        <w:t>Supplementary Figure 2</w:t>
      </w:r>
      <w:r w:rsidRPr="00DC1CCF">
        <w:rPr>
          <w:rFonts w:ascii="Calibri" w:hAnsi="Calibri" w:cs="Calibri"/>
        </w:rPr>
        <w:t>: Forest plot subgroup analysis for progression-free survival.</w:t>
      </w:r>
    </w:p>
    <w:p w14:paraId="67EFE7D5" w14:textId="77777777" w:rsidR="00CD0916" w:rsidRPr="00DC1CCF" w:rsidRDefault="00CD0916" w:rsidP="00CD0916">
      <w:pPr>
        <w:spacing w:after="0" w:line="360" w:lineRule="auto"/>
        <w:jc w:val="both"/>
        <w:rPr>
          <w:rFonts w:ascii="Calibri" w:hAnsi="Calibri" w:cs="Calibri"/>
        </w:rPr>
      </w:pPr>
      <w:r w:rsidRPr="00DC1CCF">
        <w:rPr>
          <w:rFonts w:ascii="Calibri" w:hAnsi="Calibri" w:cs="Calibri"/>
        </w:rPr>
        <w:t>Legend: CI – confidence interval, CR/PR – complete response or partial response, HR – hazard ratio, PFS – progression-free survival, SD – stable disease</w:t>
      </w:r>
    </w:p>
    <w:p w14:paraId="799DCC63" w14:textId="77777777" w:rsidR="00CD0916" w:rsidRPr="00DC1CCF" w:rsidRDefault="00CD0916" w:rsidP="00CD0916">
      <w:pPr>
        <w:spacing w:after="0" w:line="360" w:lineRule="auto"/>
        <w:jc w:val="both"/>
        <w:rPr>
          <w:rFonts w:ascii="Calibri" w:hAnsi="Calibri" w:cs="Calibri"/>
        </w:rPr>
      </w:pPr>
    </w:p>
    <w:p w14:paraId="35B6F564" w14:textId="77777777" w:rsidR="00CD0916" w:rsidRPr="00DC1CCF" w:rsidRDefault="00CD0916" w:rsidP="00CD0916">
      <w:pPr>
        <w:spacing w:after="0" w:line="360" w:lineRule="auto"/>
        <w:jc w:val="both"/>
        <w:rPr>
          <w:rFonts w:ascii="Calibri" w:hAnsi="Calibri" w:cs="Calibri"/>
        </w:rPr>
      </w:pPr>
      <w:r w:rsidRPr="00DC1CCF">
        <w:rPr>
          <w:rFonts w:ascii="Calibri" w:hAnsi="Calibri" w:cs="Calibri"/>
          <w:b/>
          <w:bCs/>
        </w:rPr>
        <w:t>Supplementary Figure 3</w:t>
      </w:r>
      <w:r w:rsidRPr="00DC1CCF">
        <w:rPr>
          <w:rFonts w:ascii="Calibri" w:hAnsi="Calibri" w:cs="Calibri"/>
        </w:rPr>
        <w:t xml:space="preserve">: Forest plot subgroup analysis for overall survival </w:t>
      </w:r>
    </w:p>
    <w:p w14:paraId="46F0C7E2" w14:textId="77777777" w:rsidR="00CD0916" w:rsidRDefault="00CD0916" w:rsidP="00CD0916">
      <w:pPr>
        <w:spacing w:after="0" w:line="360" w:lineRule="auto"/>
        <w:jc w:val="both"/>
        <w:rPr>
          <w:rFonts w:ascii="Calibri" w:hAnsi="Calibri" w:cs="Calibri"/>
        </w:rPr>
      </w:pPr>
      <w:r w:rsidRPr="00DC1CCF">
        <w:rPr>
          <w:rFonts w:ascii="Calibri" w:hAnsi="Calibri" w:cs="Calibri"/>
        </w:rPr>
        <w:t>Legend: CI – confidence interval, CR/PR – complete response or partial response, HR – hazard ratio, OS –- overall survival, SD – stable disease</w:t>
      </w:r>
    </w:p>
    <w:p w14:paraId="1E30F8AE" w14:textId="77777777" w:rsidR="00CD0916" w:rsidRDefault="00CD0916" w:rsidP="00CD0916">
      <w:pPr>
        <w:spacing w:after="0" w:line="360" w:lineRule="auto"/>
        <w:jc w:val="both"/>
        <w:rPr>
          <w:rFonts w:ascii="Calibri" w:hAnsi="Calibri" w:cs="Calibri"/>
        </w:rPr>
      </w:pPr>
    </w:p>
    <w:p w14:paraId="57C0DAF0" w14:textId="77777777" w:rsidR="00CD0916" w:rsidRDefault="00CD0916" w:rsidP="00CD0916">
      <w:pPr>
        <w:spacing w:after="0" w:line="360" w:lineRule="auto"/>
        <w:jc w:val="both"/>
        <w:rPr>
          <w:rFonts w:ascii="Calibri" w:hAnsi="Calibri" w:cs="Calibri"/>
        </w:rPr>
      </w:pPr>
      <w:r w:rsidRPr="00E25EB8">
        <w:rPr>
          <w:rFonts w:ascii="Calibri" w:hAnsi="Calibri" w:cs="Calibri"/>
          <w:b/>
          <w:bCs/>
        </w:rPr>
        <w:t>Supplementary figure 4:</w:t>
      </w:r>
      <w:r>
        <w:rPr>
          <w:rFonts w:ascii="Calibri" w:hAnsi="Calibri" w:cs="Calibri"/>
        </w:rPr>
        <w:t xml:space="preserve"> Exploratory overall survival (OS) analysis </w:t>
      </w:r>
      <w:r w:rsidRPr="00DC1CCF">
        <w:rPr>
          <w:rFonts w:ascii="Calibri" w:hAnsi="Calibri" w:cs="Calibri"/>
        </w:rPr>
        <w:t>of second-line platinum reintroduction post progression</w:t>
      </w:r>
      <w:r>
        <w:rPr>
          <w:rFonts w:ascii="Calibri" w:hAnsi="Calibri" w:cs="Calibri"/>
        </w:rPr>
        <w:t>, comparing the surveillance and capecitabine arms. A) OS measured from time of randomisation. B) OS measured from time of progression.</w:t>
      </w:r>
    </w:p>
    <w:p w14:paraId="739D2729" w14:textId="77777777" w:rsidR="00C864F8" w:rsidRDefault="00C864F8"/>
    <w:sectPr w:rsidR="00C864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B0D"/>
    <w:rsid w:val="000B3567"/>
    <w:rsid w:val="001E13F2"/>
    <w:rsid w:val="002C28E2"/>
    <w:rsid w:val="003A514D"/>
    <w:rsid w:val="004136DB"/>
    <w:rsid w:val="00830F86"/>
    <w:rsid w:val="00A5451E"/>
    <w:rsid w:val="00B07E61"/>
    <w:rsid w:val="00C27ABB"/>
    <w:rsid w:val="00C864F8"/>
    <w:rsid w:val="00CD0916"/>
    <w:rsid w:val="00CE258C"/>
    <w:rsid w:val="00F32B0D"/>
    <w:rsid w:val="00F8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45466-1D98-402B-A137-CF5663C8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1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B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B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B0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B0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B0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B0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B0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B0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B0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B0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B0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32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B0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32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B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Anderley Gordon</dc:creator>
  <cp:keywords/>
  <dc:description/>
  <cp:lastModifiedBy>Anderley Gordon</cp:lastModifiedBy>
  <cp:revision>2</cp:revision>
  <dcterms:created xsi:type="dcterms:W3CDTF">2026-03-23T14:02:00Z</dcterms:created>
  <dcterms:modified xsi:type="dcterms:W3CDTF">2026-03-23T14:03:00Z</dcterms:modified>
</cp:coreProperties>
</file>