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1601B" w14:textId="1AC24908" w:rsidR="000272AC" w:rsidRPr="00CF4A13" w:rsidRDefault="00CE12DF">
      <w:pPr>
        <w:rPr>
          <w:b/>
          <w:bCs/>
          <w:sz w:val="24"/>
          <w:szCs w:val="24"/>
          <w:lang w:val="en-US"/>
        </w:rPr>
      </w:pPr>
      <w:r w:rsidRPr="00CF4A13">
        <w:rPr>
          <w:b/>
          <w:bCs/>
          <w:sz w:val="24"/>
          <w:szCs w:val="24"/>
          <w:lang w:val="en-US"/>
        </w:rPr>
        <w:t>Supplementary Methods</w:t>
      </w:r>
    </w:p>
    <w:p w14:paraId="24A040EB" w14:textId="45E7F553" w:rsidR="00957A99" w:rsidRDefault="008271EF">
      <w:pPr>
        <w:rPr>
          <w:i/>
          <w:iCs/>
          <w:sz w:val="24"/>
          <w:szCs w:val="24"/>
          <w:u w:val="single"/>
          <w:lang w:val="en-US"/>
        </w:rPr>
      </w:pPr>
      <w:r>
        <w:rPr>
          <w:i/>
          <w:iCs/>
          <w:sz w:val="24"/>
          <w:szCs w:val="24"/>
          <w:u w:val="single"/>
          <w:lang w:val="en-US"/>
        </w:rPr>
        <w:t>LC</w:t>
      </w:r>
      <w:r w:rsidR="00FB28CE">
        <w:rPr>
          <w:i/>
          <w:iCs/>
          <w:sz w:val="24"/>
          <w:szCs w:val="24"/>
          <w:u w:val="single"/>
          <w:lang w:val="en-US"/>
        </w:rPr>
        <w:t>-</w:t>
      </w:r>
      <w:r>
        <w:rPr>
          <w:i/>
          <w:iCs/>
          <w:sz w:val="24"/>
          <w:szCs w:val="24"/>
          <w:u w:val="single"/>
          <w:lang w:val="en-US"/>
        </w:rPr>
        <w:t>MS/MS s</w:t>
      </w:r>
      <w:r w:rsidR="00AF2D66" w:rsidRPr="00CF4A13">
        <w:rPr>
          <w:i/>
          <w:iCs/>
          <w:sz w:val="24"/>
          <w:szCs w:val="24"/>
          <w:u w:val="single"/>
          <w:lang w:val="en-US"/>
        </w:rPr>
        <w:t>hotgun proteomics</w:t>
      </w:r>
    </w:p>
    <w:p w14:paraId="7DA41C5B" w14:textId="77777777" w:rsidR="00386DFC" w:rsidRPr="008271EF" w:rsidRDefault="00386DFC" w:rsidP="00386DFC">
      <w:pPr>
        <w:rPr>
          <w:i/>
          <w:iCs/>
          <w:sz w:val="24"/>
          <w:szCs w:val="24"/>
          <w:lang w:val="en-US"/>
        </w:rPr>
      </w:pPr>
      <w:r w:rsidRPr="008271EF">
        <w:rPr>
          <w:i/>
          <w:iCs/>
          <w:sz w:val="24"/>
          <w:szCs w:val="24"/>
          <w:lang w:val="en-US"/>
        </w:rPr>
        <w:t>Sample preparation for mass spectrometry analysis</w:t>
      </w:r>
    </w:p>
    <w:p w14:paraId="36422AA5" w14:textId="0D3F80A0" w:rsidR="0080675B" w:rsidRDefault="00386DFC" w:rsidP="00386DFC">
      <w:pPr>
        <w:rPr>
          <w:sz w:val="24"/>
          <w:szCs w:val="24"/>
          <w:lang w:val="en-US"/>
        </w:rPr>
      </w:pPr>
      <w:r w:rsidRPr="00386DFC">
        <w:rPr>
          <w:sz w:val="24"/>
          <w:szCs w:val="24"/>
          <w:lang w:val="en-US"/>
        </w:rPr>
        <w:t>The samples were prepared using an FFPE-FASP protocol adapted from Wiśniewski JR et al</w:t>
      </w:r>
      <w:r w:rsidR="00B138DA">
        <w:rPr>
          <w:sz w:val="24"/>
          <w:szCs w:val="24"/>
          <w:lang w:val="en-US"/>
        </w:rPr>
        <w:t>.</w:t>
      </w:r>
      <w:r w:rsidR="009E1D61">
        <w:rPr>
          <w:sz w:val="24"/>
          <w:szCs w:val="24"/>
          <w:lang w:val="en-US"/>
        </w:rPr>
        <w:t xml:space="preserve"> </w:t>
      </w:r>
      <w:r w:rsidR="00B138DA">
        <w:rPr>
          <w:sz w:val="24"/>
          <w:szCs w:val="24"/>
          <w:lang w:val="en-US"/>
        </w:rPr>
        <w:fldChar w:fldCharType="begin"/>
      </w:r>
      <w:r w:rsidR="009E0048">
        <w:rPr>
          <w:sz w:val="24"/>
          <w:szCs w:val="24"/>
          <w:lang w:val="en-US"/>
        </w:rPr>
        <w:instrText xml:space="preserve"> ADDIN ZOTERO_ITEM CSL_CITATION {"citationID":"gWybxINH","properties":{"formattedCitation":"[1]","plainCitation":"[1]","noteIndex":0},"citationItems":[{"id":2065,"uris":["http://zotero.org/users/5655326/items/W4R9NJQ3"],"itemData":{"id":2065,"type":"article-journal","abstract":"Proteomic analysis of samples isolated by laser capture microdissection from clinical specimens requires sample preparation and fractionation methods suitable for small amounts of protein. Here we describe a streamlined filter-aided sample preparation (FASP) workflow that allows efficient analysis of lysates from low numbers of cells. Addition of carrier substances such as polyethylene glycol or dextran to the processed samples improves the peptide yields in the low to submicrogram range. In a single LC–MS/MS run, analyses of 500, 1000, and 3000 cells allowed identification of 905, 1536, and 2055 proteins, respectively. Incorporation of an additional SAX fractionation step at somewhat higher amounts enabled the analysis of formalin fixed and paraffin embedded human tissues prepared by LCM to a depth of 3600–4400 proteins per single experiment. We applied this workflow to compare archival neoplastic and matched normal colonic mucosa cancer specimens for three patients. Label-free quantification of more than 6000 proteins verified this technology through the differential expression of 30 known colon cancer markers. These included Carcino-Embryonic Antigen (CEA), the most widely used colon cancer marker, complement decay accelerating factor (DAF, CD55) and Metastasis-associated in colon cancer protein 1 (MACC1). Concordant with literature knowledge, mucin 1 was overexpressed and mucin 2 underexpressed in all three patients. These results show that FASP is suitable for the low level analysis of microdissected tissue and that it has the potential for exploration of clinical samples for biomarker and drug target discovery.","container-title":"Journal of Proteome Research","DOI":"10.1021/pr200019m","ISSN":"1535-3893","issue":"7","journalAbbreviation":"J. Proteome Res.","note":"publisher: American Chemical Society","page":"3040-3049","source":"ACS Publications","title":"High Recovery FASP Applied to the Proteomic Analysis of Microdissected Formalin Fixed Paraffin Embedded Cancer Tissues Retrieves Known Colon Cancer Markers","volume":"10","author":[{"family":"Wiśniewski","given":"Jacek R."},{"family":"Ostasiewicz","given":"Pawel"},{"family":"Mann","given":"Matthias"}],"issued":{"date-parts":[["2011",7,1]]}}}],"schema":"https://github.com/citation-style-language/schema/raw/master/csl-citation.json"} </w:instrText>
      </w:r>
      <w:r w:rsidR="00B138DA">
        <w:rPr>
          <w:sz w:val="24"/>
          <w:szCs w:val="24"/>
          <w:lang w:val="en-US"/>
        </w:rPr>
        <w:fldChar w:fldCharType="separate"/>
      </w:r>
      <w:r w:rsidR="00B138DA" w:rsidRPr="00B138DA">
        <w:rPr>
          <w:rFonts w:ascii="Aptos" w:hAnsi="Aptos"/>
          <w:sz w:val="24"/>
        </w:rPr>
        <w:t>[1]</w:t>
      </w:r>
      <w:r w:rsidR="00B138DA">
        <w:rPr>
          <w:sz w:val="24"/>
          <w:szCs w:val="24"/>
          <w:lang w:val="en-US"/>
        </w:rPr>
        <w:fldChar w:fldCharType="end"/>
      </w:r>
      <w:r w:rsidR="00B138DA">
        <w:rPr>
          <w:sz w:val="24"/>
          <w:szCs w:val="24"/>
          <w:lang w:val="en-US"/>
        </w:rPr>
        <w:t>.</w:t>
      </w:r>
      <w:r w:rsidRPr="00386DFC">
        <w:rPr>
          <w:sz w:val="24"/>
          <w:szCs w:val="24"/>
          <w:lang w:val="en-US"/>
        </w:rPr>
        <w:t xml:space="preserve"> Deparaffinized samples were lysed in 60 </w:t>
      </w:r>
      <w:proofErr w:type="spellStart"/>
      <w:r w:rsidRPr="00386DFC">
        <w:rPr>
          <w:sz w:val="24"/>
          <w:szCs w:val="24"/>
          <w:lang w:val="en-US"/>
        </w:rPr>
        <w:t>μL</w:t>
      </w:r>
      <w:proofErr w:type="spellEnd"/>
      <w:r w:rsidRPr="00386DFC">
        <w:rPr>
          <w:sz w:val="24"/>
          <w:szCs w:val="24"/>
          <w:lang w:val="en-US"/>
        </w:rPr>
        <w:t xml:space="preserve"> lysis buffer consisting of 0.3 M Tris-HCl, pH 8.5, 0.1 M DTT, and 2% SDS at 95°C in a heating block with agitation (600 rpm) for 1 h. The crude extracts were clarified by centrifugation at 16000 x g at 20°C for 10 min and the supernatants were transferred into new tubes. 540 </w:t>
      </w:r>
      <w:proofErr w:type="spellStart"/>
      <w:r w:rsidRPr="00386DFC">
        <w:rPr>
          <w:sz w:val="24"/>
          <w:szCs w:val="24"/>
          <w:lang w:val="en-US"/>
        </w:rPr>
        <w:t>μL</w:t>
      </w:r>
      <w:proofErr w:type="spellEnd"/>
      <w:r w:rsidRPr="00386DFC">
        <w:rPr>
          <w:sz w:val="24"/>
          <w:szCs w:val="24"/>
          <w:lang w:val="en-US"/>
        </w:rPr>
        <w:t xml:space="preserve"> urea buffer consisting of 8M urea in 0.1 M Tris-HCl, pH 8.5 was added to the tubes to dilute the SDS. Microcon-30 filter units with 30 </w:t>
      </w:r>
      <w:proofErr w:type="spellStart"/>
      <w:r w:rsidRPr="00386DFC">
        <w:rPr>
          <w:sz w:val="24"/>
          <w:szCs w:val="24"/>
          <w:lang w:val="en-US"/>
        </w:rPr>
        <w:t>kDa</w:t>
      </w:r>
      <w:proofErr w:type="spellEnd"/>
      <w:r w:rsidRPr="00386DFC">
        <w:rPr>
          <w:sz w:val="24"/>
          <w:szCs w:val="24"/>
          <w:lang w:val="en-US"/>
        </w:rPr>
        <w:t xml:space="preserve"> cutoff were washed with 200 </w:t>
      </w:r>
      <w:proofErr w:type="spellStart"/>
      <w:r w:rsidRPr="00386DFC">
        <w:rPr>
          <w:sz w:val="24"/>
          <w:szCs w:val="24"/>
          <w:lang w:val="en-US"/>
        </w:rPr>
        <w:t>μL</w:t>
      </w:r>
      <w:proofErr w:type="spellEnd"/>
      <w:r w:rsidRPr="00386DFC">
        <w:rPr>
          <w:sz w:val="24"/>
          <w:szCs w:val="24"/>
          <w:lang w:val="en-US"/>
        </w:rPr>
        <w:t xml:space="preserve"> urea buffer at 12000 x g at 20°C for 15 min. 300 </w:t>
      </w:r>
      <w:proofErr w:type="spellStart"/>
      <w:r w:rsidRPr="00386DFC">
        <w:rPr>
          <w:sz w:val="24"/>
          <w:szCs w:val="24"/>
          <w:lang w:val="en-US"/>
        </w:rPr>
        <w:t>μL</w:t>
      </w:r>
      <w:proofErr w:type="spellEnd"/>
      <w:r w:rsidRPr="00386DFC">
        <w:rPr>
          <w:sz w:val="24"/>
          <w:szCs w:val="24"/>
          <w:lang w:val="en-US"/>
        </w:rPr>
        <w:t xml:space="preserve"> diluted sample were applied onto the filter and centrifuged at 12000 x g at 20°C for 20 min. This step was repeated with the remaining 300 µL to load all sample on the filter. The filter was washed with 200 </w:t>
      </w:r>
      <w:proofErr w:type="spellStart"/>
      <w:r w:rsidRPr="00386DFC">
        <w:rPr>
          <w:sz w:val="24"/>
          <w:szCs w:val="24"/>
          <w:lang w:val="en-US"/>
        </w:rPr>
        <w:t>μL</w:t>
      </w:r>
      <w:proofErr w:type="spellEnd"/>
      <w:r w:rsidRPr="00386DFC">
        <w:rPr>
          <w:sz w:val="24"/>
          <w:szCs w:val="24"/>
          <w:lang w:val="en-US"/>
        </w:rPr>
        <w:t xml:space="preserve"> urea buffer and centrifuged at 12000 x g at 20°C for 20 min. 100 </w:t>
      </w:r>
      <w:proofErr w:type="spellStart"/>
      <w:r w:rsidRPr="00386DFC">
        <w:rPr>
          <w:sz w:val="24"/>
          <w:szCs w:val="24"/>
          <w:lang w:val="en-US"/>
        </w:rPr>
        <w:t>μL</w:t>
      </w:r>
      <w:proofErr w:type="spellEnd"/>
      <w:r w:rsidRPr="00386DFC">
        <w:rPr>
          <w:sz w:val="24"/>
          <w:szCs w:val="24"/>
          <w:lang w:val="en-US"/>
        </w:rPr>
        <w:t xml:space="preserve"> 0.05 M iodoacetamide in urea buffer was added to the filter and mixed slowly on a shaker for 1 min following incubation without mixing for 30 min in the dark and subsequent centrifugation at 12 000 g at 20°C for 20 min. The filters were washed three times with 100 </w:t>
      </w:r>
      <w:proofErr w:type="spellStart"/>
      <w:r w:rsidRPr="00386DFC">
        <w:rPr>
          <w:sz w:val="24"/>
          <w:szCs w:val="24"/>
          <w:lang w:val="en-US"/>
        </w:rPr>
        <w:t>μL</w:t>
      </w:r>
      <w:proofErr w:type="spellEnd"/>
      <w:r w:rsidRPr="00386DFC">
        <w:rPr>
          <w:sz w:val="24"/>
          <w:szCs w:val="24"/>
          <w:lang w:val="en-US"/>
        </w:rPr>
        <w:t xml:space="preserve"> urea buffer at 12000 x g at 20°C for 15 min, and then three times with 100 </w:t>
      </w:r>
      <w:proofErr w:type="spellStart"/>
      <w:r w:rsidRPr="00386DFC">
        <w:rPr>
          <w:sz w:val="24"/>
          <w:szCs w:val="24"/>
          <w:lang w:val="en-US"/>
        </w:rPr>
        <w:t>μL</w:t>
      </w:r>
      <w:proofErr w:type="spellEnd"/>
      <w:r w:rsidRPr="00386DFC">
        <w:rPr>
          <w:sz w:val="24"/>
          <w:szCs w:val="24"/>
          <w:lang w:val="en-US"/>
        </w:rPr>
        <w:t xml:space="preserve"> 0.1 M Tris-HCl pH 8.5 at 12000 x g at 20°C for 10 min. The filter units were transferred to new collection tubes and 20 </w:t>
      </w:r>
      <w:proofErr w:type="spellStart"/>
      <w:r w:rsidRPr="00386DFC">
        <w:rPr>
          <w:sz w:val="24"/>
          <w:szCs w:val="24"/>
          <w:lang w:val="en-US"/>
        </w:rPr>
        <w:t>μL</w:t>
      </w:r>
      <w:proofErr w:type="spellEnd"/>
      <w:r w:rsidRPr="00386DFC">
        <w:rPr>
          <w:sz w:val="24"/>
          <w:szCs w:val="24"/>
          <w:lang w:val="en-US"/>
        </w:rPr>
        <w:t xml:space="preserve"> 0.1M Tris-HCl pH 8.5 buffer was added to the bottom of the new collection tubes to prevent the filter from drying out during digestion. 1 </w:t>
      </w:r>
      <w:proofErr w:type="spellStart"/>
      <w:r w:rsidRPr="00386DFC">
        <w:rPr>
          <w:sz w:val="24"/>
          <w:szCs w:val="24"/>
          <w:lang w:val="en-US"/>
        </w:rPr>
        <w:t>μg</w:t>
      </w:r>
      <w:proofErr w:type="spellEnd"/>
      <w:r w:rsidRPr="00386DFC">
        <w:rPr>
          <w:sz w:val="24"/>
          <w:szCs w:val="24"/>
          <w:lang w:val="en-US"/>
        </w:rPr>
        <w:t xml:space="preserve"> trypsin in 40 </w:t>
      </w:r>
      <w:proofErr w:type="spellStart"/>
      <w:r w:rsidRPr="00386DFC">
        <w:rPr>
          <w:sz w:val="24"/>
          <w:szCs w:val="24"/>
          <w:lang w:val="en-US"/>
        </w:rPr>
        <w:t>μL</w:t>
      </w:r>
      <w:proofErr w:type="spellEnd"/>
      <w:r w:rsidRPr="00386DFC">
        <w:rPr>
          <w:sz w:val="24"/>
          <w:szCs w:val="24"/>
          <w:lang w:val="en-US"/>
        </w:rPr>
        <w:t xml:space="preserve"> 0.1M Tris-HCl pH 8.5 buffer (enzyme to protein ratio about 1:50) were added onto the filters. The tubes were sealed with Parafilm and incubated at 37°C overnight (18h). Next day, the filter tubes were centrifuged at 12000 x g at 20°C for 20 min to elute the peptides. 40 </w:t>
      </w:r>
      <w:proofErr w:type="spellStart"/>
      <w:r w:rsidRPr="00386DFC">
        <w:rPr>
          <w:sz w:val="24"/>
          <w:szCs w:val="24"/>
          <w:lang w:val="en-US"/>
        </w:rPr>
        <w:t>μL</w:t>
      </w:r>
      <w:proofErr w:type="spellEnd"/>
      <w:r w:rsidRPr="00386DFC">
        <w:rPr>
          <w:sz w:val="24"/>
          <w:szCs w:val="24"/>
          <w:lang w:val="en-US"/>
        </w:rPr>
        <w:t xml:space="preserve"> 0.1M Tris-HCl pH 8.5 buffer was added onto the filter and centrifuged at 12000 x g at 20°C for 10 min. After addition of 5 </w:t>
      </w:r>
      <w:proofErr w:type="spellStart"/>
      <w:r w:rsidRPr="00386DFC">
        <w:rPr>
          <w:sz w:val="24"/>
          <w:szCs w:val="24"/>
          <w:lang w:val="en-US"/>
        </w:rPr>
        <w:t>μL</w:t>
      </w:r>
      <w:proofErr w:type="spellEnd"/>
      <w:r w:rsidRPr="00386DFC">
        <w:rPr>
          <w:sz w:val="24"/>
          <w:szCs w:val="24"/>
          <w:lang w:val="en-US"/>
        </w:rPr>
        <w:t xml:space="preserve"> 10% TFA the peptides were desalted using C18 </w:t>
      </w:r>
      <w:proofErr w:type="spellStart"/>
      <w:r w:rsidRPr="00386DFC">
        <w:rPr>
          <w:sz w:val="24"/>
          <w:szCs w:val="24"/>
          <w:lang w:val="en-US"/>
        </w:rPr>
        <w:t>Stagetips</w:t>
      </w:r>
      <w:proofErr w:type="spellEnd"/>
      <w:r w:rsidRPr="00386DFC">
        <w:rPr>
          <w:sz w:val="24"/>
          <w:szCs w:val="24"/>
          <w:lang w:val="en-US"/>
        </w:rPr>
        <w:t xml:space="preserve"> </w:t>
      </w:r>
      <w:r w:rsidR="00EA7356">
        <w:rPr>
          <w:sz w:val="24"/>
          <w:szCs w:val="24"/>
          <w:lang w:val="en-US"/>
        </w:rPr>
        <w:fldChar w:fldCharType="begin"/>
      </w:r>
      <w:r w:rsidR="009E0048">
        <w:rPr>
          <w:sz w:val="24"/>
          <w:szCs w:val="24"/>
          <w:lang w:val="en-US"/>
        </w:rPr>
        <w:instrText xml:space="preserve"> ADDIN ZOTERO_ITEM CSL_CITATION {"citationID":"RPnQM7LC","properties":{"formattedCitation":"[2]","plainCitation":"[2]","noteIndex":0},"citationItems":[{"id":2064,"uris":["http://zotero.org/users/5655326/items/69YDYQQ2"],"itemData":{"id":2064,"type":"article-journal","abstract":"Mass spectrometry (MS)-based proteomics measures peptides derived from proteins by proteolytic cleavage. Before performing the analysis by matrix-assisted laser desorption/ionization–tandem mass spectrometry (MALDI–MS/MS), nanoelectrospray–MS/MS (NanoES-MS/MS) or liquid chromatography–MS/MS (LC–MS/MS), the peptide mixtures need to be cleaned, concentrated and often selectively enriched or pre-fractionated, for which we employ simple, self-made and extremely economical stop-and-go-extraction tips (StageTips). StageTips are ordinary pipette tips containing very small disks made of beads with reversed phase, cation-exchange or anion-exchange surfaces embedded in a Teflon mesh. The fixed nature of the beads allows flexible combination of disks with different surfaces to obtain multi-functional tips. Disks containing different surface functionalities and loose beads such as titania and zirconia for phosphopeptide enrichment can be combined. Incorporation into an automated workflow has also been demonstrated. Desalting and concentration takes approximately 5 min while fractionation or enrichment takes approximately 30 min.","container-title":"Nature Protocols","DOI":"10.1038/nprot.2007.261","ISSN":"1750-2799","issue":"8","journalAbbreviation":"Nat Protoc","language":"en","license":"2007 Springer Nature Limited","note":"publisher: Nature Publishing Group","page":"1896-1906","source":"www.nature.com","title":"Protocol for micro-purification, enrichment, pre-fractionation and storage of peptides for proteomics using StageTips","volume":"2","author":[{"family":"Rappsilber","given":"Juri"},{"family":"Mann","given":"Matthias"},{"family":"Ishihama","given":"Yasushi"}],"issued":{"date-parts":[["2007",8]]}}}],"schema":"https://github.com/citation-style-language/schema/raw/master/csl-citation.json"} </w:instrText>
      </w:r>
      <w:r w:rsidR="00EA7356">
        <w:rPr>
          <w:sz w:val="24"/>
          <w:szCs w:val="24"/>
          <w:lang w:val="en-US"/>
        </w:rPr>
        <w:fldChar w:fldCharType="separate"/>
      </w:r>
      <w:r w:rsidR="00EA7356" w:rsidRPr="00EA7356">
        <w:rPr>
          <w:rFonts w:ascii="Aptos" w:hAnsi="Aptos"/>
          <w:sz w:val="24"/>
        </w:rPr>
        <w:t>[2]</w:t>
      </w:r>
      <w:r w:rsidR="00EA7356">
        <w:rPr>
          <w:sz w:val="24"/>
          <w:szCs w:val="24"/>
          <w:lang w:val="en-US"/>
        </w:rPr>
        <w:fldChar w:fldCharType="end"/>
      </w:r>
      <w:r w:rsidR="00EA7356">
        <w:rPr>
          <w:sz w:val="24"/>
          <w:szCs w:val="24"/>
          <w:lang w:val="en-US"/>
        </w:rPr>
        <w:t>.</w:t>
      </w:r>
    </w:p>
    <w:p w14:paraId="50625824" w14:textId="77777777" w:rsidR="005B099B" w:rsidRPr="005B099B" w:rsidRDefault="005B099B" w:rsidP="005B099B">
      <w:pPr>
        <w:rPr>
          <w:i/>
          <w:iCs/>
          <w:sz w:val="24"/>
          <w:szCs w:val="24"/>
          <w:lang w:val="en-US"/>
        </w:rPr>
      </w:pPr>
      <w:r w:rsidRPr="005B099B">
        <w:rPr>
          <w:i/>
          <w:iCs/>
          <w:sz w:val="24"/>
          <w:szCs w:val="24"/>
          <w:lang w:val="en-US"/>
        </w:rPr>
        <w:t>Liquid chromatography separation coupled to mass spectrometry</w:t>
      </w:r>
    </w:p>
    <w:p w14:paraId="1CA0E236" w14:textId="67DC4FDE" w:rsidR="00EA7356" w:rsidRDefault="005B099B" w:rsidP="005B099B">
      <w:pPr>
        <w:rPr>
          <w:sz w:val="24"/>
          <w:szCs w:val="24"/>
          <w:lang w:val="en-US"/>
        </w:rPr>
      </w:pPr>
      <w:r w:rsidRPr="005B099B">
        <w:rPr>
          <w:sz w:val="24"/>
          <w:szCs w:val="24"/>
          <w:lang w:val="en-US"/>
        </w:rPr>
        <w:t xml:space="preserve">Peptides were separated on an Ultimate 3000 RSLC nano-flow chromatography system (Thermo-Fisher), using a pre-column for sample loading (Acclaim </w:t>
      </w:r>
      <w:proofErr w:type="spellStart"/>
      <w:r w:rsidRPr="005B099B">
        <w:rPr>
          <w:sz w:val="24"/>
          <w:szCs w:val="24"/>
          <w:lang w:val="en-US"/>
        </w:rPr>
        <w:t>PepMap</w:t>
      </w:r>
      <w:proofErr w:type="spellEnd"/>
      <w:r w:rsidRPr="005B099B">
        <w:rPr>
          <w:sz w:val="24"/>
          <w:szCs w:val="24"/>
          <w:lang w:val="en-US"/>
        </w:rPr>
        <w:t xml:space="preserve"> C18, 2 cm × 0.1 mm, 5 </w:t>
      </w:r>
      <w:proofErr w:type="spellStart"/>
      <w:r w:rsidRPr="005B099B">
        <w:rPr>
          <w:sz w:val="24"/>
          <w:szCs w:val="24"/>
          <w:lang w:val="en-US"/>
        </w:rPr>
        <w:t>μm</w:t>
      </w:r>
      <w:proofErr w:type="spellEnd"/>
      <w:r w:rsidRPr="005B099B">
        <w:rPr>
          <w:sz w:val="24"/>
          <w:szCs w:val="24"/>
          <w:lang w:val="en-US"/>
        </w:rPr>
        <w:t xml:space="preserve">, Thermo-Fisher), and a C18 analytical column (Acclaim </w:t>
      </w:r>
      <w:proofErr w:type="spellStart"/>
      <w:r w:rsidRPr="005B099B">
        <w:rPr>
          <w:sz w:val="24"/>
          <w:szCs w:val="24"/>
          <w:lang w:val="en-US"/>
        </w:rPr>
        <w:t>PepMap</w:t>
      </w:r>
      <w:proofErr w:type="spellEnd"/>
      <w:r w:rsidRPr="005B099B">
        <w:rPr>
          <w:sz w:val="24"/>
          <w:szCs w:val="24"/>
          <w:lang w:val="en-US"/>
        </w:rPr>
        <w:t xml:space="preserve"> C18, 50 cm × 0.75 mm, 2 </w:t>
      </w:r>
      <w:proofErr w:type="spellStart"/>
      <w:r w:rsidRPr="005B099B">
        <w:rPr>
          <w:sz w:val="24"/>
          <w:szCs w:val="24"/>
          <w:lang w:val="en-US"/>
        </w:rPr>
        <w:t>μm</w:t>
      </w:r>
      <w:proofErr w:type="spellEnd"/>
      <w:r w:rsidRPr="005B099B">
        <w:rPr>
          <w:sz w:val="24"/>
          <w:szCs w:val="24"/>
          <w:lang w:val="en-US"/>
        </w:rPr>
        <w:t xml:space="preserve">, Thermo-Fisher), applying a segmented linear gradient from 2% to 35% and finally 80% solvent B (80% acetonitrile, 0.1% formic acid; solvent A 0.1% formic acid) at a flow rate of 230 </w:t>
      </w:r>
      <w:proofErr w:type="spellStart"/>
      <w:r w:rsidRPr="005B099B">
        <w:rPr>
          <w:sz w:val="24"/>
          <w:szCs w:val="24"/>
          <w:lang w:val="en-US"/>
        </w:rPr>
        <w:t>nL</w:t>
      </w:r>
      <w:proofErr w:type="spellEnd"/>
      <w:r w:rsidRPr="005B099B">
        <w:rPr>
          <w:sz w:val="24"/>
          <w:szCs w:val="24"/>
          <w:lang w:val="en-US"/>
        </w:rPr>
        <w:t xml:space="preserve">/min over 120 min. Eluting peptides were analyzed on a Q </w:t>
      </w:r>
      <w:proofErr w:type="spellStart"/>
      <w:r w:rsidRPr="005B099B">
        <w:rPr>
          <w:sz w:val="24"/>
          <w:szCs w:val="24"/>
          <w:lang w:val="en-US"/>
        </w:rPr>
        <w:t>Exactive</w:t>
      </w:r>
      <w:proofErr w:type="spellEnd"/>
      <w:r w:rsidRPr="005B099B">
        <w:rPr>
          <w:sz w:val="24"/>
          <w:szCs w:val="24"/>
          <w:lang w:val="en-US"/>
        </w:rPr>
        <w:t xml:space="preserve"> HF-X Orbitrap mass spectrometer (</w:t>
      </w:r>
      <w:proofErr w:type="spellStart"/>
      <w:r w:rsidRPr="005B099B">
        <w:rPr>
          <w:sz w:val="24"/>
          <w:szCs w:val="24"/>
          <w:lang w:val="en-US"/>
        </w:rPr>
        <w:t>Thermo</w:t>
      </w:r>
      <w:proofErr w:type="spellEnd"/>
      <w:r w:rsidRPr="005B099B">
        <w:rPr>
          <w:sz w:val="24"/>
          <w:szCs w:val="24"/>
          <w:lang w:val="en-US"/>
        </w:rPr>
        <w:t xml:space="preserve"> Fisher), which was coupled to the column with a customized nano-spray EASY-Spray ion-source (Thermo-Fisher) using coated silica emitter tips (New Objective).</w:t>
      </w:r>
    </w:p>
    <w:p w14:paraId="7DC10525" w14:textId="77777777" w:rsidR="00695C24" w:rsidRPr="00695C24" w:rsidRDefault="00695C24" w:rsidP="00695C24">
      <w:pPr>
        <w:rPr>
          <w:i/>
          <w:iCs/>
          <w:sz w:val="24"/>
          <w:szCs w:val="24"/>
          <w:lang w:val="en-US"/>
        </w:rPr>
      </w:pPr>
      <w:r w:rsidRPr="00695C24">
        <w:rPr>
          <w:i/>
          <w:iCs/>
          <w:sz w:val="24"/>
          <w:szCs w:val="24"/>
          <w:lang w:val="en-US"/>
        </w:rPr>
        <w:t>Mass spectrometry data acquisition and analysis</w:t>
      </w:r>
    </w:p>
    <w:p w14:paraId="70EF5DB1" w14:textId="77777777" w:rsidR="00695C24" w:rsidRPr="00695C24" w:rsidRDefault="00695C24" w:rsidP="00695C24">
      <w:pPr>
        <w:rPr>
          <w:sz w:val="24"/>
          <w:szCs w:val="24"/>
          <w:lang w:val="en-US"/>
        </w:rPr>
      </w:pPr>
      <w:r w:rsidRPr="00695C24">
        <w:rPr>
          <w:sz w:val="24"/>
          <w:szCs w:val="24"/>
          <w:lang w:val="en-US"/>
        </w:rPr>
        <w:t xml:space="preserve">The mass spectrometer was operated in data-dependent acquisition mode (DDA), survey scans were obtained in a mass range of 375-1500 m/z with lock mass activated, at a resolution of 120k at 200 m/z and an AGC target value of 3E6. The 20 most intense </w:t>
      </w:r>
      <w:r w:rsidRPr="00695C24">
        <w:rPr>
          <w:sz w:val="24"/>
          <w:szCs w:val="24"/>
          <w:lang w:val="en-US"/>
        </w:rPr>
        <w:lastRenderedPageBreak/>
        <w:t xml:space="preserve">ions were selected with an isolation width of 1.2 m/z, fragmented in the HCD cell at 28% collision energy and the spectra recorded for max. 80 </w:t>
      </w:r>
      <w:proofErr w:type="spellStart"/>
      <w:r w:rsidRPr="00695C24">
        <w:rPr>
          <w:sz w:val="24"/>
          <w:szCs w:val="24"/>
          <w:lang w:val="en-US"/>
        </w:rPr>
        <w:t>ms</w:t>
      </w:r>
      <w:proofErr w:type="spellEnd"/>
      <w:r w:rsidRPr="00695C24">
        <w:rPr>
          <w:sz w:val="24"/>
          <w:szCs w:val="24"/>
          <w:lang w:val="en-US"/>
        </w:rPr>
        <w:t xml:space="preserve"> at a target value of 1E5 and a resolution of 30k. Peptides with a charge of +1, &gt;+7, or unassigned charge state were excluded from fragmentation, the peptide match feature was set to preferred, the exclude isotope feature was enabled, and selected precursors were dynamically excluded from repeated sampling for 40 seconds.</w:t>
      </w:r>
    </w:p>
    <w:p w14:paraId="22A31F2A" w14:textId="10E4B7FB" w:rsidR="00FB28CE" w:rsidRPr="0080675B" w:rsidRDefault="00695C24" w:rsidP="00386DFC">
      <w:pPr>
        <w:rPr>
          <w:sz w:val="24"/>
          <w:szCs w:val="24"/>
          <w:lang w:val="en-US"/>
        </w:rPr>
      </w:pPr>
      <w:r w:rsidRPr="00695C24">
        <w:rPr>
          <w:sz w:val="24"/>
          <w:szCs w:val="24"/>
          <w:lang w:val="en-US"/>
        </w:rPr>
        <w:t xml:space="preserve">Raw data were processed using the </w:t>
      </w:r>
      <w:proofErr w:type="spellStart"/>
      <w:r w:rsidRPr="00695C24">
        <w:rPr>
          <w:sz w:val="24"/>
          <w:szCs w:val="24"/>
          <w:lang w:val="en-US"/>
        </w:rPr>
        <w:t>MaxQuant</w:t>
      </w:r>
      <w:proofErr w:type="spellEnd"/>
      <w:r w:rsidRPr="00695C24">
        <w:rPr>
          <w:sz w:val="24"/>
          <w:szCs w:val="24"/>
          <w:lang w:val="en-US"/>
        </w:rPr>
        <w:t xml:space="preserve"> software package (version 1.6.0.16,</w:t>
      </w:r>
      <w:r w:rsidR="00CF61C7">
        <w:rPr>
          <w:sz w:val="24"/>
          <w:szCs w:val="24"/>
          <w:lang w:val="en-US"/>
        </w:rPr>
        <w:t xml:space="preserve"> </w:t>
      </w:r>
      <w:r w:rsidR="00CF61C7">
        <w:rPr>
          <w:sz w:val="24"/>
          <w:szCs w:val="24"/>
          <w:lang w:val="en-US"/>
        </w:rPr>
        <w:fldChar w:fldCharType="begin"/>
      </w:r>
      <w:r w:rsidR="009E0048">
        <w:rPr>
          <w:sz w:val="24"/>
          <w:szCs w:val="24"/>
          <w:lang w:val="en-US"/>
        </w:rPr>
        <w:instrText xml:space="preserve"> ADDIN ZOTERO_ITEM CSL_CITATION {"citationID":"686r1iyN","properties":{"formattedCitation":"[3]","plainCitation":"[3]","noteIndex":0},"citationItems":[{"id":376,"uris":["http://zotero.org/users/5655326/items/KXMVBMVA"],"itemData":{"id":376,"type":"article-journal","abstract":"MaxQuant is one of the most frequently used platforms for mass-spectrometry (MS)-based proteomics data analysis. Since its first release in 2008, it has grown substantially in functionality and can be used in conjunction with more MS platforms. Here we present an updated protocol covering the most important basic computational workflows, including those designed for quantitative label-free proteomics, MS1-level labeling and isobaric labeling techniques. This protocol presents a complete description of the parameters used in MaxQuant, as well as of the configuration options of its integrated search engine, Andromeda. This protocol update describes an adaptation of an existing protocol that substantially modifies the technique. Important concepts of shotgun proteomics and their implementation in MaxQuant are briefly reviewed, including different quantification strategies and the control of false-discovery rates (FDRs), as well as the analysis of post-translational modifications (PTMs). The MaxQuant output tables, which contain information about quantification of proteins and PTMs, are explained in detail. Furthermore, we provide a short version of the workflow that is applicable to data sets with simple and standard experimental designs. The MaxQuant algorithms are efficiently parallelized on multiple processors and scale well from desktop computers to servers with many cores. The software is written in C# and is freely available at http://www.maxquant.org.","container-title":"Nature Protocols","DOI":"10.1038/nprot.2016.136","ISSN":"1750-2799","issue":"12","journalAbbreviation":"Nat Protoc","language":"eng","note":"PMID: 27809316","page":"2301-2319","source":"PubMed","title":"The MaxQuant computational platform for mass spectrometry-based shotgun proteomics","volume":"11","author":[{"family":"Tyanova","given":"Stefka"},{"family":"Temu","given":"Tikira"},{"family":"Cox","given":"Juergen"}],"issued":{"date-parts":[["2016",12]]}}}],"schema":"https://github.com/citation-style-language/schema/raw/master/csl-citation.json"} </w:instrText>
      </w:r>
      <w:r w:rsidR="00CF61C7">
        <w:rPr>
          <w:sz w:val="24"/>
          <w:szCs w:val="24"/>
          <w:lang w:val="en-US"/>
        </w:rPr>
        <w:fldChar w:fldCharType="separate"/>
      </w:r>
      <w:r w:rsidR="00CF61C7" w:rsidRPr="00CF61C7">
        <w:rPr>
          <w:rFonts w:ascii="Aptos" w:hAnsi="Aptos"/>
          <w:sz w:val="24"/>
        </w:rPr>
        <w:t>[3]</w:t>
      </w:r>
      <w:r w:rsidR="00CF61C7">
        <w:rPr>
          <w:sz w:val="24"/>
          <w:szCs w:val="24"/>
          <w:lang w:val="en-US"/>
        </w:rPr>
        <w:fldChar w:fldCharType="end"/>
      </w:r>
      <w:r w:rsidRPr="00695C24">
        <w:rPr>
          <w:sz w:val="24"/>
          <w:szCs w:val="24"/>
          <w:lang w:val="en-US"/>
        </w:rPr>
        <w:t xml:space="preserve">) and the Uniprot human reference proteome (January 2019, www.uniprot.org), target sequences, as well as a database of most common contaminants. The search was performed with full trypsin specificity and a maximum of two missed cleavages at a protein and peptide spectrum match false discovery rate of 1%. </w:t>
      </w:r>
      <w:proofErr w:type="spellStart"/>
      <w:r w:rsidRPr="00695C24">
        <w:rPr>
          <w:sz w:val="24"/>
          <w:szCs w:val="24"/>
          <w:lang w:val="en-US"/>
        </w:rPr>
        <w:t>Carbamidomethylation</w:t>
      </w:r>
      <w:proofErr w:type="spellEnd"/>
      <w:r w:rsidRPr="00695C24">
        <w:rPr>
          <w:sz w:val="24"/>
          <w:szCs w:val="24"/>
          <w:lang w:val="en-US"/>
        </w:rPr>
        <w:t xml:space="preserve"> of cysteine residues was set as fixed, oxidation of methionine and N-terminal acetylation as variable modifications. For label-free quantification the “match between runs” feature and the LFQ function were activated - all other parameters were left at default.</w:t>
      </w:r>
    </w:p>
    <w:p w14:paraId="6DBCF1E3" w14:textId="77777777" w:rsidR="009800ED" w:rsidRPr="00CF4A13" w:rsidRDefault="00CE12DF" w:rsidP="009800ED">
      <w:pPr>
        <w:keepNext/>
        <w:rPr>
          <w:sz w:val="24"/>
          <w:szCs w:val="24"/>
        </w:rPr>
      </w:pPr>
      <w:r w:rsidRPr="00CF4A13">
        <w:rPr>
          <w:noProof/>
          <w:sz w:val="24"/>
          <w:szCs w:val="24"/>
          <w:lang w:val="en-US"/>
        </w:rPr>
        <w:drawing>
          <wp:inline distT="0" distB="0" distL="0" distR="0" wp14:anchorId="64E29017" wp14:editId="43D0770E">
            <wp:extent cx="4895850" cy="2812327"/>
            <wp:effectExtent l="0" t="0" r="0" b="7620"/>
            <wp:docPr id="104339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390" name="Grafik 1043390"/>
                    <pic:cNvPicPr/>
                  </pic:nvPicPr>
                  <pic:blipFill>
                    <a:blip r:embed="rId4">
                      <a:extLst>
                        <a:ext uri="{96DAC541-7B7A-43D3-8B79-37D633B846F1}">
                          <asvg:svgBlip xmlns:asvg="http://schemas.microsoft.com/office/drawing/2016/SVG/main" r:embed="rId5"/>
                        </a:ext>
                      </a:extLst>
                    </a:blip>
                    <a:stretch>
                      <a:fillRect/>
                    </a:stretch>
                  </pic:blipFill>
                  <pic:spPr>
                    <a:xfrm>
                      <a:off x="0" y="0"/>
                      <a:ext cx="4898901" cy="2814079"/>
                    </a:xfrm>
                    <a:prstGeom prst="rect">
                      <a:avLst/>
                    </a:prstGeom>
                  </pic:spPr>
                </pic:pic>
              </a:graphicData>
            </a:graphic>
          </wp:inline>
        </w:drawing>
      </w:r>
    </w:p>
    <w:p w14:paraId="1B1C54B7" w14:textId="776785A6" w:rsidR="00727AEF" w:rsidRDefault="009800ED" w:rsidP="009F65BC">
      <w:pPr>
        <w:pStyle w:val="Beschriftung"/>
        <w:rPr>
          <w:color w:val="auto"/>
          <w:sz w:val="20"/>
          <w:szCs w:val="20"/>
        </w:rPr>
      </w:pPr>
      <w:r w:rsidRPr="00A551F9">
        <w:rPr>
          <w:color w:val="auto"/>
          <w:sz w:val="20"/>
          <w:szCs w:val="20"/>
        </w:rPr>
        <w:t xml:space="preserve">Figure </w:t>
      </w:r>
      <w:r w:rsidRPr="00A551F9">
        <w:rPr>
          <w:color w:val="auto"/>
          <w:sz w:val="20"/>
          <w:szCs w:val="20"/>
        </w:rPr>
        <w:fldChar w:fldCharType="begin"/>
      </w:r>
      <w:r w:rsidRPr="00A551F9">
        <w:rPr>
          <w:color w:val="auto"/>
          <w:sz w:val="20"/>
          <w:szCs w:val="20"/>
        </w:rPr>
        <w:instrText xml:space="preserve"> SEQ Figure \* ARABIC </w:instrText>
      </w:r>
      <w:r w:rsidRPr="00A551F9">
        <w:rPr>
          <w:color w:val="auto"/>
          <w:sz w:val="20"/>
          <w:szCs w:val="20"/>
        </w:rPr>
        <w:fldChar w:fldCharType="separate"/>
      </w:r>
      <w:r w:rsidR="007B3F20">
        <w:rPr>
          <w:noProof/>
          <w:color w:val="auto"/>
          <w:sz w:val="20"/>
          <w:szCs w:val="20"/>
        </w:rPr>
        <w:t>1</w:t>
      </w:r>
      <w:r w:rsidRPr="00A551F9">
        <w:rPr>
          <w:color w:val="auto"/>
          <w:sz w:val="20"/>
          <w:szCs w:val="20"/>
        </w:rPr>
        <w:fldChar w:fldCharType="end"/>
      </w:r>
      <w:r w:rsidRPr="00A551F9">
        <w:rPr>
          <w:color w:val="auto"/>
          <w:sz w:val="20"/>
          <w:szCs w:val="20"/>
        </w:rPr>
        <w:t xml:space="preserve">: </w:t>
      </w:r>
      <w:r w:rsidR="00F63DFF" w:rsidRPr="00A551F9">
        <w:rPr>
          <w:color w:val="auto"/>
          <w:sz w:val="20"/>
          <w:szCs w:val="20"/>
        </w:rPr>
        <w:t xml:space="preserve">Proteins with missing values have on average low </w:t>
      </w:r>
      <w:r w:rsidR="00974C6A">
        <w:rPr>
          <w:color w:val="auto"/>
          <w:sz w:val="20"/>
          <w:szCs w:val="20"/>
        </w:rPr>
        <w:t xml:space="preserve">raw </w:t>
      </w:r>
      <w:r w:rsidR="00F63DFF" w:rsidRPr="00A551F9">
        <w:rPr>
          <w:color w:val="auto"/>
          <w:sz w:val="20"/>
          <w:szCs w:val="20"/>
        </w:rPr>
        <w:t>intensities.</w:t>
      </w:r>
    </w:p>
    <w:p w14:paraId="45EEA006" w14:textId="77777777" w:rsidR="006C5771" w:rsidRDefault="006C5771">
      <w:pPr>
        <w:rPr>
          <w:i/>
          <w:iCs/>
          <w:sz w:val="24"/>
          <w:szCs w:val="24"/>
          <w:u w:val="single"/>
        </w:rPr>
      </w:pPr>
      <w:r>
        <w:rPr>
          <w:i/>
          <w:iCs/>
          <w:sz w:val="24"/>
          <w:szCs w:val="24"/>
          <w:u w:val="single"/>
        </w:rPr>
        <w:br w:type="page"/>
      </w:r>
    </w:p>
    <w:p w14:paraId="06F4EF7B" w14:textId="5BAAE3B6" w:rsidR="009F65BC" w:rsidRPr="001D1FD3" w:rsidRDefault="00FF6CE0" w:rsidP="009F65BC">
      <w:pPr>
        <w:rPr>
          <w:i/>
          <w:iCs/>
          <w:sz w:val="24"/>
          <w:szCs w:val="24"/>
          <w:u w:val="single"/>
        </w:rPr>
      </w:pPr>
      <w:r w:rsidRPr="001D1FD3">
        <w:rPr>
          <w:i/>
          <w:iCs/>
          <w:sz w:val="24"/>
          <w:szCs w:val="24"/>
          <w:u w:val="single"/>
        </w:rPr>
        <w:lastRenderedPageBreak/>
        <w:t>R</w:t>
      </w:r>
      <w:r w:rsidR="00052B3C" w:rsidRPr="001D1FD3">
        <w:rPr>
          <w:i/>
          <w:iCs/>
          <w:sz w:val="24"/>
          <w:szCs w:val="24"/>
          <w:u w:val="single"/>
        </w:rPr>
        <w:t xml:space="preserve">educed </w:t>
      </w:r>
      <w:r w:rsidRPr="001D1FD3">
        <w:rPr>
          <w:i/>
          <w:iCs/>
          <w:sz w:val="24"/>
          <w:szCs w:val="24"/>
          <w:u w:val="single"/>
        </w:rPr>
        <w:t>R</w:t>
      </w:r>
      <w:r w:rsidR="00052B3C" w:rsidRPr="001D1FD3">
        <w:rPr>
          <w:i/>
          <w:iCs/>
          <w:sz w:val="24"/>
          <w:szCs w:val="24"/>
          <w:u w:val="single"/>
        </w:rPr>
        <w:t xml:space="preserve">epresentation </w:t>
      </w:r>
      <w:r w:rsidRPr="001D1FD3">
        <w:rPr>
          <w:i/>
          <w:iCs/>
          <w:sz w:val="24"/>
          <w:szCs w:val="24"/>
          <w:u w:val="single"/>
        </w:rPr>
        <w:t>B</w:t>
      </w:r>
      <w:r w:rsidR="00052B3C" w:rsidRPr="001D1FD3">
        <w:rPr>
          <w:i/>
          <w:iCs/>
          <w:sz w:val="24"/>
          <w:szCs w:val="24"/>
          <w:u w:val="single"/>
        </w:rPr>
        <w:t xml:space="preserve">isulfite </w:t>
      </w:r>
      <w:r w:rsidRPr="001D1FD3">
        <w:rPr>
          <w:i/>
          <w:iCs/>
          <w:sz w:val="24"/>
          <w:szCs w:val="24"/>
          <w:u w:val="single"/>
        </w:rPr>
        <w:t>S</w:t>
      </w:r>
      <w:r w:rsidR="00052B3C" w:rsidRPr="001D1FD3">
        <w:rPr>
          <w:i/>
          <w:iCs/>
          <w:sz w:val="24"/>
          <w:szCs w:val="24"/>
          <w:u w:val="single"/>
        </w:rPr>
        <w:t>equencing</w:t>
      </w:r>
      <w:r w:rsidR="00AE0843" w:rsidRPr="001D1FD3">
        <w:rPr>
          <w:i/>
          <w:iCs/>
          <w:sz w:val="24"/>
          <w:szCs w:val="24"/>
          <w:u w:val="single"/>
        </w:rPr>
        <w:t xml:space="preserve"> (RRBS)</w:t>
      </w:r>
    </w:p>
    <w:p w14:paraId="0EF59280" w14:textId="4B40F5EB" w:rsidR="00FF6CE0" w:rsidRPr="001D1FD3" w:rsidRDefault="001D24FE" w:rsidP="009F65BC">
      <w:pPr>
        <w:rPr>
          <w:i/>
          <w:iCs/>
          <w:sz w:val="24"/>
          <w:szCs w:val="24"/>
        </w:rPr>
      </w:pPr>
      <w:r w:rsidRPr="001D1FD3">
        <w:rPr>
          <w:i/>
          <w:iCs/>
          <w:sz w:val="24"/>
          <w:szCs w:val="24"/>
        </w:rPr>
        <w:t>Library preparation</w:t>
      </w:r>
    </w:p>
    <w:p w14:paraId="48AC4C16" w14:textId="70AFD868" w:rsidR="0053073A" w:rsidRDefault="0053073A" w:rsidP="009F65BC">
      <w:pPr>
        <w:rPr>
          <w:sz w:val="24"/>
          <w:szCs w:val="24"/>
        </w:rPr>
      </w:pPr>
      <w:r w:rsidRPr="0053073A">
        <w:rPr>
          <w:sz w:val="24"/>
          <w:szCs w:val="24"/>
        </w:rPr>
        <w:t>Reduced Representation Bisulphite Sequencing (RRBS) libraries were generated as described previously</w:t>
      </w:r>
      <w:r w:rsidR="00C40C54">
        <w:rPr>
          <w:sz w:val="24"/>
          <w:szCs w:val="24"/>
        </w:rPr>
        <w:t xml:space="preserve"> </w:t>
      </w:r>
      <w:r w:rsidR="006D07BB">
        <w:rPr>
          <w:sz w:val="24"/>
          <w:szCs w:val="24"/>
        </w:rPr>
        <w:fldChar w:fldCharType="begin"/>
      </w:r>
      <w:r w:rsidR="009E0048">
        <w:rPr>
          <w:sz w:val="24"/>
          <w:szCs w:val="24"/>
        </w:rPr>
        <w:instrText xml:space="preserve"> ADDIN ZOTERO_ITEM CSL_CITATION {"citationID":"9FOBw9bC","properties":{"formattedCitation":"[4]","plainCitation":"[4]","noteIndex":0},"citationItems":[{"id":2112,"uris":["http://zotero.org/users/5655326/items/A9EGFRZL"],"itemData":{"id":2112,"type":"article-journal","abstract":"Genome-wide DNA methylation mapping uncovers epigenetic changes associated with animal development, environmental adaptation, and species evolution. To address the lack of high-throughput methods for DNA methylation analysis in non-model organisms, we developed an integrated approach for studying DNA methylation differences independent of a reference genome. Experimentally, our method relies on an optimized 96-well protocol for reduced representation bisulfite sequencing (RRBS), which we have validated in nine species (human, mouse, rat, cow, dog, chicken, carp, sea bass, and zebrafish). Bioinformatically, we developed the RefFreeDMA software to deduce ad hoc genomes directly from RRBS reads and to pinpoint differentially methylated regions between samples or groups of individuals (http://RefFreeDMA.computational-epigenetics.org). The identified regions are interpreted using motif enrichment analysis and/or cross-mapping to annotated genomes. We validated our method by reference-free analysis of cell-type-specific DNA methylation in the blood of human, cow, and carp. In summary, we present a cost-effective method for epigenome analysis in ecology and evolution, which enables epigenome-wide association studies in natural populations and species without a reference genome.","container-title":"Cell Reports","DOI":"10.1016/j.celrep.2015.11.024","ISSN":"2211-1247","issue":"11","journalAbbreviation":"Cell Reports","page":"2621-2633","source":"ScienceDirect","title":"Differential DNA Methylation Analysis without a Reference Genome","volume":"13","author":[{"family":"Klughammer","given":"Johanna"},{"family":"Datlinger","given":"Paul"},{"family":"Printz","given":"Dieter"},{"family":"Sheffield","given":"Nathan C."},{"family":"Farlik","given":"Matthias"},{"family":"Hadler","given":"Johanna"},{"family":"Fritsch","given":"Gerhard"},{"family":"Bock","given":"Christoph"}],"issued":{"date-parts":[["2015",12,22]]}}}],"schema":"https://github.com/citation-style-language/schema/raw/master/csl-citation.json"} </w:instrText>
      </w:r>
      <w:r w:rsidR="006D07BB">
        <w:rPr>
          <w:sz w:val="24"/>
          <w:szCs w:val="24"/>
        </w:rPr>
        <w:fldChar w:fldCharType="separate"/>
      </w:r>
      <w:r w:rsidR="009E0048">
        <w:rPr>
          <w:noProof/>
          <w:sz w:val="24"/>
          <w:szCs w:val="24"/>
        </w:rPr>
        <w:t>[4]</w:t>
      </w:r>
      <w:r w:rsidR="006D07BB">
        <w:rPr>
          <w:sz w:val="24"/>
          <w:szCs w:val="24"/>
        </w:rPr>
        <w:fldChar w:fldCharType="end"/>
      </w:r>
      <w:r w:rsidRPr="0053073A">
        <w:rPr>
          <w:sz w:val="24"/>
          <w:szCs w:val="24"/>
        </w:rPr>
        <w:t>. Briefly, up to 100 ng of genomic DNA were digested for 12 hours at 37 °C with 20 U of MspI (R0106L, New England Biolabs, Inc., Ipswich, MA, USA) in 30 μl of 1 x NEB buffer 2. To retain even the smallest fragments and to minimize the loss of material, end preparation and adaptor ligation were performed in a single-tube setup. End fill-in and A-tailing were performed by addition of Klenow Fragment 3’ &gt; 5’ exo-mix (P7010-LC-L, Enzymatics) and dNTP mix (10 mM dATP, 1 mM dCTP, 1 mM dGTP, N0446S, New England Biolabs). After ligation to methylated Illumina TruSeq LT v2 adaptors using T4 DNA Ligase rapid (L6030-HC-L, Enzymatics), the libraries were size selected via a 0.75 x clean-up with AMPure XP beads (A63881, Beckman Coulter). The libraries were pooled based on qPCR data and subjected to bisulfite conversion using the EZ DNA Methylation Direct Kit (D5020, Zymo Research) with changes to the manufacturer’s protocol: conversion reagent was used at 0.9 x concentration, incubation performed for 20 cycles of 1 min at 95 °C, 10 min at 60 °C and the desulfonation time was extended to 30 min. These changes increase the number of CpG dinucleotides covered, by reducing double strand break formation in larger library fragments. Bisulfite-converted libraries were enriched via KAPA HiFi HS Uracil+ RM (07959079001, Roche Molecular Systems, Inc.). The minimum number of enrichment cycles was estimated based on a qPCR experiment. After a 1 x AMPure XP clean-up, library concentrations were quantified with the Qubit Fluorometric Quantitation system (Q32854, Thermo Fisher Scientific, Waltham, MA, USA) and the size distribution was assessed using the High Sensitivity DNA Kit (5067-4626, Agilent, Santa Clara, CA, USA) on a 2100 Bioanalyzer (Agilent) instrument. Sample-specific RRBS libraries were diluted and pooled in equimolar amounts.</w:t>
      </w:r>
    </w:p>
    <w:p w14:paraId="638E45BA" w14:textId="3ABEE6E2" w:rsidR="00531BBB" w:rsidRPr="001D1FD3" w:rsidRDefault="002B2576" w:rsidP="009F65BC">
      <w:pPr>
        <w:rPr>
          <w:i/>
          <w:iCs/>
          <w:sz w:val="24"/>
          <w:szCs w:val="24"/>
        </w:rPr>
      </w:pPr>
      <w:r w:rsidRPr="001D1FD3">
        <w:rPr>
          <w:i/>
          <w:iCs/>
          <w:sz w:val="24"/>
          <w:szCs w:val="24"/>
        </w:rPr>
        <w:t>Next-generation sequencing and raw data acquisition</w:t>
      </w:r>
    </w:p>
    <w:p w14:paraId="07221232" w14:textId="6D2FD078" w:rsidR="002B2576" w:rsidRDefault="00AE0843" w:rsidP="009F65BC">
      <w:pPr>
        <w:rPr>
          <w:sz w:val="24"/>
          <w:szCs w:val="24"/>
        </w:rPr>
      </w:pPr>
      <w:r w:rsidRPr="001D1FD3">
        <w:rPr>
          <w:sz w:val="24"/>
          <w:szCs w:val="24"/>
        </w:rPr>
        <w:t xml:space="preserve">RRBS pools were sequenced on a HiSeq </w:t>
      </w:r>
      <w:r w:rsidR="00EB645A">
        <w:rPr>
          <w:sz w:val="24"/>
          <w:szCs w:val="24"/>
        </w:rPr>
        <w:t>4</w:t>
      </w:r>
      <w:r w:rsidRPr="001D1FD3">
        <w:rPr>
          <w:sz w:val="24"/>
          <w:szCs w:val="24"/>
        </w:rPr>
        <w:t>000 instrument (Illumina, San Diego, CA, USA) following a 50-base-pair, single-end recipe. Raw data acquisition (HiSeq Control Software, HCS, HD 3.4.0.38) and base calling (Real-Time Analysis Software, RTA, 2.7.7) was performed on-instrument, while the subsequent raw data processing off the instruments involved two custom programs</w:t>
      </w:r>
      <w:r w:rsidR="008631DB">
        <w:rPr>
          <w:sz w:val="24"/>
          <w:szCs w:val="24"/>
        </w:rPr>
        <w:t xml:space="preserve"> (</w:t>
      </w:r>
      <w:r w:rsidR="008631DB" w:rsidRPr="002161AD">
        <w:rPr>
          <w:sz w:val="24"/>
          <w:szCs w:val="24"/>
        </w:rPr>
        <w:t>https://github.com/epigen/picard/</w:t>
      </w:r>
      <w:r w:rsidR="008631DB">
        <w:rPr>
          <w:sz w:val="24"/>
          <w:szCs w:val="24"/>
        </w:rPr>
        <w:t>)</w:t>
      </w:r>
      <w:r w:rsidRPr="001D1FD3">
        <w:rPr>
          <w:sz w:val="24"/>
          <w:szCs w:val="24"/>
        </w:rPr>
        <w:t xml:space="preserve"> based on Picard tools (2.19.2</w:t>
      </w:r>
      <w:r w:rsidR="00A762E1">
        <w:rPr>
          <w:sz w:val="24"/>
          <w:szCs w:val="24"/>
        </w:rPr>
        <w:t xml:space="preserve">; </w:t>
      </w:r>
      <w:r w:rsidR="008631DB" w:rsidRPr="002161AD">
        <w:rPr>
          <w:sz w:val="24"/>
          <w:szCs w:val="24"/>
        </w:rPr>
        <w:t>https://broadinstitute.github.io/picard/</w:t>
      </w:r>
      <w:r w:rsidRPr="001D1FD3">
        <w:rPr>
          <w:sz w:val="24"/>
          <w:szCs w:val="24"/>
        </w:rPr>
        <w:t>). In a first step, base calls were converted into lane-specific, multiplexed, unaligned BAM files suitable for long-term archival (IlluminaBasecallsToMultiplexSam, 2.19.2-CeMM), thereby annotating an eventual start of NGS adapter sequences in XT tags. In a second step, archive BAM files were demultiplexed into sample-specific, unaligned BAM files (IlluminaSamDemux, 2.19.2-CeMM).</w:t>
      </w:r>
    </w:p>
    <w:p w14:paraId="6F4E808B" w14:textId="2F73CB9A" w:rsidR="00DC4D76" w:rsidRDefault="00DC4D76" w:rsidP="009F65BC">
      <w:pPr>
        <w:rPr>
          <w:i/>
          <w:iCs/>
          <w:sz w:val="24"/>
          <w:szCs w:val="24"/>
        </w:rPr>
      </w:pPr>
      <w:r w:rsidRPr="00DC4D76">
        <w:rPr>
          <w:i/>
          <w:iCs/>
          <w:sz w:val="24"/>
          <w:szCs w:val="24"/>
        </w:rPr>
        <w:t>Data Analysis</w:t>
      </w:r>
    </w:p>
    <w:p w14:paraId="33EF18D2" w14:textId="762BAD1C" w:rsidR="00FF6CE0" w:rsidRPr="004973CB" w:rsidRDefault="006835B2" w:rsidP="009F65BC">
      <w:pPr>
        <w:rPr>
          <w:sz w:val="24"/>
          <w:szCs w:val="24"/>
        </w:rPr>
      </w:pPr>
      <w:r w:rsidRPr="006835B2">
        <w:rPr>
          <w:sz w:val="24"/>
          <w:szCs w:val="24"/>
        </w:rPr>
        <w:t>Custom scripts were used to calculate the digestion metrics for the TaqI and MspI restriction enzymes. Unaligned BAM files were converted into FASTQ files and pre-</w:t>
      </w:r>
      <w:r w:rsidRPr="006835B2">
        <w:rPr>
          <w:sz w:val="24"/>
          <w:szCs w:val="24"/>
        </w:rPr>
        <w:lastRenderedPageBreak/>
        <w:t>processed with Trimmomatic</w:t>
      </w:r>
      <w:r w:rsidR="003C4612">
        <w:rPr>
          <w:sz w:val="24"/>
          <w:szCs w:val="24"/>
        </w:rPr>
        <w:t xml:space="preserve"> </w:t>
      </w:r>
      <w:r w:rsidR="003C4612">
        <w:rPr>
          <w:sz w:val="24"/>
          <w:szCs w:val="24"/>
        </w:rPr>
        <w:fldChar w:fldCharType="begin"/>
      </w:r>
      <w:r w:rsidR="009E0048">
        <w:rPr>
          <w:sz w:val="24"/>
          <w:szCs w:val="24"/>
        </w:rPr>
        <w:instrText xml:space="preserve"> ADDIN ZOTERO_ITEM CSL_CITATION {"citationID":"4LOqohYP","properties":{"formattedCitation":"[5]","plainCitation":"[5]","noteIndex":0},"citationItems":[{"id":2114,"uris":["http://zotero.org/users/5655326/items/EB5X3VRG"],"itemData":{"id":2114,"type":"article-journal","abstract":"Motivation: Although many next-generation sequencing (NGS) read preprocessing tools already existed, we could not find any tool or combination of tools that met our requirements in terms of flexibility, correct handling of paired-end data and high performance. We have developed Trimmomatic as a more flexible and efficient preprocessing tool, which could correctly handle paired-end data. Results: The value of NGS read preprocessing is demonstrated for both reference-based and reference-free tasks. Trimmomatic is shown to produce output that is at least competitive with, and in many cases superior to, that produced by other tools, in all scenarios tested. Availability and implementation: Trimmomatic is licensed under GPL V3. It is cross-platform (Java 1.5+ required) and available at http://www.usadellab.org/cms/index.php?page=trimmomaticContact:  usadel@bio1.rwth-aachen.deSupplementary information:  Supplementary data are available at Bioinformatics online.","container-title":"Bioinformatics","DOI":"10.1093/bioinformatics/btu170","ISSN":"1367-4803","issue":"15","journalAbbreviation":"Bioinformatics","page":"2114-2120","source":"Silverchair","title":"Trimmomatic: a flexible trimmer for Illumina sequence data","title-short":"Trimmomatic","volume":"30","author":[{"family":"Bolger","given":"Anthony M."},{"family":"Lohse","given":"Marc"},{"family":"Usadel","given":"Bjoern"}],"issued":{"date-parts":[["2014",8,1]]}}}],"schema":"https://github.com/citation-style-language/schema/raw/master/csl-citation.json"} </w:instrText>
      </w:r>
      <w:r w:rsidR="003C4612">
        <w:rPr>
          <w:sz w:val="24"/>
          <w:szCs w:val="24"/>
        </w:rPr>
        <w:fldChar w:fldCharType="separate"/>
      </w:r>
      <w:r w:rsidR="009E0048">
        <w:rPr>
          <w:rFonts w:ascii="Aptos" w:hAnsi="Aptos"/>
          <w:sz w:val="24"/>
        </w:rPr>
        <w:t>[5]</w:t>
      </w:r>
      <w:r w:rsidR="003C4612">
        <w:rPr>
          <w:sz w:val="24"/>
          <w:szCs w:val="24"/>
        </w:rPr>
        <w:fldChar w:fldCharType="end"/>
      </w:r>
      <w:r w:rsidRPr="006835B2">
        <w:rPr>
          <w:sz w:val="24"/>
          <w:szCs w:val="24"/>
        </w:rPr>
        <w:t xml:space="preserve"> using options ILLUMINACLIP:RRBS_adapters.fa:2:40:7 SLIDINGWINDOW:4:15 MAXINFO:20:0.50 MINLEN:18. Trimmed NGS reads were aligned to the reference genome with the methylation-aware BSMAP  aligner in RRBS mode for MspI (-D C-CGG) and TaqI (-D T-CGA) restriction sites, a filter of 5 Ns (-f 5), a quality threshold of 0 (-q 0), a seed size of 12 (-s 12), a mismatch rate of 0.08 (-v 0.08, or 4 mismatches in 50), a minimal inset size of 20 (-m 20), a maximal insert size of 500 (-x 500) mapping to forward strands only (-n 0). (Options: -D C-CGG -D T-CGA -f 5 -m 20 -n 0 -p 4 -q 0 -r 1 -s 12 -S 0 -u -v 0.08 -V 2 -w 100 -x 500). Methylated bases were called with the biseqMethCalling script</w:t>
      </w:r>
      <w:r w:rsidR="00C60EF0">
        <w:rPr>
          <w:sz w:val="24"/>
          <w:szCs w:val="24"/>
        </w:rPr>
        <w:t xml:space="preserve"> (</w:t>
      </w:r>
      <w:r w:rsidR="00C60EF0" w:rsidRPr="00C60EF0">
        <w:rPr>
          <w:sz w:val="24"/>
          <w:szCs w:val="24"/>
        </w:rPr>
        <w:t>https://github.com/epigen/biseqMethCalling</w:t>
      </w:r>
      <w:r w:rsidR="00C60EF0">
        <w:rPr>
          <w:sz w:val="24"/>
          <w:szCs w:val="24"/>
        </w:rPr>
        <w:t>)</w:t>
      </w:r>
      <w:r w:rsidRPr="006835B2">
        <w:rPr>
          <w:sz w:val="24"/>
          <w:szCs w:val="24"/>
        </w:rPr>
        <w:t xml:space="preserve"> and the resulting UCSC Genome Browser BED files were converted into BigBed files for integration into a UCSC Genome Browser Track Hub for visual inspection. Internal standards comprised of fully methylated and unmethylated double stranded synthetic oligo sequences were added to each sample to determine the rates of conversion and over-conversion, respectively. The internal standards were aligned with Bismark</w:t>
      </w:r>
      <w:r w:rsidR="005D03F0">
        <w:rPr>
          <w:sz w:val="24"/>
          <w:szCs w:val="24"/>
        </w:rPr>
        <w:t xml:space="preserve"> </w:t>
      </w:r>
      <w:r w:rsidR="005D03F0">
        <w:rPr>
          <w:sz w:val="24"/>
          <w:szCs w:val="24"/>
        </w:rPr>
        <w:fldChar w:fldCharType="begin"/>
      </w:r>
      <w:r w:rsidR="009E0048">
        <w:rPr>
          <w:sz w:val="24"/>
          <w:szCs w:val="24"/>
        </w:rPr>
        <w:instrText xml:space="preserve"> ADDIN ZOTERO_ITEM CSL_CITATION {"citationID":"vsRCFdQf","properties":{"formattedCitation":"[6]","plainCitation":"[6]","noteIndex":0},"citationItems":[{"id":2113,"uris":["http://zotero.org/users/5655326/items/LT3IMZQ3"],"itemData":{"id":2113,"type":"article-journal","abstract":"SUMMARY: A combination of bisulfite treatment of DNA and high-throughput sequencing (BS-Seq) can capture a snapshot of a cell's epigenomic state by revealing its genome-wide cytosine methylation at single base resolution. Bismark is a flexible tool for the time-efficient analysis of BS-Seq data which performs both read mapping and methylation calling in a single convenient step. Its output discriminates between cytosines in CpG, CHG and CHH context and enables bench scientists to visualize and interpret their methylation data soon after the sequencing run is completed.\nAVAILABILITY AND IMPLEMENTATION: Bismark is released under the GNU GPLv3+ licence. The source code is freely available from www.bioinformatics.bbsrc.ac.uk/projects/bismark/.","container-title":"Bioinformatics (Oxford, England)","DOI":"10.1093/bioinformatics/btr167","ISSN":"1367-4811","issue":"11","journalAbbreviation":"Bioinformatics","language":"eng","note":"PMID: 21493656\nPMCID: PMC3102221","page":"1571-1572","source":"PubMed","title":"Bismark: a flexible aligner and methylation caller for Bisulfite-Seq applications","title-short":"Bismark","volume":"27","author":[{"family":"Krueger","given":"Felix"},{"family":"Andrews","given":"Simon R."}],"issued":{"date-parts":[["2011",6,1]]}}}],"schema":"https://github.com/citation-style-language/schema/raw/master/csl-citation.json"} </w:instrText>
      </w:r>
      <w:r w:rsidR="005D03F0">
        <w:rPr>
          <w:sz w:val="24"/>
          <w:szCs w:val="24"/>
        </w:rPr>
        <w:fldChar w:fldCharType="separate"/>
      </w:r>
      <w:r w:rsidR="009E0048">
        <w:rPr>
          <w:rFonts w:ascii="Aptos" w:hAnsi="Aptos"/>
          <w:sz w:val="24"/>
        </w:rPr>
        <w:t>[6]</w:t>
      </w:r>
      <w:r w:rsidR="005D03F0">
        <w:rPr>
          <w:sz w:val="24"/>
          <w:szCs w:val="24"/>
        </w:rPr>
        <w:fldChar w:fldCharType="end"/>
      </w:r>
      <w:r w:rsidRPr="006835B2">
        <w:rPr>
          <w:sz w:val="24"/>
          <w:szCs w:val="24"/>
        </w:rPr>
        <w:t xml:space="preserve"> and methylation calls were evaluated with a custom script.</w:t>
      </w:r>
    </w:p>
    <w:p w14:paraId="1361D1D4" w14:textId="77777777" w:rsidR="004973CB" w:rsidRDefault="004973CB">
      <w:pPr>
        <w:rPr>
          <w:i/>
          <w:iCs/>
          <w:sz w:val="24"/>
          <w:szCs w:val="24"/>
          <w:u w:val="single"/>
        </w:rPr>
      </w:pPr>
      <w:r>
        <w:rPr>
          <w:i/>
          <w:iCs/>
          <w:sz w:val="24"/>
          <w:szCs w:val="24"/>
          <w:u w:val="single"/>
        </w:rPr>
        <w:br w:type="page"/>
      </w:r>
    </w:p>
    <w:p w14:paraId="3AEC6639" w14:textId="7A4064A4" w:rsidR="00727AEF" w:rsidRPr="00CF4A13" w:rsidRDefault="00727AEF" w:rsidP="00727AEF">
      <w:pPr>
        <w:rPr>
          <w:i/>
          <w:iCs/>
          <w:sz w:val="24"/>
          <w:szCs w:val="24"/>
          <w:u w:val="single"/>
        </w:rPr>
      </w:pPr>
      <w:r>
        <w:rPr>
          <w:i/>
          <w:iCs/>
          <w:sz w:val="24"/>
          <w:szCs w:val="24"/>
          <w:u w:val="single"/>
        </w:rPr>
        <w:lastRenderedPageBreak/>
        <w:t>Cell Culture</w:t>
      </w:r>
    </w:p>
    <w:p w14:paraId="0584DCA6" w14:textId="77777777" w:rsidR="002E5F52" w:rsidRDefault="003D29D9" w:rsidP="002E5F52">
      <w:pPr>
        <w:keepNext/>
      </w:pPr>
      <w:r>
        <w:rPr>
          <w:noProof/>
        </w:rPr>
        <w:drawing>
          <wp:inline distT="0" distB="0" distL="0" distR="0" wp14:anchorId="42C397D2" wp14:editId="05269090">
            <wp:extent cx="2780030" cy="1280160"/>
            <wp:effectExtent l="0" t="0" r="1270" b="0"/>
            <wp:docPr id="182316634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0030" cy="1280160"/>
                    </a:xfrm>
                    <a:prstGeom prst="rect">
                      <a:avLst/>
                    </a:prstGeom>
                    <a:noFill/>
                  </pic:spPr>
                </pic:pic>
              </a:graphicData>
            </a:graphic>
          </wp:inline>
        </w:drawing>
      </w:r>
    </w:p>
    <w:p w14:paraId="31BD368B" w14:textId="2D127CFD" w:rsidR="00CF4A13" w:rsidRPr="009F211E" w:rsidRDefault="002E5F52" w:rsidP="002E5F52">
      <w:pPr>
        <w:pStyle w:val="Beschriftung"/>
        <w:rPr>
          <w:color w:val="auto"/>
          <w:sz w:val="20"/>
          <w:szCs w:val="20"/>
        </w:rPr>
      </w:pPr>
      <w:r w:rsidRPr="009F211E">
        <w:rPr>
          <w:color w:val="auto"/>
          <w:sz w:val="20"/>
          <w:szCs w:val="20"/>
        </w:rPr>
        <w:t xml:space="preserve">Figure </w:t>
      </w:r>
      <w:r w:rsidRPr="009F211E">
        <w:rPr>
          <w:color w:val="auto"/>
          <w:sz w:val="20"/>
          <w:szCs w:val="20"/>
        </w:rPr>
        <w:fldChar w:fldCharType="begin"/>
      </w:r>
      <w:r w:rsidRPr="009F211E">
        <w:rPr>
          <w:color w:val="auto"/>
          <w:sz w:val="20"/>
          <w:szCs w:val="20"/>
        </w:rPr>
        <w:instrText xml:space="preserve"> SEQ Figure \* ARABIC </w:instrText>
      </w:r>
      <w:r w:rsidRPr="009F211E">
        <w:rPr>
          <w:color w:val="auto"/>
          <w:sz w:val="20"/>
          <w:szCs w:val="20"/>
        </w:rPr>
        <w:fldChar w:fldCharType="separate"/>
      </w:r>
      <w:r w:rsidR="007B3F20">
        <w:rPr>
          <w:noProof/>
          <w:color w:val="auto"/>
          <w:sz w:val="20"/>
          <w:szCs w:val="20"/>
        </w:rPr>
        <w:t>2</w:t>
      </w:r>
      <w:r w:rsidRPr="009F211E">
        <w:rPr>
          <w:color w:val="auto"/>
          <w:sz w:val="20"/>
          <w:szCs w:val="20"/>
        </w:rPr>
        <w:fldChar w:fldCharType="end"/>
      </w:r>
      <w:r w:rsidRPr="009F211E">
        <w:rPr>
          <w:color w:val="auto"/>
          <w:sz w:val="20"/>
          <w:szCs w:val="20"/>
        </w:rPr>
        <w:t xml:space="preserve">: </w:t>
      </w:r>
      <w:r w:rsidR="00E56BF7" w:rsidRPr="009F211E">
        <w:rPr>
          <w:color w:val="auto"/>
          <w:sz w:val="20"/>
          <w:szCs w:val="20"/>
        </w:rPr>
        <w:t>Concentration differences of important metabolites between RPMI-1640 and HPLM cell culture media.</w:t>
      </w:r>
    </w:p>
    <w:p w14:paraId="225BA415" w14:textId="4B1F085A" w:rsidR="00AF2D66" w:rsidRPr="00CF4A13" w:rsidRDefault="00AF2D66" w:rsidP="00AF2D66">
      <w:pPr>
        <w:rPr>
          <w:i/>
          <w:iCs/>
          <w:sz w:val="24"/>
          <w:szCs w:val="24"/>
          <w:u w:val="single"/>
        </w:rPr>
      </w:pPr>
      <w:r w:rsidRPr="00CF4A13">
        <w:rPr>
          <w:i/>
          <w:iCs/>
          <w:sz w:val="24"/>
          <w:szCs w:val="24"/>
          <w:u w:val="single"/>
        </w:rPr>
        <w:t xml:space="preserve">Western </w:t>
      </w:r>
      <w:r w:rsidR="00E47B14" w:rsidRPr="00CF4A13">
        <w:rPr>
          <w:i/>
          <w:iCs/>
          <w:sz w:val="24"/>
          <w:szCs w:val="24"/>
          <w:u w:val="single"/>
        </w:rPr>
        <w:t>b</w:t>
      </w:r>
      <w:r w:rsidRPr="00CF4A13">
        <w:rPr>
          <w:i/>
          <w:iCs/>
          <w:sz w:val="24"/>
          <w:szCs w:val="24"/>
          <w:u w:val="single"/>
        </w:rPr>
        <w:t xml:space="preserve">lot </w:t>
      </w:r>
      <w:r w:rsidR="00E47B14" w:rsidRPr="00CF4A13">
        <w:rPr>
          <w:i/>
          <w:iCs/>
          <w:sz w:val="24"/>
          <w:szCs w:val="24"/>
          <w:u w:val="single"/>
        </w:rPr>
        <w:t>a</w:t>
      </w:r>
      <w:r w:rsidRPr="00CF4A13">
        <w:rPr>
          <w:i/>
          <w:iCs/>
          <w:sz w:val="24"/>
          <w:szCs w:val="24"/>
          <w:u w:val="single"/>
        </w:rPr>
        <w:t>nalysis</w:t>
      </w:r>
    </w:p>
    <w:p w14:paraId="0A49043B" w14:textId="77777777" w:rsidR="00463377" w:rsidRDefault="00451E80" w:rsidP="00AF2D66">
      <w:pPr>
        <w:rPr>
          <w:sz w:val="24"/>
          <w:szCs w:val="24"/>
        </w:rPr>
      </w:pPr>
      <w:r w:rsidRPr="00463377">
        <w:rPr>
          <w:i/>
          <w:iCs/>
          <w:sz w:val="24"/>
          <w:szCs w:val="24"/>
        </w:rPr>
        <w:t>Hunt</w:t>
      </w:r>
      <w:r w:rsidR="009121CA" w:rsidRPr="00463377">
        <w:rPr>
          <w:i/>
          <w:iCs/>
          <w:sz w:val="24"/>
          <w:szCs w:val="24"/>
        </w:rPr>
        <w:t xml:space="preserve"> cell lysis</w:t>
      </w:r>
      <w:r w:rsidRPr="00463377">
        <w:rPr>
          <w:i/>
          <w:iCs/>
          <w:sz w:val="24"/>
          <w:szCs w:val="24"/>
        </w:rPr>
        <w:t xml:space="preserve"> buffer</w:t>
      </w:r>
      <w:r w:rsidRPr="00505792">
        <w:rPr>
          <w:i/>
          <w:iCs/>
          <w:sz w:val="24"/>
          <w:szCs w:val="24"/>
        </w:rPr>
        <w:t>:</w:t>
      </w:r>
    </w:p>
    <w:p w14:paraId="04CCFB3A" w14:textId="6D7706B3" w:rsidR="00451E80" w:rsidRPr="00CF4A13" w:rsidRDefault="00451E80" w:rsidP="00AF2D66">
      <w:pPr>
        <w:rPr>
          <w:sz w:val="24"/>
          <w:szCs w:val="24"/>
        </w:rPr>
      </w:pPr>
      <w:r w:rsidRPr="00CF4A13">
        <w:rPr>
          <w:sz w:val="24"/>
          <w:szCs w:val="24"/>
        </w:rPr>
        <w:t>20 mM Tris pH 8, 100 mM NaCl, 1 mM EDTA, 0.5% NP-40, protease inhibitor – Roche</w:t>
      </w:r>
    </w:p>
    <w:p w14:paraId="4C644BC1" w14:textId="77777777" w:rsidR="00463377" w:rsidRPr="00463377" w:rsidRDefault="00451E80" w:rsidP="00AF2D66">
      <w:pPr>
        <w:rPr>
          <w:i/>
          <w:iCs/>
          <w:sz w:val="24"/>
          <w:szCs w:val="24"/>
        </w:rPr>
      </w:pPr>
      <w:r w:rsidRPr="00463377">
        <w:rPr>
          <w:i/>
          <w:iCs/>
          <w:sz w:val="24"/>
          <w:szCs w:val="24"/>
        </w:rPr>
        <w:t xml:space="preserve">Milk blocking solution: </w:t>
      </w:r>
    </w:p>
    <w:p w14:paraId="6B9C2BFE" w14:textId="1C177EB3" w:rsidR="00451E80" w:rsidRPr="00CF4A13" w:rsidRDefault="00451E80" w:rsidP="00AF2D66">
      <w:pPr>
        <w:rPr>
          <w:sz w:val="24"/>
          <w:szCs w:val="24"/>
        </w:rPr>
      </w:pPr>
      <w:r w:rsidRPr="00CF4A13">
        <w:rPr>
          <w:sz w:val="24"/>
          <w:szCs w:val="24"/>
        </w:rPr>
        <w:t>5% skim milk powder, 1% PVP, 0.01% Sodium azide in TBS-T (=TBS containing 1% Triton-X100)</w:t>
      </w:r>
    </w:p>
    <w:p w14:paraId="278EB841" w14:textId="77777777" w:rsidR="00463377" w:rsidRPr="00463377" w:rsidRDefault="00451E80" w:rsidP="00AF2D66">
      <w:pPr>
        <w:rPr>
          <w:i/>
          <w:iCs/>
          <w:sz w:val="24"/>
          <w:szCs w:val="24"/>
        </w:rPr>
      </w:pPr>
      <w:r w:rsidRPr="00463377">
        <w:rPr>
          <w:i/>
          <w:iCs/>
          <w:sz w:val="24"/>
          <w:szCs w:val="24"/>
        </w:rPr>
        <w:t xml:space="preserve">BSA blocking solution: </w:t>
      </w:r>
    </w:p>
    <w:p w14:paraId="5AE9EF70" w14:textId="3EBB03D4" w:rsidR="00451E80" w:rsidRPr="00CF4A13" w:rsidRDefault="00451E80" w:rsidP="00AF2D66">
      <w:pPr>
        <w:rPr>
          <w:sz w:val="24"/>
          <w:szCs w:val="24"/>
        </w:rPr>
      </w:pPr>
      <w:r w:rsidRPr="00CF4A13">
        <w:rPr>
          <w:sz w:val="24"/>
          <w:szCs w:val="24"/>
        </w:rPr>
        <w:t>5% BSA, 0.01% Sodium azide in TBS-T (=TBS containing 1% Triton-X100) *BSA blocking solution was used when phosphorylated proteins were detected.</w:t>
      </w:r>
    </w:p>
    <w:p w14:paraId="7F564152" w14:textId="77777777" w:rsidR="00463377" w:rsidRPr="00463377" w:rsidRDefault="00451E80" w:rsidP="00AF2D66">
      <w:pPr>
        <w:rPr>
          <w:i/>
          <w:iCs/>
          <w:sz w:val="24"/>
          <w:szCs w:val="24"/>
        </w:rPr>
      </w:pPr>
      <w:r w:rsidRPr="00463377">
        <w:rPr>
          <w:i/>
          <w:iCs/>
          <w:sz w:val="24"/>
          <w:szCs w:val="24"/>
        </w:rPr>
        <w:t xml:space="preserve">ECL solutions: </w:t>
      </w:r>
    </w:p>
    <w:p w14:paraId="6F1AE44A" w14:textId="293F6018" w:rsidR="007B24B8" w:rsidRPr="00CF4A13" w:rsidRDefault="00451E80" w:rsidP="00AF2D66">
      <w:pPr>
        <w:rPr>
          <w:sz w:val="24"/>
          <w:szCs w:val="24"/>
        </w:rPr>
      </w:pPr>
      <w:r w:rsidRPr="00CF4A13">
        <w:rPr>
          <w:sz w:val="24"/>
          <w:szCs w:val="24"/>
        </w:rPr>
        <w:t>Amersham ECL Detection Reagents</w:t>
      </w:r>
    </w:p>
    <w:p w14:paraId="0CA981C3" w14:textId="77777777" w:rsidR="00463377" w:rsidRPr="00463377" w:rsidRDefault="00E465CD" w:rsidP="00CC42EA">
      <w:pPr>
        <w:rPr>
          <w:i/>
          <w:iCs/>
          <w:sz w:val="24"/>
          <w:szCs w:val="24"/>
        </w:rPr>
      </w:pPr>
      <w:r w:rsidRPr="00463377">
        <w:rPr>
          <w:i/>
          <w:iCs/>
          <w:sz w:val="24"/>
          <w:szCs w:val="24"/>
        </w:rPr>
        <w:t>Primary a</w:t>
      </w:r>
      <w:r w:rsidR="00451E80" w:rsidRPr="00463377">
        <w:rPr>
          <w:i/>
          <w:iCs/>
          <w:sz w:val="24"/>
          <w:szCs w:val="24"/>
        </w:rPr>
        <w:t>ntibodies used:</w:t>
      </w:r>
    </w:p>
    <w:p w14:paraId="27B62337" w14:textId="15B71386" w:rsidR="00CC42EA" w:rsidRPr="000D5B2D" w:rsidRDefault="00A24905" w:rsidP="00CC42EA">
      <w:pPr>
        <w:rPr>
          <w:sz w:val="24"/>
          <w:szCs w:val="24"/>
        </w:rPr>
      </w:pPr>
      <w:r w:rsidRPr="00CF4A13">
        <w:rPr>
          <w:sz w:val="24"/>
          <w:szCs w:val="24"/>
        </w:rPr>
        <w:t>ATGL</w:t>
      </w:r>
      <w:r w:rsidR="00451E80" w:rsidRPr="00CF4A13">
        <w:rPr>
          <w:sz w:val="24"/>
          <w:szCs w:val="24"/>
        </w:rPr>
        <w:t xml:space="preserve"> C</w:t>
      </w:r>
      <w:r w:rsidR="00C50DB8" w:rsidRPr="00CF4A13">
        <w:rPr>
          <w:sz w:val="24"/>
          <w:szCs w:val="24"/>
        </w:rPr>
        <w:t>ST</w:t>
      </w:r>
      <w:r w:rsidR="00451E80" w:rsidRPr="00CF4A13">
        <w:rPr>
          <w:sz w:val="24"/>
          <w:szCs w:val="24"/>
        </w:rPr>
        <w:t xml:space="preserve"> #</w:t>
      </w:r>
      <w:r w:rsidR="00FC6CEC" w:rsidRPr="00CF4A13">
        <w:rPr>
          <w:sz w:val="24"/>
          <w:szCs w:val="24"/>
        </w:rPr>
        <w:t>2138</w:t>
      </w:r>
      <w:r w:rsidR="00C50DB8" w:rsidRPr="00CF4A13">
        <w:rPr>
          <w:sz w:val="24"/>
          <w:szCs w:val="24"/>
        </w:rPr>
        <w:t xml:space="preserve"> - </w:t>
      </w:r>
      <w:r w:rsidR="00451E80" w:rsidRPr="00CF4A13">
        <w:rPr>
          <w:sz w:val="24"/>
          <w:szCs w:val="24"/>
        </w:rPr>
        <w:t>dilution 1:</w:t>
      </w:r>
      <w:r w:rsidR="00FC6CEC" w:rsidRPr="00CF4A13">
        <w:rPr>
          <w:sz w:val="24"/>
          <w:szCs w:val="24"/>
        </w:rPr>
        <w:t>1000</w:t>
      </w:r>
      <w:r w:rsidR="008F2AC2" w:rsidRPr="00CF4A13">
        <w:rPr>
          <w:sz w:val="24"/>
          <w:szCs w:val="24"/>
        </w:rPr>
        <w:t xml:space="preserve">, </w:t>
      </w:r>
      <w:r w:rsidR="00D96A37" w:rsidRPr="00CF4A13">
        <w:rPr>
          <w:sz w:val="24"/>
          <w:szCs w:val="24"/>
        </w:rPr>
        <w:t>c-MYC</w:t>
      </w:r>
      <w:r w:rsidR="00C50DB8" w:rsidRPr="00CF4A13">
        <w:rPr>
          <w:sz w:val="24"/>
          <w:szCs w:val="24"/>
        </w:rPr>
        <w:t xml:space="preserve"> CST #</w:t>
      </w:r>
      <w:r w:rsidR="003C7EC5" w:rsidRPr="00CF4A13">
        <w:rPr>
          <w:sz w:val="24"/>
          <w:szCs w:val="24"/>
        </w:rPr>
        <w:t>18583</w:t>
      </w:r>
      <w:r w:rsidR="00C50DB8" w:rsidRPr="00CF4A13">
        <w:rPr>
          <w:sz w:val="24"/>
          <w:szCs w:val="24"/>
        </w:rPr>
        <w:t xml:space="preserve"> - dilution 1:</w:t>
      </w:r>
      <w:r w:rsidR="00B471E6" w:rsidRPr="00CF4A13">
        <w:rPr>
          <w:sz w:val="24"/>
          <w:szCs w:val="24"/>
        </w:rPr>
        <w:t>500</w:t>
      </w:r>
      <w:r w:rsidR="00C50DB8" w:rsidRPr="00CF4A13">
        <w:rPr>
          <w:sz w:val="24"/>
          <w:szCs w:val="24"/>
        </w:rPr>
        <w:t>,</w:t>
      </w:r>
      <w:r w:rsidR="002030CB" w:rsidRPr="00CF4A13">
        <w:rPr>
          <w:sz w:val="24"/>
          <w:szCs w:val="24"/>
        </w:rPr>
        <w:t xml:space="preserve"> </w:t>
      </w:r>
      <w:r w:rsidR="005A7644" w:rsidRPr="00CF4A13">
        <w:rPr>
          <w:sz w:val="24"/>
          <w:szCs w:val="24"/>
        </w:rPr>
        <w:t>HSL proteintech #</w:t>
      </w:r>
      <w:r w:rsidR="00E465CD" w:rsidRPr="00CF4A13">
        <w:rPr>
          <w:sz w:val="24"/>
          <w:szCs w:val="24"/>
        </w:rPr>
        <w:t>17333-1-AP</w:t>
      </w:r>
      <w:r w:rsidR="005A7644" w:rsidRPr="00CF4A13">
        <w:rPr>
          <w:sz w:val="24"/>
          <w:szCs w:val="24"/>
        </w:rPr>
        <w:t xml:space="preserve"> - dilution 1:</w:t>
      </w:r>
      <w:r w:rsidR="00940061" w:rsidRPr="00CF4A13">
        <w:rPr>
          <w:sz w:val="24"/>
          <w:szCs w:val="24"/>
        </w:rPr>
        <w:t>10</w:t>
      </w:r>
      <w:r w:rsidR="00CC42EA" w:rsidRPr="00CF4A13">
        <w:rPr>
          <w:sz w:val="24"/>
          <w:szCs w:val="24"/>
        </w:rPr>
        <w:t>00</w:t>
      </w:r>
      <w:r w:rsidR="005A7644" w:rsidRPr="00CF4A13">
        <w:rPr>
          <w:sz w:val="24"/>
          <w:szCs w:val="24"/>
        </w:rPr>
        <w:t>,</w:t>
      </w:r>
      <w:r w:rsidR="00CC42EA" w:rsidRPr="00CF4A13">
        <w:rPr>
          <w:sz w:val="24"/>
          <w:szCs w:val="24"/>
        </w:rPr>
        <w:t xml:space="preserve"> ABHD5 </w:t>
      </w:r>
      <w:r w:rsidR="00124A44" w:rsidRPr="00CF4A13">
        <w:rPr>
          <w:sz w:val="24"/>
          <w:szCs w:val="24"/>
        </w:rPr>
        <w:t>bio</w:t>
      </w:r>
      <w:r w:rsidR="00A03386" w:rsidRPr="00CF4A13">
        <w:rPr>
          <w:sz w:val="24"/>
          <w:szCs w:val="24"/>
        </w:rPr>
        <w:t>-</w:t>
      </w:r>
      <w:r w:rsidR="00124A44" w:rsidRPr="00CF4A13">
        <w:rPr>
          <w:sz w:val="24"/>
          <w:szCs w:val="24"/>
        </w:rPr>
        <w:t>techne</w:t>
      </w:r>
      <w:r w:rsidR="00CC42EA" w:rsidRPr="00CF4A13">
        <w:rPr>
          <w:sz w:val="24"/>
          <w:szCs w:val="24"/>
        </w:rPr>
        <w:t xml:space="preserve"> #</w:t>
      </w:r>
      <w:r w:rsidR="00A03386" w:rsidRPr="00CF4A13">
        <w:rPr>
          <w:sz w:val="24"/>
          <w:szCs w:val="24"/>
        </w:rPr>
        <w:t>NB110-41576H</w:t>
      </w:r>
      <w:r w:rsidR="00CC42EA" w:rsidRPr="00CF4A13">
        <w:rPr>
          <w:sz w:val="24"/>
          <w:szCs w:val="24"/>
        </w:rPr>
        <w:t xml:space="preserve"> - dilution 1:</w:t>
      </w:r>
      <w:r w:rsidR="002A27D0" w:rsidRPr="00CF4A13">
        <w:rPr>
          <w:sz w:val="24"/>
          <w:szCs w:val="24"/>
        </w:rPr>
        <w:t>10</w:t>
      </w:r>
      <w:r w:rsidR="00CC42EA" w:rsidRPr="00CF4A13">
        <w:rPr>
          <w:sz w:val="24"/>
          <w:szCs w:val="24"/>
        </w:rPr>
        <w:t>00,</w:t>
      </w:r>
      <w:r w:rsidR="00836F89" w:rsidRPr="00CF4A13">
        <w:rPr>
          <w:sz w:val="24"/>
          <w:szCs w:val="24"/>
        </w:rPr>
        <w:t xml:space="preserve"> p-AKT CST</w:t>
      </w:r>
      <w:r w:rsidR="002A27D0" w:rsidRPr="00CF4A13">
        <w:rPr>
          <w:sz w:val="24"/>
          <w:szCs w:val="24"/>
        </w:rPr>
        <w:t xml:space="preserve"> </w:t>
      </w:r>
      <w:r w:rsidR="00836F89" w:rsidRPr="00CF4A13">
        <w:rPr>
          <w:sz w:val="24"/>
          <w:szCs w:val="24"/>
        </w:rPr>
        <w:t>#</w:t>
      </w:r>
      <w:r w:rsidR="002A27D0" w:rsidRPr="00CF4A13">
        <w:rPr>
          <w:sz w:val="24"/>
          <w:szCs w:val="24"/>
        </w:rPr>
        <w:t>9271</w:t>
      </w:r>
      <w:r w:rsidR="00F876B0" w:rsidRPr="00CF4A13">
        <w:rPr>
          <w:sz w:val="24"/>
          <w:szCs w:val="24"/>
        </w:rPr>
        <w:t>, PSMA</w:t>
      </w:r>
      <w:r w:rsidR="00A57904" w:rsidRPr="00CF4A13">
        <w:rPr>
          <w:sz w:val="24"/>
          <w:szCs w:val="24"/>
        </w:rPr>
        <w:t xml:space="preserve"> </w:t>
      </w:r>
      <w:r w:rsidR="00E67D6B" w:rsidRPr="00CF4A13">
        <w:rPr>
          <w:sz w:val="24"/>
          <w:szCs w:val="24"/>
        </w:rPr>
        <w:t xml:space="preserve">CST #12815 - </w:t>
      </w:r>
      <w:r w:rsidR="00A57904" w:rsidRPr="00CF4A13">
        <w:rPr>
          <w:sz w:val="24"/>
          <w:szCs w:val="24"/>
        </w:rPr>
        <w:t>dilution 1:1000</w:t>
      </w:r>
      <w:r w:rsidR="00062E44">
        <w:rPr>
          <w:sz w:val="24"/>
          <w:szCs w:val="24"/>
        </w:rPr>
        <w:t xml:space="preserve">, PTEN </w:t>
      </w:r>
      <w:r w:rsidR="00FB3A76">
        <w:rPr>
          <w:sz w:val="24"/>
          <w:szCs w:val="24"/>
        </w:rPr>
        <w:t>CST #9559</w:t>
      </w:r>
      <w:r w:rsidR="00B52832">
        <w:rPr>
          <w:sz w:val="24"/>
          <w:szCs w:val="24"/>
        </w:rPr>
        <w:t xml:space="preserve"> – dilution 1:1000, </w:t>
      </w:r>
      <w:r w:rsidR="00761FA5" w:rsidRPr="00761FA5">
        <w:rPr>
          <w:sz w:val="24"/>
          <w:szCs w:val="24"/>
        </w:rPr>
        <w:t>ß-ACTIN</w:t>
      </w:r>
      <w:r w:rsidR="00761FA5">
        <w:rPr>
          <w:sz w:val="24"/>
          <w:szCs w:val="24"/>
        </w:rPr>
        <w:t xml:space="preserve"> proteintech </w:t>
      </w:r>
      <w:r w:rsidR="000D5B2D" w:rsidRPr="000D5B2D">
        <w:rPr>
          <w:sz w:val="24"/>
          <w:szCs w:val="24"/>
        </w:rPr>
        <w:t>#66009-1-Ig</w:t>
      </w:r>
      <w:r w:rsidR="000D5B2D">
        <w:rPr>
          <w:sz w:val="24"/>
          <w:szCs w:val="24"/>
        </w:rPr>
        <w:t xml:space="preserve"> – dilution 1:</w:t>
      </w:r>
      <w:r w:rsidR="00DD45E5">
        <w:rPr>
          <w:sz w:val="24"/>
          <w:szCs w:val="24"/>
        </w:rPr>
        <w:t>5</w:t>
      </w:r>
      <w:r w:rsidR="000D5B2D">
        <w:rPr>
          <w:sz w:val="24"/>
          <w:szCs w:val="24"/>
        </w:rPr>
        <w:t>000,</w:t>
      </w:r>
      <w:r w:rsidR="00DD45E5">
        <w:rPr>
          <w:sz w:val="24"/>
          <w:szCs w:val="24"/>
        </w:rPr>
        <w:t xml:space="preserve"> </w:t>
      </w:r>
      <w:r w:rsidR="00DD45E5" w:rsidRPr="00844795">
        <w:rPr>
          <w:sz w:val="24"/>
          <w:szCs w:val="24"/>
        </w:rPr>
        <w:t xml:space="preserve">GAPDH </w:t>
      </w:r>
      <w:r w:rsidR="00DA300C" w:rsidRPr="00844795">
        <w:rPr>
          <w:sz w:val="24"/>
          <w:szCs w:val="24"/>
        </w:rPr>
        <w:t>.</w:t>
      </w:r>
      <w:r w:rsidR="00844795">
        <w:rPr>
          <w:sz w:val="24"/>
          <w:szCs w:val="24"/>
        </w:rPr>
        <w:t>CST #97166.</w:t>
      </w:r>
      <w:r w:rsidR="000D5B2D">
        <w:rPr>
          <w:sz w:val="24"/>
          <w:szCs w:val="24"/>
        </w:rPr>
        <w:t xml:space="preserve"> </w:t>
      </w:r>
    </w:p>
    <w:p w14:paraId="01FBA4B0" w14:textId="77777777" w:rsidR="00463377" w:rsidRPr="00463377" w:rsidRDefault="004F3355" w:rsidP="00CC42EA">
      <w:pPr>
        <w:rPr>
          <w:i/>
          <w:iCs/>
          <w:sz w:val="24"/>
          <w:szCs w:val="24"/>
        </w:rPr>
      </w:pPr>
      <w:r w:rsidRPr="00463377">
        <w:rPr>
          <w:i/>
          <w:iCs/>
          <w:sz w:val="24"/>
          <w:szCs w:val="24"/>
        </w:rPr>
        <w:t>Secondary antibodies used:</w:t>
      </w:r>
    </w:p>
    <w:p w14:paraId="340D7B33" w14:textId="05394AEA" w:rsidR="004F3355" w:rsidRDefault="00FA23DF" w:rsidP="00CC42EA">
      <w:pPr>
        <w:rPr>
          <w:sz w:val="24"/>
          <w:szCs w:val="24"/>
        </w:rPr>
      </w:pPr>
      <w:r w:rsidRPr="00CF4A13">
        <w:rPr>
          <w:sz w:val="24"/>
          <w:szCs w:val="24"/>
        </w:rPr>
        <w:t>Peroxidase AffiniPure™ Rabbit Anti-Mouse IgG, Fcγ fragment specific (</w:t>
      </w:r>
      <w:r w:rsidR="00214837" w:rsidRPr="00CF4A13">
        <w:rPr>
          <w:sz w:val="24"/>
          <w:szCs w:val="24"/>
        </w:rPr>
        <w:t>JacksonimmunoResearch #315–035-008</w:t>
      </w:r>
      <w:r w:rsidRPr="00CF4A13">
        <w:rPr>
          <w:sz w:val="24"/>
          <w:szCs w:val="24"/>
        </w:rPr>
        <w:t>)</w:t>
      </w:r>
      <w:r w:rsidR="00214837" w:rsidRPr="00CF4A13">
        <w:rPr>
          <w:sz w:val="24"/>
          <w:szCs w:val="24"/>
        </w:rPr>
        <w:t>, Peroxidase AffiniPure™ F(ab′)₂ Fragment Goat Anti-Rabbit IgG, F(ab′)₂ fragment specific (JacksonimmunoResearch #</w:t>
      </w:r>
      <w:r w:rsidR="00B03478" w:rsidRPr="00CF4A13">
        <w:rPr>
          <w:rFonts w:cs="Open Sans"/>
          <w:color w:val="000000"/>
          <w:sz w:val="24"/>
          <w:szCs w:val="24"/>
          <w:shd w:val="clear" w:color="auto" w:fill="FFFFFF"/>
        </w:rPr>
        <w:t>111-036-047</w:t>
      </w:r>
      <w:r w:rsidR="00214837" w:rsidRPr="00CF4A13">
        <w:rPr>
          <w:sz w:val="24"/>
          <w:szCs w:val="24"/>
        </w:rPr>
        <w:t>)</w:t>
      </w:r>
    </w:p>
    <w:p w14:paraId="772FD613" w14:textId="77777777" w:rsidR="00C05E4C" w:rsidRDefault="00C05E4C">
      <w:pPr>
        <w:rPr>
          <w:i/>
          <w:iCs/>
          <w:sz w:val="24"/>
          <w:szCs w:val="24"/>
          <w:u w:val="single"/>
        </w:rPr>
      </w:pPr>
      <w:r>
        <w:rPr>
          <w:i/>
          <w:iCs/>
          <w:sz w:val="24"/>
          <w:szCs w:val="24"/>
          <w:u w:val="single"/>
        </w:rPr>
        <w:br w:type="page"/>
      </w:r>
    </w:p>
    <w:p w14:paraId="4FBD0AE0" w14:textId="5CD51FBF" w:rsidR="00AA2DC5" w:rsidRPr="00AA2DC5" w:rsidRDefault="00AA2DC5" w:rsidP="00CC42EA">
      <w:pPr>
        <w:rPr>
          <w:i/>
          <w:iCs/>
          <w:sz w:val="24"/>
          <w:szCs w:val="24"/>
          <w:u w:val="single"/>
        </w:rPr>
      </w:pPr>
      <w:r w:rsidRPr="00AA2DC5">
        <w:rPr>
          <w:i/>
          <w:iCs/>
          <w:sz w:val="24"/>
          <w:szCs w:val="24"/>
          <w:u w:val="single"/>
        </w:rPr>
        <w:lastRenderedPageBreak/>
        <w:t>References</w:t>
      </w:r>
    </w:p>
    <w:p w14:paraId="51776432" w14:textId="77777777" w:rsidR="009E0048" w:rsidRPr="009E0048" w:rsidRDefault="00AA2DC5" w:rsidP="009E0048">
      <w:pPr>
        <w:pStyle w:val="Literaturverzeichnis"/>
        <w:rPr>
          <w:rFonts w:ascii="Aptos" w:hAnsi="Aptos"/>
          <w:sz w:val="24"/>
          <w:lang w:val="en-GB"/>
        </w:rPr>
      </w:pPr>
      <w:r>
        <w:rPr>
          <w:sz w:val="24"/>
          <w:szCs w:val="24"/>
        </w:rPr>
        <w:fldChar w:fldCharType="begin"/>
      </w:r>
      <w:r>
        <w:rPr>
          <w:sz w:val="24"/>
          <w:szCs w:val="24"/>
        </w:rPr>
        <w:instrText xml:space="preserve"> ADDIN ZOTERO_BIBL {"uncited":[],"omitted":[],"custom":[]} CSL_BIBLIOGRAPHY </w:instrText>
      </w:r>
      <w:r>
        <w:rPr>
          <w:sz w:val="24"/>
          <w:szCs w:val="24"/>
        </w:rPr>
        <w:fldChar w:fldCharType="separate"/>
      </w:r>
      <w:r w:rsidR="009E0048" w:rsidRPr="009E0048">
        <w:rPr>
          <w:rFonts w:ascii="Aptos" w:hAnsi="Aptos"/>
          <w:sz w:val="24"/>
          <w:lang w:val="en-GB"/>
        </w:rPr>
        <w:t>[1]</w:t>
      </w:r>
      <w:r w:rsidR="009E0048" w:rsidRPr="009E0048">
        <w:rPr>
          <w:rFonts w:ascii="Aptos" w:hAnsi="Aptos"/>
          <w:sz w:val="24"/>
          <w:lang w:val="en-GB"/>
        </w:rPr>
        <w:tab/>
        <w:t>Wiśniewski JR, Ostasiewicz P, Mann M. High Recovery FASP Applied to the Proteomic Analysis of Microdissected Formalin Fixed Paraffin Embedded Cancer Tissues Retrieves Known Colon Cancer Markers. J Proteome Res 2011;10:3040–9. https://doi.org/10.1021/pr200019m.</w:t>
      </w:r>
    </w:p>
    <w:p w14:paraId="6C4BC04E" w14:textId="77777777" w:rsidR="009E0048" w:rsidRPr="009E0048" w:rsidRDefault="009E0048" w:rsidP="009E0048">
      <w:pPr>
        <w:pStyle w:val="Literaturverzeichnis"/>
        <w:rPr>
          <w:rFonts w:ascii="Aptos" w:hAnsi="Aptos"/>
          <w:sz w:val="24"/>
          <w:lang w:val="en-GB"/>
        </w:rPr>
      </w:pPr>
      <w:r w:rsidRPr="009E0048">
        <w:rPr>
          <w:rFonts w:ascii="Aptos" w:hAnsi="Aptos"/>
          <w:sz w:val="24"/>
          <w:lang w:val="en-GB"/>
        </w:rPr>
        <w:t>[2]</w:t>
      </w:r>
      <w:r w:rsidRPr="009E0048">
        <w:rPr>
          <w:rFonts w:ascii="Aptos" w:hAnsi="Aptos"/>
          <w:sz w:val="24"/>
          <w:lang w:val="en-GB"/>
        </w:rPr>
        <w:tab/>
        <w:t>Rappsilber J, Mann M, Ishihama Y. Protocol for micro-purification, enrichment, pre-fractionation and storage of peptides for proteomics using StageTips. Nat Protoc 2007;2:1896–906. https://doi.org/10.1038/nprot.2007.261.</w:t>
      </w:r>
    </w:p>
    <w:p w14:paraId="311D70FD" w14:textId="77777777" w:rsidR="009E0048" w:rsidRPr="009E0048" w:rsidRDefault="009E0048" w:rsidP="009E0048">
      <w:pPr>
        <w:pStyle w:val="Literaturverzeichnis"/>
        <w:rPr>
          <w:rFonts w:ascii="Aptos" w:hAnsi="Aptos"/>
          <w:sz w:val="24"/>
          <w:lang w:val="en-GB"/>
        </w:rPr>
      </w:pPr>
      <w:r w:rsidRPr="009E0048">
        <w:rPr>
          <w:rFonts w:ascii="Aptos" w:hAnsi="Aptos"/>
          <w:sz w:val="24"/>
          <w:lang w:val="en-GB"/>
        </w:rPr>
        <w:t>[3]</w:t>
      </w:r>
      <w:r w:rsidRPr="009E0048">
        <w:rPr>
          <w:rFonts w:ascii="Aptos" w:hAnsi="Aptos"/>
          <w:sz w:val="24"/>
          <w:lang w:val="en-GB"/>
        </w:rPr>
        <w:tab/>
        <w:t>Tyanova S, Temu T, Cox J. The MaxQuant computational platform for mass spectrometry-based shotgun proteomics. Nat Protoc 2016;11:2301–19. https://doi.org/10.1038/nprot.2016.136.</w:t>
      </w:r>
    </w:p>
    <w:p w14:paraId="51846F1A" w14:textId="77777777" w:rsidR="009E0048" w:rsidRPr="009E0048" w:rsidRDefault="009E0048" w:rsidP="009E0048">
      <w:pPr>
        <w:pStyle w:val="Literaturverzeichnis"/>
        <w:rPr>
          <w:rFonts w:ascii="Aptos" w:hAnsi="Aptos"/>
          <w:sz w:val="24"/>
          <w:lang w:val="en-GB"/>
        </w:rPr>
      </w:pPr>
      <w:r w:rsidRPr="009E0048">
        <w:rPr>
          <w:rFonts w:ascii="Aptos" w:hAnsi="Aptos"/>
          <w:sz w:val="24"/>
          <w:lang w:val="en-GB"/>
        </w:rPr>
        <w:t>[4]</w:t>
      </w:r>
      <w:r w:rsidRPr="009E0048">
        <w:rPr>
          <w:rFonts w:ascii="Aptos" w:hAnsi="Aptos"/>
          <w:sz w:val="24"/>
          <w:lang w:val="en-GB"/>
        </w:rPr>
        <w:tab/>
        <w:t>Klughammer J, Datlinger P, Printz D, Sheffield NC, Farlik M, Hadler J, et al. Differential DNA Methylation Analysis without a Reference Genome. Cell Rep 2015;13:2621–33. https://doi.org/10.1016/j.celrep.2015.11.024.</w:t>
      </w:r>
    </w:p>
    <w:p w14:paraId="60A72670" w14:textId="77777777" w:rsidR="009E0048" w:rsidRPr="009E0048" w:rsidRDefault="009E0048" w:rsidP="009E0048">
      <w:pPr>
        <w:pStyle w:val="Literaturverzeichnis"/>
        <w:rPr>
          <w:rFonts w:ascii="Aptos" w:hAnsi="Aptos"/>
          <w:sz w:val="24"/>
          <w:lang w:val="en-GB"/>
        </w:rPr>
      </w:pPr>
      <w:r w:rsidRPr="009E0048">
        <w:rPr>
          <w:rFonts w:ascii="Aptos" w:hAnsi="Aptos"/>
          <w:sz w:val="24"/>
          <w:lang w:val="en-GB"/>
        </w:rPr>
        <w:t>[5]</w:t>
      </w:r>
      <w:r w:rsidRPr="009E0048">
        <w:rPr>
          <w:rFonts w:ascii="Aptos" w:hAnsi="Aptos"/>
          <w:sz w:val="24"/>
          <w:lang w:val="en-GB"/>
        </w:rPr>
        <w:tab/>
        <w:t>Bolger AM, Lohse M, Usadel B. Trimmomatic: a flexible trimmer for Illumina sequence data. Bioinformatics 2014;30:2114–20. https://doi.org/10.1093/bioinformatics/btu170.</w:t>
      </w:r>
    </w:p>
    <w:p w14:paraId="077A8968" w14:textId="77777777" w:rsidR="009E0048" w:rsidRPr="009E0048" w:rsidRDefault="009E0048" w:rsidP="009E0048">
      <w:pPr>
        <w:pStyle w:val="Literaturverzeichnis"/>
        <w:rPr>
          <w:rFonts w:ascii="Aptos" w:hAnsi="Aptos"/>
          <w:sz w:val="24"/>
          <w:lang w:val="en-GB"/>
        </w:rPr>
      </w:pPr>
      <w:r w:rsidRPr="009E0048">
        <w:rPr>
          <w:rFonts w:ascii="Aptos" w:hAnsi="Aptos"/>
          <w:sz w:val="24"/>
          <w:lang w:val="en-GB"/>
        </w:rPr>
        <w:t>[6]</w:t>
      </w:r>
      <w:r w:rsidRPr="009E0048">
        <w:rPr>
          <w:rFonts w:ascii="Aptos" w:hAnsi="Aptos"/>
          <w:sz w:val="24"/>
          <w:lang w:val="en-GB"/>
        </w:rPr>
        <w:tab/>
        <w:t>Krueger F, Andrews SR. Bismark: a flexible aligner and methylation caller for Bisulfite-Seq applications. Bioinforma Oxf Engl 2011;27:1571–2. https://doi.org/10.1093/bioinformatics/btr167.</w:t>
      </w:r>
    </w:p>
    <w:p w14:paraId="482BB00C" w14:textId="0C136B70" w:rsidR="00AA2DC5" w:rsidRPr="00CF4A13" w:rsidRDefault="00AA2DC5" w:rsidP="00CC42EA">
      <w:pPr>
        <w:rPr>
          <w:sz w:val="24"/>
          <w:szCs w:val="24"/>
        </w:rPr>
      </w:pPr>
      <w:r>
        <w:rPr>
          <w:sz w:val="24"/>
          <w:szCs w:val="24"/>
        </w:rPr>
        <w:fldChar w:fldCharType="end"/>
      </w:r>
    </w:p>
    <w:p w14:paraId="6CF3BD78" w14:textId="1171AA68" w:rsidR="005A7644" w:rsidRPr="00CF4A13" w:rsidRDefault="005A7644" w:rsidP="005A7644">
      <w:pPr>
        <w:rPr>
          <w:sz w:val="24"/>
          <w:szCs w:val="24"/>
        </w:rPr>
      </w:pPr>
      <w:r w:rsidRPr="00CF4A13">
        <w:rPr>
          <w:sz w:val="24"/>
          <w:szCs w:val="24"/>
        </w:rPr>
        <w:t xml:space="preserve"> </w:t>
      </w:r>
    </w:p>
    <w:p w14:paraId="1A2F9B49" w14:textId="5DB89908" w:rsidR="00AF2D66" w:rsidRPr="00CF4A13" w:rsidRDefault="00AF2D66" w:rsidP="00AF2D66">
      <w:pPr>
        <w:rPr>
          <w:sz w:val="24"/>
          <w:szCs w:val="24"/>
        </w:rPr>
      </w:pPr>
    </w:p>
    <w:p w14:paraId="33E02335" w14:textId="77777777" w:rsidR="00957A99" w:rsidRPr="00CF4A13" w:rsidRDefault="00957A99" w:rsidP="00957A99">
      <w:pPr>
        <w:rPr>
          <w:sz w:val="24"/>
          <w:szCs w:val="24"/>
          <w:lang w:val="en-US"/>
        </w:rPr>
      </w:pPr>
    </w:p>
    <w:p w14:paraId="58C3ADB3" w14:textId="77777777" w:rsidR="00957A99" w:rsidRPr="00CF4A13" w:rsidRDefault="00957A99" w:rsidP="00957A99">
      <w:pPr>
        <w:rPr>
          <w:sz w:val="24"/>
          <w:szCs w:val="24"/>
          <w:lang w:val="en-US"/>
        </w:rPr>
      </w:pPr>
    </w:p>
    <w:sectPr w:rsidR="00957A99" w:rsidRPr="00CF4A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2AE"/>
    <w:rsid w:val="000272AC"/>
    <w:rsid w:val="0005047A"/>
    <w:rsid w:val="00052B3C"/>
    <w:rsid w:val="00062E44"/>
    <w:rsid w:val="000D5B2D"/>
    <w:rsid w:val="00124A44"/>
    <w:rsid w:val="00133F1B"/>
    <w:rsid w:val="001D1FD3"/>
    <w:rsid w:val="001D24FE"/>
    <w:rsid w:val="001F5EFC"/>
    <w:rsid w:val="002030CB"/>
    <w:rsid w:val="00214837"/>
    <w:rsid w:val="002161AD"/>
    <w:rsid w:val="00221877"/>
    <w:rsid w:val="002669F2"/>
    <w:rsid w:val="002A27D0"/>
    <w:rsid w:val="002B2576"/>
    <w:rsid w:val="002E5F52"/>
    <w:rsid w:val="00312986"/>
    <w:rsid w:val="00385CDD"/>
    <w:rsid w:val="00386DFC"/>
    <w:rsid w:val="003C4612"/>
    <w:rsid w:val="003C7EC5"/>
    <w:rsid w:val="003D29D9"/>
    <w:rsid w:val="00451E80"/>
    <w:rsid w:val="00463377"/>
    <w:rsid w:val="00472973"/>
    <w:rsid w:val="00480642"/>
    <w:rsid w:val="004973CB"/>
    <w:rsid w:val="004E04AB"/>
    <w:rsid w:val="004F3355"/>
    <w:rsid w:val="00505792"/>
    <w:rsid w:val="0053073A"/>
    <w:rsid w:val="00531BBB"/>
    <w:rsid w:val="00537D7E"/>
    <w:rsid w:val="005867C5"/>
    <w:rsid w:val="005A043F"/>
    <w:rsid w:val="005A7644"/>
    <w:rsid w:val="005B099B"/>
    <w:rsid w:val="005C5F18"/>
    <w:rsid w:val="005D03F0"/>
    <w:rsid w:val="00613A4E"/>
    <w:rsid w:val="006278D0"/>
    <w:rsid w:val="00665F32"/>
    <w:rsid w:val="006835B2"/>
    <w:rsid w:val="00695C24"/>
    <w:rsid w:val="006C5771"/>
    <w:rsid w:val="006D07BB"/>
    <w:rsid w:val="007022AE"/>
    <w:rsid w:val="00727AEF"/>
    <w:rsid w:val="007306D2"/>
    <w:rsid w:val="00736756"/>
    <w:rsid w:val="0075320D"/>
    <w:rsid w:val="00761FA5"/>
    <w:rsid w:val="007B24B8"/>
    <w:rsid w:val="007B3F20"/>
    <w:rsid w:val="007D6C82"/>
    <w:rsid w:val="0080675B"/>
    <w:rsid w:val="00812B4E"/>
    <w:rsid w:val="008271EF"/>
    <w:rsid w:val="00836F89"/>
    <w:rsid w:val="00844795"/>
    <w:rsid w:val="008604EF"/>
    <w:rsid w:val="008631DB"/>
    <w:rsid w:val="00867434"/>
    <w:rsid w:val="0086781F"/>
    <w:rsid w:val="008C3FB8"/>
    <w:rsid w:val="008D79F8"/>
    <w:rsid w:val="008E193D"/>
    <w:rsid w:val="008F2AC2"/>
    <w:rsid w:val="009121CA"/>
    <w:rsid w:val="00940061"/>
    <w:rsid w:val="00957A99"/>
    <w:rsid w:val="00973E3F"/>
    <w:rsid w:val="00974C6A"/>
    <w:rsid w:val="009800ED"/>
    <w:rsid w:val="009E0048"/>
    <w:rsid w:val="009E1D61"/>
    <w:rsid w:val="009F211E"/>
    <w:rsid w:val="009F65BC"/>
    <w:rsid w:val="00A03386"/>
    <w:rsid w:val="00A24905"/>
    <w:rsid w:val="00A53FE4"/>
    <w:rsid w:val="00A551F9"/>
    <w:rsid w:val="00A57904"/>
    <w:rsid w:val="00A762E1"/>
    <w:rsid w:val="00A90A97"/>
    <w:rsid w:val="00AA2DC5"/>
    <w:rsid w:val="00AE0843"/>
    <w:rsid w:val="00AF2D66"/>
    <w:rsid w:val="00B03478"/>
    <w:rsid w:val="00B138DA"/>
    <w:rsid w:val="00B471E6"/>
    <w:rsid w:val="00B52832"/>
    <w:rsid w:val="00B8213F"/>
    <w:rsid w:val="00C05E4C"/>
    <w:rsid w:val="00C164CA"/>
    <w:rsid w:val="00C40C54"/>
    <w:rsid w:val="00C50DB8"/>
    <w:rsid w:val="00C60EF0"/>
    <w:rsid w:val="00CC42EA"/>
    <w:rsid w:val="00CE12DF"/>
    <w:rsid w:val="00CF4A13"/>
    <w:rsid w:val="00CF61C7"/>
    <w:rsid w:val="00D630D1"/>
    <w:rsid w:val="00D96A37"/>
    <w:rsid w:val="00DA300C"/>
    <w:rsid w:val="00DC4D76"/>
    <w:rsid w:val="00DD45E5"/>
    <w:rsid w:val="00DF2B62"/>
    <w:rsid w:val="00DF3B86"/>
    <w:rsid w:val="00E465CD"/>
    <w:rsid w:val="00E47B14"/>
    <w:rsid w:val="00E56BF7"/>
    <w:rsid w:val="00E67D6B"/>
    <w:rsid w:val="00EA7356"/>
    <w:rsid w:val="00EB645A"/>
    <w:rsid w:val="00EE2CC7"/>
    <w:rsid w:val="00EF35AB"/>
    <w:rsid w:val="00F63DFF"/>
    <w:rsid w:val="00F73E0B"/>
    <w:rsid w:val="00F876B0"/>
    <w:rsid w:val="00FA23DF"/>
    <w:rsid w:val="00FA637C"/>
    <w:rsid w:val="00FB28CE"/>
    <w:rsid w:val="00FB3A76"/>
    <w:rsid w:val="00FB7936"/>
    <w:rsid w:val="00FC6CEC"/>
    <w:rsid w:val="00FF6CE0"/>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BC7AF"/>
  <w15:chartTrackingRefBased/>
  <w15:docId w15:val="{0956E29A-04A6-4799-9215-867B57339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02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02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022A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022A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022A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022A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022A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022A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022A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022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022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022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022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022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022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022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022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022AE"/>
    <w:rPr>
      <w:rFonts w:eastAsiaTheme="majorEastAsia" w:cstheme="majorBidi"/>
      <w:color w:val="272727" w:themeColor="text1" w:themeTint="D8"/>
    </w:rPr>
  </w:style>
  <w:style w:type="paragraph" w:styleId="Titel">
    <w:name w:val="Title"/>
    <w:basedOn w:val="Standard"/>
    <w:next w:val="Standard"/>
    <w:link w:val="TitelZchn"/>
    <w:uiPriority w:val="10"/>
    <w:qFormat/>
    <w:rsid w:val="007022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022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022A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022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022A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022AE"/>
    <w:rPr>
      <w:i/>
      <w:iCs/>
      <w:color w:val="404040" w:themeColor="text1" w:themeTint="BF"/>
    </w:rPr>
  </w:style>
  <w:style w:type="paragraph" w:styleId="Listenabsatz">
    <w:name w:val="List Paragraph"/>
    <w:basedOn w:val="Standard"/>
    <w:uiPriority w:val="34"/>
    <w:qFormat/>
    <w:rsid w:val="007022AE"/>
    <w:pPr>
      <w:ind w:left="720"/>
      <w:contextualSpacing/>
    </w:pPr>
  </w:style>
  <w:style w:type="character" w:styleId="IntensiveHervorhebung">
    <w:name w:val="Intense Emphasis"/>
    <w:basedOn w:val="Absatz-Standardschriftart"/>
    <w:uiPriority w:val="21"/>
    <w:qFormat/>
    <w:rsid w:val="007022AE"/>
    <w:rPr>
      <w:i/>
      <w:iCs/>
      <w:color w:val="0F4761" w:themeColor="accent1" w:themeShade="BF"/>
    </w:rPr>
  </w:style>
  <w:style w:type="paragraph" w:styleId="IntensivesZitat">
    <w:name w:val="Intense Quote"/>
    <w:basedOn w:val="Standard"/>
    <w:next w:val="Standard"/>
    <w:link w:val="IntensivesZitatZchn"/>
    <w:uiPriority w:val="30"/>
    <w:qFormat/>
    <w:rsid w:val="00702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022AE"/>
    <w:rPr>
      <w:i/>
      <w:iCs/>
      <w:color w:val="0F4761" w:themeColor="accent1" w:themeShade="BF"/>
    </w:rPr>
  </w:style>
  <w:style w:type="character" w:styleId="IntensiverVerweis">
    <w:name w:val="Intense Reference"/>
    <w:basedOn w:val="Absatz-Standardschriftart"/>
    <w:uiPriority w:val="32"/>
    <w:qFormat/>
    <w:rsid w:val="007022AE"/>
    <w:rPr>
      <w:b/>
      <w:bCs/>
      <w:smallCaps/>
      <w:color w:val="0F4761" w:themeColor="accent1" w:themeShade="BF"/>
      <w:spacing w:val="5"/>
    </w:rPr>
  </w:style>
  <w:style w:type="paragraph" w:styleId="Beschriftung">
    <w:name w:val="caption"/>
    <w:basedOn w:val="Standard"/>
    <w:next w:val="Standard"/>
    <w:uiPriority w:val="35"/>
    <w:unhideWhenUsed/>
    <w:qFormat/>
    <w:rsid w:val="009800ED"/>
    <w:pPr>
      <w:spacing w:after="200" w:line="240" w:lineRule="auto"/>
    </w:pPr>
    <w:rPr>
      <w:i/>
      <w:iCs/>
      <w:color w:val="0E2841" w:themeColor="text2"/>
      <w:sz w:val="18"/>
      <w:szCs w:val="18"/>
    </w:rPr>
  </w:style>
  <w:style w:type="paragraph" w:styleId="Literaturverzeichnis">
    <w:name w:val="Bibliography"/>
    <w:basedOn w:val="Standard"/>
    <w:next w:val="Standard"/>
    <w:uiPriority w:val="37"/>
    <w:unhideWhenUsed/>
    <w:rsid w:val="00AA2DC5"/>
    <w:pPr>
      <w:tabs>
        <w:tab w:val="left" w:pos="384"/>
      </w:tabs>
      <w:spacing w:after="0" w:line="240" w:lineRule="auto"/>
      <w:ind w:left="384" w:hanging="384"/>
    </w:pPr>
  </w:style>
  <w:style w:type="character" w:styleId="Hyperlink">
    <w:name w:val="Hyperlink"/>
    <w:basedOn w:val="Absatz-Standardschriftart"/>
    <w:uiPriority w:val="99"/>
    <w:unhideWhenUsed/>
    <w:rsid w:val="008631DB"/>
    <w:rPr>
      <w:color w:val="467886" w:themeColor="hyperlink"/>
      <w:u w:val="single"/>
    </w:rPr>
  </w:style>
  <w:style w:type="character" w:styleId="NichtaufgelsteErwhnung">
    <w:name w:val="Unresolved Mention"/>
    <w:basedOn w:val="Absatz-Standardschriftart"/>
    <w:uiPriority w:val="99"/>
    <w:semiHidden/>
    <w:unhideWhenUsed/>
    <w:rsid w:val="008631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45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3602</Words>
  <Characters>20533</Characters>
  <Application>Microsoft Office Word</Application>
  <DocSecurity>0</DocSecurity>
  <Lines>171</Lines>
  <Paragraphs>48</Paragraphs>
  <ScaleCrop>false</ScaleCrop>
  <Company/>
  <LinksUpToDate>false</LinksUpToDate>
  <CharactersWithSpaces>24087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T</dc:creator>
  <cp:keywords/>
  <dc:description/>
  <cp:lastModifiedBy>Andreas T</cp:lastModifiedBy>
  <cp:revision>122</cp:revision>
  <cp:lastPrinted>2025-08-23T08:19:00Z</cp:lastPrinted>
  <dcterms:created xsi:type="dcterms:W3CDTF">2025-04-12T08:11:00Z</dcterms:created>
  <dcterms:modified xsi:type="dcterms:W3CDTF">2025-08-23T08:19:00Z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id="Vq0Ljs9J"/&gt;&lt;style id="http://www.zotero.org/styles/elsevier-vancouver"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