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43AF" w14:textId="77777777" w:rsidR="00050BB5" w:rsidRDefault="00000000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  <w:r>
        <w:rPr>
          <w:rFonts w:ascii="Arial" w:hAnsi="Arial" w:cs="Arial"/>
          <w:b/>
          <w:bCs/>
          <w:color w:val="000000" w:themeColor="text1"/>
          <w:sz w:val="24"/>
        </w:rPr>
        <w:t>Supplementary figure 1</w:t>
      </w:r>
    </w:p>
    <w:p w14:paraId="26E85D4D" w14:textId="77777777" w:rsidR="00050BB5" w:rsidRDefault="00050BB5" w:rsidP="001E1642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</w:rPr>
      </w:pPr>
    </w:p>
    <w:p w14:paraId="3B502CD0" w14:textId="77777777" w:rsidR="00050BB5" w:rsidRDefault="00000000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  <w:r>
        <w:rPr>
          <w:noProof/>
        </w:rPr>
        <w:drawing>
          <wp:inline distT="0" distB="0" distL="114300" distR="114300" wp14:anchorId="1FD462FA" wp14:editId="31E5D678">
            <wp:extent cx="5271135" cy="4732020"/>
            <wp:effectExtent l="0" t="0" r="12065" b="508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3F93D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180D4C30" w14:textId="77777777" w:rsidR="00050BB5" w:rsidRDefault="00000000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0" w:name="OLE_LINK1"/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Supple Fig 1.</w:t>
      </w:r>
      <w:bookmarkEnd w:id="0"/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The cytotoxicity of GC001 on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colorectal cancer cells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GC001 potently inhibit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ed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cell proliferation in SW620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(A) and HCT116 (B) cells as determined by MTT assay. (C)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GC001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enhance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the ratio of apoptotic cells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as determined by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flow cytometry. (D)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The effect of GC001 on apoptotic pathway elements including caspase-3, Bax, and Bcl-2 as determined by Western blot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The presented data represent a result from at least 3 independent experiments (mean ± SEM, n = 3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*: p&lt;0.05, **: p&lt;0.01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).</w:t>
      </w:r>
    </w:p>
    <w:p w14:paraId="51309BA9" w14:textId="77777777" w:rsidR="00050BB5" w:rsidRDefault="00050BB5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50D09482" w14:textId="77777777" w:rsidR="00050BB5" w:rsidRDefault="00050BB5" w:rsidP="001E1642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6CD66084" w14:textId="77777777" w:rsidR="001E1642" w:rsidRDefault="001E1642" w:rsidP="001E1642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284AECD7" w14:textId="77777777" w:rsidR="001E1642" w:rsidRDefault="001E1642" w:rsidP="001E1642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307C21BA" w14:textId="77777777" w:rsidR="001E1642" w:rsidRDefault="001E1642" w:rsidP="001E1642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6CDE3191" w14:textId="5D6CC2DB" w:rsidR="00050BB5" w:rsidRPr="001E1642" w:rsidRDefault="00000000" w:rsidP="001E1642">
      <w:pPr>
        <w:spacing w:line="360" w:lineRule="auto"/>
        <w:rPr>
          <w:rFonts w:ascii="Arial" w:eastAsia="宋体" w:hAnsi="Arial" w:cs="Arial"/>
          <w:b/>
          <w:bCs/>
          <w:sz w:val="24"/>
          <w:szCs w:val="24"/>
        </w:rPr>
      </w:pPr>
      <w:r w:rsidRPr="001E1642">
        <w:rPr>
          <w:rFonts w:ascii="Arial" w:eastAsia="宋体" w:hAnsi="Arial" w:cs="Arial"/>
          <w:b/>
          <w:bCs/>
          <w:sz w:val="24"/>
          <w:szCs w:val="24"/>
        </w:rPr>
        <w:lastRenderedPageBreak/>
        <w:t>Supplementary figure 2</w:t>
      </w:r>
    </w:p>
    <w:p w14:paraId="2320688F" w14:textId="77777777" w:rsidR="00050BB5" w:rsidRDefault="00050BB5" w:rsidP="001E1642">
      <w:pPr>
        <w:spacing w:line="360" w:lineRule="auto"/>
        <w:rPr>
          <w:rFonts w:ascii="Arial" w:eastAsia="宋体" w:hAnsi="Arial" w:cs="Arial"/>
          <w:b/>
          <w:bCs/>
          <w:color w:val="FF0000"/>
          <w:sz w:val="24"/>
          <w:szCs w:val="24"/>
        </w:rPr>
      </w:pPr>
    </w:p>
    <w:p w14:paraId="2D580A8B" w14:textId="77777777" w:rsidR="00050BB5" w:rsidRDefault="00000000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114300" distR="114300" wp14:anchorId="596179EB" wp14:editId="0B8F1709">
            <wp:extent cx="5029200" cy="2133600"/>
            <wp:effectExtent l="0" t="0" r="1270" b="3810"/>
            <wp:docPr id="1" name="图片 1" descr="附Figure 2 HCT116 GC001+MG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Figure 2 HCT116 GC001+MG1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531C" w14:textId="77777777" w:rsidR="00050BB5" w:rsidRDefault="00050BB5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06162022" w14:textId="572138B3" w:rsidR="00050BB5" w:rsidRPr="001E1642" w:rsidRDefault="00000000" w:rsidP="001E164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1E1642">
        <w:rPr>
          <w:rFonts w:ascii="Times New Roman" w:eastAsia="宋体" w:hAnsi="Times New Roman" w:cs="Times New Roman"/>
          <w:sz w:val="24"/>
          <w:szCs w:val="24"/>
        </w:rPr>
        <w:t>S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>u</w:t>
      </w:r>
      <w:r w:rsidRPr="001E1642">
        <w:rPr>
          <w:rFonts w:ascii="Times New Roman" w:eastAsia="宋体" w:hAnsi="Times New Roman" w:cs="Times New Roman"/>
          <w:sz w:val="24"/>
          <w:szCs w:val="24"/>
        </w:rPr>
        <w:t xml:space="preserve">pple Fig 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2. MG132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inhibited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NRF2 degradation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. Western blot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was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used to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investigate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NRF2 protein levels in HCT116 cells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treated with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PBS, oncoVV, GC001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or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oncoVV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>‑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shSTRIP1#2,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in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combination with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or without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MG132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at 120 </w:t>
      </w:r>
      <w:proofErr w:type="spellStart"/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nM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>.</w:t>
      </w:r>
      <w:proofErr w:type="spellEnd"/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V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iruses were </w:t>
      </w:r>
      <w:r w:rsidR="00E9323C">
        <w:rPr>
          <w:rFonts w:ascii="Times New Roman" w:eastAsia="宋体" w:hAnsi="Times New Roman" w:cs="Times New Roman" w:hint="eastAsia"/>
          <w:sz w:val="24"/>
          <w:szCs w:val="24"/>
        </w:rPr>
        <w:t>administrated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at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1.5 MOI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. GAPDH </w:t>
      </w:r>
      <w:r w:rsidR="001E1642" w:rsidRPr="001E1642">
        <w:rPr>
          <w:rFonts w:ascii="Times New Roman" w:eastAsia="宋体" w:hAnsi="Times New Roman" w:cs="Times New Roman" w:hint="eastAsia"/>
          <w:sz w:val="24"/>
          <w:szCs w:val="24"/>
        </w:rPr>
        <w:t>served as</w:t>
      </w:r>
      <w:r w:rsidRPr="001E1642">
        <w:rPr>
          <w:rFonts w:ascii="Times New Roman" w:eastAsia="宋体" w:hAnsi="Times New Roman" w:cs="Times New Roman" w:hint="eastAsia"/>
          <w:sz w:val="24"/>
          <w:szCs w:val="24"/>
        </w:rPr>
        <w:t xml:space="preserve"> a loading control.</w:t>
      </w:r>
    </w:p>
    <w:p w14:paraId="19DB6C5B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11D894C9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5FF32604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22A7590A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35A5D7AB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2765A3C8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660A4C54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2AC4672C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3FBE4DC9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5EF1859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3C4E26FA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BC23387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9CFE1CE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5340046F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74CB7E3A" w14:textId="77777777" w:rsidR="001E1642" w:rsidRDefault="001E1642" w:rsidP="001E1642">
      <w:pPr>
        <w:spacing w:line="360" w:lineRule="auto"/>
        <w:rPr>
          <w:rFonts w:ascii="Arial" w:hAnsi="Arial" w:cs="Arial"/>
          <w:b/>
          <w:bCs/>
          <w:sz w:val="24"/>
        </w:rPr>
      </w:pPr>
    </w:p>
    <w:p w14:paraId="1F2A6988" w14:textId="4CE7D461" w:rsidR="00050BB5" w:rsidRPr="001E1642" w:rsidRDefault="00000000" w:rsidP="001E1642">
      <w:pPr>
        <w:spacing w:line="360" w:lineRule="auto"/>
        <w:rPr>
          <w:rFonts w:ascii="Arial" w:hAnsi="Arial" w:cs="Arial"/>
          <w:b/>
          <w:bCs/>
          <w:sz w:val="24"/>
        </w:rPr>
      </w:pPr>
      <w:r w:rsidRPr="001E1642">
        <w:rPr>
          <w:rFonts w:ascii="Arial" w:hAnsi="Arial" w:cs="Arial"/>
          <w:b/>
          <w:bCs/>
          <w:sz w:val="24"/>
        </w:rPr>
        <w:lastRenderedPageBreak/>
        <w:t>Supplementary figure 3</w:t>
      </w:r>
    </w:p>
    <w:p w14:paraId="391F4A5E" w14:textId="77777777" w:rsidR="00050BB5" w:rsidRDefault="00050BB5" w:rsidP="001E1642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0074C853" w14:textId="77777777" w:rsidR="00050BB5" w:rsidRDefault="00000000" w:rsidP="001E1642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B736A39" wp14:editId="65BEB7CA">
            <wp:extent cx="4157345" cy="4091305"/>
            <wp:effectExtent l="0" t="0" r="9525" b="0"/>
            <wp:docPr id="183347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47703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883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D945" w14:textId="77777777" w:rsidR="00050BB5" w:rsidRDefault="00000000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pple Fig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3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GC001-induced ROS production was effectively attenuated by NADPH treatment, as determined by flow cytometry. The presented data are representative of at least three independent experiments. NADPH was used at 200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μM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, while GC001 or </w:t>
      </w:r>
      <w:proofErr w:type="spell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oncoVV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were administered at 2MOI.</w:t>
      </w:r>
    </w:p>
    <w:p w14:paraId="7BDCD99F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62959EE2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20FD3EE9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2E633F52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3080FBFD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5F4FF286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1917E1D0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443EA7F4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32BE08BE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02F67701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44401091" w14:textId="77777777" w:rsidR="00050BB5" w:rsidRDefault="00000000" w:rsidP="001E1642">
      <w:pPr>
        <w:spacing w:line="360" w:lineRule="auto"/>
        <w:rPr>
          <w:rFonts w:hint="eastAsia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Supplementary figure </w:t>
      </w:r>
      <w:r>
        <w:rPr>
          <w:rFonts w:ascii="Arial" w:hAnsi="Arial" w:cs="Arial" w:hint="eastAsia"/>
          <w:b/>
          <w:bCs/>
          <w:sz w:val="24"/>
        </w:rPr>
        <w:t>4</w:t>
      </w:r>
    </w:p>
    <w:p w14:paraId="68C87526" w14:textId="77777777" w:rsidR="00050BB5" w:rsidRDefault="00050BB5" w:rsidP="001E1642">
      <w:pPr>
        <w:spacing w:line="360" w:lineRule="auto"/>
        <w:rPr>
          <w:rFonts w:hint="eastAsia"/>
          <w:color w:val="000000" w:themeColor="text1"/>
        </w:rPr>
      </w:pPr>
    </w:p>
    <w:p w14:paraId="6D4327EA" w14:textId="77777777" w:rsidR="00050BB5" w:rsidRDefault="00000000" w:rsidP="001E1642">
      <w:pPr>
        <w:spacing w:line="360" w:lineRule="auto"/>
        <w:jc w:val="center"/>
        <w:rPr>
          <w:rFonts w:hint="eastAsia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609DAB3B" wp14:editId="1BBED106">
            <wp:extent cx="3060700" cy="2682240"/>
            <wp:effectExtent l="0" t="0" r="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579" cy="268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388A" w14:textId="77777777" w:rsidR="00050BB5" w:rsidRDefault="00000000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pple Fig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4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TRIP1 silencing </w:t>
      </w:r>
      <w:r>
        <w:rPr>
          <w:rFonts w:ascii="Times New Roman" w:eastAsia="宋体" w:hAnsi="Times New Roman" w:cs="Times New Roman"/>
          <w:sz w:val="24"/>
          <w:szCs w:val="24"/>
        </w:rPr>
        <w:t>d</w:t>
      </w:r>
      <w:r>
        <w:rPr>
          <w:rFonts w:ascii="Times New Roman" w:eastAsia="宋体" w:hAnsi="Times New Roman" w:cs="Times New Roman" w:hint="eastAsia"/>
          <w:sz w:val="24"/>
          <w:szCs w:val="24"/>
        </w:rPr>
        <w:t>id</w:t>
      </w:r>
      <w:r>
        <w:rPr>
          <w:rFonts w:ascii="Times New Roman" w:eastAsia="宋体" w:hAnsi="Times New Roman" w:cs="Times New Roman"/>
          <w:sz w:val="24"/>
          <w:szCs w:val="24"/>
        </w:rPr>
        <w:t xml:space="preserve"> not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alter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ROS level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in HCT116 cells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as evaluated by f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low cytometry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The presented data are representative of at least three independent experiments.</w:t>
      </w:r>
    </w:p>
    <w:p w14:paraId="1408DBC7" w14:textId="77777777" w:rsidR="00050BB5" w:rsidRDefault="00050BB5" w:rsidP="001E1642">
      <w:pPr>
        <w:spacing w:line="360" w:lineRule="auto"/>
        <w:rPr>
          <w:rFonts w:hint="eastAsia"/>
          <w:color w:val="000000" w:themeColor="text1"/>
        </w:rPr>
      </w:pPr>
    </w:p>
    <w:p w14:paraId="7687127F" w14:textId="77777777" w:rsidR="00050BB5" w:rsidRDefault="00000000" w:rsidP="001E1642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Supplementary figure </w:t>
      </w:r>
      <w:r>
        <w:rPr>
          <w:rFonts w:ascii="Arial" w:hAnsi="Arial" w:cs="Arial" w:hint="eastAsia"/>
          <w:b/>
          <w:bCs/>
          <w:sz w:val="24"/>
        </w:rPr>
        <w:t>5</w:t>
      </w:r>
    </w:p>
    <w:p w14:paraId="36DD981C" w14:textId="77777777" w:rsidR="00050BB5" w:rsidRDefault="00050BB5" w:rsidP="001E1642">
      <w:pPr>
        <w:spacing w:line="360" w:lineRule="auto"/>
        <w:rPr>
          <w:rFonts w:hint="eastAsia"/>
          <w:color w:val="000000" w:themeColor="text1"/>
        </w:rPr>
      </w:pPr>
    </w:p>
    <w:p w14:paraId="6E213B51" w14:textId="77777777" w:rsidR="00050BB5" w:rsidRDefault="00000000" w:rsidP="001E1642">
      <w:pPr>
        <w:spacing w:line="360" w:lineRule="auto"/>
        <w:rPr>
          <w:rFonts w:hint="eastAsia"/>
          <w:color w:val="000000" w:themeColor="text1"/>
        </w:rPr>
      </w:pPr>
      <w:r>
        <w:rPr>
          <w:noProof/>
        </w:rPr>
        <w:drawing>
          <wp:inline distT="0" distB="0" distL="114300" distR="114300" wp14:anchorId="02659DD0" wp14:editId="0F63E4BF">
            <wp:extent cx="5272405" cy="1588135"/>
            <wp:effectExtent l="0" t="0" r="1079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D87C4" w14:textId="77777777" w:rsidR="00050BB5" w:rsidRDefault="00000000" w:rsidP="001E164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Supple Fig </w:t>
      </w:r>
      <w:r>
        <w:rPr>
          <w:rFonts w:ascii="Times New Roman" w:hAnsi="Times New Roman" w:cs="Times New Roman" w:hint="eastAsia"/>
          <w:bCs/>
          <w:sz w:val="24"/>
        </w:rPr>
        <w:t>5</w:t>
      </w:r>
      <w:r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</w:rPr>
        <w:t>GC001 elevated ROS in lung cancer and ovarian cancer cells. (A) GC001 elevated i</w:t>
      </w:r>
      <w:r>
        <w:rPr>
          <w:rFonts w:ascii="Times New Roman" w:hAnsi="Times New Roman" w:cs="Times New Roman"/>
          <w:bCs/>
          <w:sz w:val="24"/>
        </w:rPr>
        <w:t xml:space="preserve">ntracellular ROS in </w:t>
      </w:r>
      <w:r>
        <w:rPr>
          <w:rFonts w:ascii="Times New Roman" w:hAnsi="Times New Roman" w:cs="Times New Roman" w:hint="eastAsia"/>
          <w:bCs/>
          <w:sz w:val="24"/>
        </w:rPr>
        <w:t xml:space="preserve">A549 lung cancer </w:t>
      </w:r>
      <w:r>
        <w:rPr>
          <w:rFonts w:ascii="Times New Roman" w:hAnsi="Times New Roman" w:cs="Times New Roman"/>
          <w:bCs/>
          <w:sz w:val="24"/>
        </w:rPr>
        <w:t xml:space="preserve">cells </w:t>
      </w:r>
      <w:r>
        <w:rPr>
          <w:rFonts w:ascii="Times New Roman" w:hAnsi="Times New Roman" w:cs="Times New Roman" w:hint="eastAsia"/>
          <w:bCs/>
          <w:sz w:val="24"/>
        </w:rPr>
        <w:t>as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determined </w:t>
      </w:r>
      <w:r>
        <w:rPr>
          <w:rFonts w:ascii="Times New Roman" w:hAnsi="Times New Roman" w:cs="Times New Roman"/>
          <w:bCs/>
          <w:sz w:val="24"/>
        </w:rPr>
        <w:t>by flow cytometry analysis.</w:t>
      </w:r>
      <w:r>
        <w:rPr>
          <w:rFonts w:ascii="Times New Roman" w:hAnsi="Times New Roman" w:cs="Times New Roman" w:hint="eastAsia"/>
          <w:bCs/>
          <w:sz w:val="24"/>
        </w:rPr>
        <w:t xml:space="preserve"> (B) Western blot analysis for NRF2 levels in A549 cells treated with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GC001, </w:t>
      </w:r>
      <w:proofErr w:type="spellStart"/>
      <w:r>
        <w:rPr>
          <w:rFonts w:ascii="Times New Roman" w:hAnsi="Times New Roman" w:cs="Times New Roman" w:hint="eastAsia"/>
          <w:bCs/>
          <w:sz w:val="24"/>
        </w:rPr>
        <w:t>oncoVV</w:t>
      </w:r>
      <w:proofErr w:type="spellEnd"/>
      <w:r>
        <w:rPr>
          <w:rFonts w:ascii="Times New Roman" w:hAnsi="Times New Roman" w:cs="Times New Roman" w:hint="eastAsia"/>
          <w:bCs/>
          <w:sz w:val="24"/>
        </w:rPr>
        <w:t xml:space="preserve">, or PBS. </w:t>
      </w:r>
      <w:r>
        <w:rPr>
          <w:rFonts w:ascii="Times New Roman" w:hAnsi="Times New Roman" w:cs="Times New Roman" w:hint="eastAsia"/>
          <w:sz w:val="24"/>
        </w:rPr>
        <w:t xml:space="preserve">(C) </w:t>
      </w:r>
      <w:r>
        <w:rPr>
          <w:rFonts w:ascii="Times New Roman" w:hAnsi="Times New Roman" w:cs="Times New Roman" w:hint="eastAsia"/>
          <w:bCs/>
          <w:sz w:val="24"/>
        </w:rPr>
        <w:t>GC001 elevated i</w:t>
      </w:r>
      <w:r>
        <w:rPr>
          <w:rFonts w:ascii="Times New Roman" w:hAnsi="Times New Roman" w:cs="Times New Roman"/>
          <w:bCs/>
          <w:sz w:val="24"/>
        </w:rPr>
        <w:t xml:space="preserve">ntracellular ROS in </w:t>
      </w:r>
      <w:r>
        <w:rPr>
          <w:rFonts w:ascii="Times New Roman" w:hAnsi="Times New Roman" w:cs="Times New Roman" w:hint="eastAsia"/>
          <w:bCs/>
          <w:sz w:val="24"/>
        </w:rPr>
        <w:t xml:space="preserve">A2780 ovarian cancer </w:t>
      </w:r>
      <w:r>
        <w:rPr>
          <w:rFonts w:ascii="Times New Roman" w:hAnsi="Times New Roman" w:cs="Times New Roman"/>
          <w:bCs/>
          <w:sz w:val="24"/>
        </w:rPr>
        <w:t xml:space="preserve">cells </w:t>
      </w:r>
      <w:r>
        <w:rPr>
          <w:rFonts w:ascii="Times New Roman" w:hAnsi="Times New Roman" w:cs="Times New Roman" w:hint="eastAsia"/>
          <w:bCs/>
          <w:sz w:val="24"/>
        </w:rPr>
        <w:t>as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determined </w:t>
      </w:r>
      <w:r>
        <w:rPr>
          <w:rFonts w:ascii="Times New Roman" w:hAnsi="Times New Roman" w:cs="Times New Roman"/>
          <w:bCs/>
          <w:sz w:val="24"/>
        </w:rPr>
        <w:t>by flow cytometry analysis.</w:t>
      </w:r>
      <w:r>
        <w:rPr>
          <w:rFonts w:ascii="Times New Roman" w:hAnsi="Times New Roman" w:cs="Times New Roman" w:hint="eastAsia"/>
          <w:bCs/>
          <w:sz w:val="24"/>
        </w:rPr>
        <w:t xml:space="preserve"> (D) Western blot analysis for NRF2 levels in A2780 cells treated with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 xml:space="preserve">GC001, </w:t>
      </w:r>
      <w:proofErr w:type="spellStart"/>
      <w:r>
        <w:rPr>
          <w:rFonts w:ascii="Times New Roman" w:hAnsi="Times New Roman" w:cs="Times New Roman" w:hint="eastAsia"/>
          <w:bCs/>
          <w:sz w:val="24"/>
        </w:rPr>
        <w:t>oncoVV</w:t>
      </w:r>
      <w:proofErr w:type="spellEnd"/>
      <w:r>
        <w:rPr>
          <w:rFonts w:ascii="Times New Roman" w:hAnsi="Times New Roman" w:cs="Times New Roman" w:hint="eastAsia"/>
          <w:bCs/>
          <w:sz w:val="24"/>
        </w:rPr>
        <w:t xml:space="preserve">, or PBS. </w:t>
      </w:r>
    </w:p>
    <w:p w14:paraId="11654721" w14:textId="77777777" w:rsidR="00050BB5" w:rsidRDefault="00050BB5" w:rsidP="001E1642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</w:p>
    <w:p w14:paraId="75666F0A" w14:textId="77777777" w:rsidR="00050BB5" w:rsidRDefault="00000000" w:rsidP="001E1642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Supplementary figure </w:t>
      </w:r>
      <w:r>
        <w:rPr>
          <w:rFonts w:ascii="Arial" w:hAnsi="Arial" w:cs="Arial" w:hint="eastAsia"/>
          <w:b/>
          <w:bCs/>
          <w:sz w:val="24"/>
        </w:rPr>
        <w:t>6</w:t>
      </w:r>
    </w:p>
    <w:p w14:paraId="75BEB95B" w14:textId="77777777" w:rsidR="00050BB5" w:rsidRDefault="00050BB5" w:rsidP="001E1642">
      <w:pPr>
        <w:spacing w:line="360" w:lineRule="auto"/>
        <w:rPr>
          <w:rFonts w:hint="eastAsia"/>
        </w:rPr>
      </w:pPr>
    </w:p>
    <w:p w14:paraId="30D9D976" w14:textId="77777777" w:rsidR="00050BB5" w:rsidRDefault="00000000" w:rsidP="001E1642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114300" distR="114300" wp14:anchorId="064B1F00" wp14:editId="0AF1028B">
            <wp:extent cx="5266690" cy="1861820"/>
            <wp:effectExtent l="0" t="0" r="381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F4E9B" w14:textId="704B721F" w:rsidR="00050BB5" w:rsidRDefault="00000000" w:rsidP="001E164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Supple Fig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6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replication of </w:t>
      </w:r>
      <w:proofErr w:type="spellStart"/>
      <w:r>
        <w:rPr>
          <w:rFonts w:ascii="Times New Roman" w:hAnsi="Times New Roman" w:cs="Times New Roman"/>
          <w:sz w:val="24"/>
        </w:rPr>
        <w:t>oncoVV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oncoVV</w:t>
      </w:r>
      <w:r>
        <w:rPr>
          <w:rFonts w:ascii="Times New Roman" w:hAnsi="Times New Roman" w:cs="Times New Roman" w:hint="eastAsia"/>
          <w:sz w:val="24"/>
        </w:rPr>
        <w:t>-shSLMAP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 w:hint="eastAsia"/>
          <w:sz w:val="24"/>
        </w:rPr>
        <w:t>GC001</w:t>
      </w:r>
      <w:r>
        <w:rPr>
          <w:rFonts w:ascii="Times New Roman" w:hAnsi="Times New Roman" w:cs="Times New Roman"/>
          <w:sz w:val="24"/>
        </w:rPr>
        <w:t xml:space="preserve"> in</w:t>
      </w:r>
      <w:r>
        <w:rPr>
          <w:rFonts w:ascii="Times New Roman" w:hAnsi="Times New Roman" w:cs="Times New Roman" w:hint="eastAsia"/>
          <w:sz w:val="24"/>
        </w:rPr>
        <w:t xml:space="preserve"> PANC-1 (A)</w:t>
      </w:r>
      <w:r>
        <w:rPr>
          <w:rFonts w:ascii="Times New Roman" w:hAnsi="Times New Roman" w:cs="Times New Roman"/>
          <w:sz w:val="24"/>
        </w:rPr>
        <w:t xml:space="preserve"> or </w:t>
      </w:r>
      <w:r>
        <w:rPr>
          <w:rFonts w:ascii="Times New Roman" w:hAnsi="Times New Roman" w:cs="Times New Roman" w:hint="eastAsia"/>
          <w:sz w:val="24"/>
        </w:rPr>
        <w:t>MKN45 (B)</w:t>
      </w:r>
      <w:r>
        <w:rPr>
          <w:rFonts w:ascii="Times New Roman" w:hAnsi="Times New Roman" w:cs="Times New Roman"/>
          <w:sz w:val="24"/>
        </w:rPr>
        <w:t xml:space="preserve"> cells was investigated by TCID</w:t>
      </w:r>
      <w:r>
        <w:rPr>
          <w:rFonts w:ascii="Times New Roman" w:hAnsi="Times New Roman" w:cs="Times New Roman"/>
          <w:sz w:val="24"/>
          <w:vertAlign w:val="subscript"/>
        </w:rPr>
        <w:t>50</w:t>
      </w:r>
      <w:r>
        <w:rPr>
          <w:rFonts w:ascii="Times New Roman" w:hAnsi="Times New Roman" w:cs="Times New Roman"/>
          <w:sz w:val="24"/>
        </w:rPr>
        <w:t xml:space="preserve"> assay. **: p&lt;0.01.</w:t>
      </w:r>
      <w:r w:rsidR="001A080A">
        <w:rPr>
          <w:rFonts w:ascii="Times New Roman" w:hAnsi="Times New Roman" w:cs="Times New Roman" w:hint="eastAsia"/>
          <w:sz w:val="24"/>
        </w:rPr>
        <w:t xml:space="preserve"> </w:t>
      </w:r>
      <w:r w:rsidR="001A080A" w:rsidRPr="001A080A">
        <w:rPr>
          <w:rFonts w:ascii="Times New Roman" w:hAnsi="Times New Roman" w:cs="Times New Roman"/>
          <w:sz w:val="24"/>
        </w:rPr>
        <w:t>Values are shown in Mean ± SEM from 3 independent biological samples.</w:t>
      </w:r>
    </w:p>
    <w:p w14:paraId="1B8C0FDF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BC6E0F1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B81204B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61997D6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CACB685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F4BF041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D05BBE8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D09433D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CE0FD99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E8F2E01" w14:textId="77777777" w:rsidR="001E1642" w:rsidRDefault="001E1642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0CBB309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E4ECE66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EB3CC25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2C8DB2C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2F529DB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E63C1DD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8E97D69" w14:textId="77777777" w:rsidR="001A080A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1A73A0C" w14:textId="707CE85A" w:rsidR="00050BB5" w:rsidRDefault="00000000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E1642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figure </w:t>
      </w:r>
      <w:r w:rsidRPr="001E1642">
        <w:rPr>
          <w:rFonts w:ascii="Times New Roman" w:hAnsi="Times New Roman" w:cs="Times New Roman" w:hint="eastAsia"/>
          <w:b/>
          <w:bCs/>
          <w:sz w:val="24"/>
        </w:rPr>
        <w:t>7</w:t>
      </w:r>
    </w:p>
    <w:p w14:paraId="4580794A" w14:textId="77777777" w:rsidR="001A080A" w:rsidRPr="001E1642" w:rsidRDefault="001A080A" w:rsidP="001E1642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76A9882" w14:textId="515D1053" w:rsidR="00050BB5" w:rsidRDefault="00926481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A48223B" wp14:editId="38A3601C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5274310" cy="7178675"/>
            <wp:effectExtent l="0" t="0" r="2540" b="3175"/>
            <wp:wrapTopAndBottom/>
            <wp:docPr id="490778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78350" name="图片 4907783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6964E8" w14:textId="2936565D" w:rsidR="00050BB5" w:rsidRPr="007B05A2" w:rsidRDefault="00000000" w:rsidP="001E164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7B05A2">
        <w:rPr>
          <w:rFonts w:ascii="Times New Roman" w:eastAsia="宋体" w:hAnsi="Times New Roman" w:cs="Times New Roman"/>
          <w:sz w:val="24"/>
          <w:szCs w:val="24"/>
        </w:rPr>
        <w:t>Supple Fig 7. Densitometric quantification of Western blot bands</w:t>
      </w:r>
      <w:r w:rsidR="001D14D0">
        <w:rPr>
          <w:rFonts w:ascii="Times New Roman" w:eastAsia="宋体" w:hAnsi="Times New Roman" w:cs="Times New Roman" w:hint="eastAsia"/>
          <w:sz w:val="24"/>
          <w:szCs w:val="24"/>
        </w:rPr>
        <w:t xml:space="preserve"> (A-D for Fig. 2B, E, I, J respectively. E-G for Fig. 6B, E, H respectively)</w:t>
      </w:r>
      <w:r w:rsidRPr="007B05A2">
        <w:rPr>
          <w:rFonts w:ascii="Times New Roman" w:eastAsia="宋体" w:hAnsi="Times New Roman" w:cs="Times New Roman"/>
          <w:sz w:val="24"/>
          <w:szCs w:val="24"/>
        </w:rPr>
        <w:t xml:space="preserve"> via ImageJ, with background-</w:t>
      </w:r>
      <w:r w:rsidRPr="007B05A2">
        <w:rPr>
          <w:rFonts w:ascii="Times New Roman" w:eastAsia="宋体" w:hAnsi="Times New Roman" w:cs="Times New Roman"/>
          <w:sz w:val="24"/>
          <w:szCs w:val="24"/>
        </w:rPr>
        <w:lastRenderedPageBreak/>
        <w:t>subtracted gray values measured for phosphorylated target, total target protein and GAPDH. Total target signals were normalized to GAPDH; phosphorylation levels were calculated as phosphorylat</w:t>
      </w:r>
      <w:r w:rsidR="00C77281">
        <w:rPr>
          <w:rFonts w:ascii="Times New Roman" w:eastAsia="宋体" w:hAnsi="Times New Roman" w:cs="Times New Roman" w:hint="eastAsia"/>
          <w:sz w:val="24"/>
          <w:szCs w:val="24"/>
        </w:rPr>
        <w:t>ion</w:t>
      </w:r>
      <w:r w:rsidRPr="007B05A2">
        <w:rPr>
          <w:rFonts w:ascii="Times New Roman" w:eastAsia="宋体" w:hAnsi="Times New Roman" w:cs="Times New Roman"/>
          <w:sz w:val="24"/>
          <w:szCs w:val="24"/>
        </w:rPr>
        <w:t>/total target gray ratios. All normalized values were calibrated to PBS vehicle control (baseline = 1) for intergroup comparison.</w:t>
      </w:r>
      <w:r w:rsidRPr="007B05A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1F08C4" w:rsidRPr="007B05A2">
        <w:rPr>
          <w:rFonts w:ascii="Times New Roman" w:eastAsia="宋体" w:hAnsi="Times New Roman" w:cs="Times New Roman" w:hint="eastAsia"/>
          <w:sz w:val="24"/>
          <w:szCs w:val="24"/>
        </w:rPr>
        <w:t>Values are expressed as</w:t>
      </w:r>
      <w:r w:rsidRPr="007B05A2">
        <w:rPr>
          <w:rFonts w:ascii="Times New Roman" w:eastAsia="宋体" w:hAnsi="Times New Roman" w:cs="Times New Roman"/>
          <w:sz w:val="24"/>
          <w:szCs w:val="24"/>
        </w:rPr>
        <w:t xml:space="preserve"> mean ± SD</w:t>
      </w:r>
      <w:r w:rsidRPr="007B05A2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B05A2">
        <w:rPr>
          <w:rFonts w:ascii="Times New Roman" w:eastAsia="宋体" w:hAnsi="Times New Roman" w:cs="Times New Roman"/>
          <w:sz w:val="24"/>
          <w:szCs w:val="24"/>
        </w:rPr>
        <w:t>(*P&lt;0.0</w:t>
      </w:r>
      <w:r w:rsidRPr="007B05A2">
        <w:rPr>
          <w:rFonts w:ascii="Times New Roman" w:eastAsia="宋体" w:hAnsi="Times New Roman" w:cs="Times New Roman" w:hint="eastAsia"/>
          <w:sz w:val="24"/>
          <w:szCs w:val="24"/>
        </w:rPr>
        <w:t xml:space="preserve">5, </w:t>
      </w:r>
      <w:r w:rsidRPr="007B05A2">
        <w:rPr>
          <w:rFonts w:ascii="Times New Roman" w:eastAsia="宋体" w:hAnsi="Times New Roman" w:cs="Times New Roman"/>
          <w:sz w:val="24"/>
          <w:szCs w:val="24"/>
        </w:rPr>
        <w:t xml:space="preserve">**P&lt;0.01). </w:t>
      </w:r>
    </w:p>
    <w:p w14:paraId="2950E7AB" w14:textId="77777777" w:rsidR="00050BB5" w:rsidRDefault="00050BB5" w:rsidP="001E16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sectPr w:rsidR="00050B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DF"/>
    <w:rsid w:val="00050BB5"/>
    <w:rsid w:val="000A0BE7"/>
    <w:rsid w:val="00156EF2"/>
    <w:rsid w:val="001A080A"/>
    <w:rsid w:val="001B6490"/>
    <w:rsid w:val="001C37B4"/>
    <w:rsid w:val="001D14D0"/>
    <w:rsid w:val="001D3028"/>
    <w:rsid w:val="001E1642"/>
    <w:rsid w:val="001E743C"/>
    <w:rsid w:val="001F08C4"/>
    <w:rsid w:val="001F53AD"/>
    <w:rsid w:val="0022560E"/>
    <w:rsid w:val="002E692A"/>
    <w:rsid w:val="00350C7C"/>
    <w:rsid w:val="00391CB3"/>
    <w:rsid w:val="003B4724"/>
    <w:rsid w:val="004760C3"/>
    <w:rsid w:val="004A612C"/>
    <w:rsid w:val="004F7671"/>
    <w:rsid w:val="00516042"/>
    <w:rsid w:val="00574058"/>
    <w:rsid w:val="005D186A"/>
    <w:rsid w:val="00605F6E"/>
    <w:rsid w:val="00710D28"/>
    <w:rsid w:val="007B05A2"/>
    <w:rsid w:val="00823914"/>
    <w:rsid w:val="0085199D"/>
    <w:rsid w:val="00853D80"/>
    <w:rsid w:val="00926481"/>
    <w:rsid w:val="009B4E44"/>
    <w:rsid w:val="00A818D1"/>
    <w:rsid w:val="00A9333F"/>
    <w:rsid w:val="00AA3956"/>
    <w:rsid w:val="00AA7BD5"/>
    <w:rsid w:val="00AF12C5"/>
    <w:rsid w:val="00B227DF"/>
    <w:rsid w:val="00B30951"/>
    <w:rsid w:val="00BC6713"/>
    <w:rsid w:val="00BF7ED6"/>
    <w:rsid w:val="00C77281"/>
    <w:rsid w:val="00DB7672"/>
    <w:rsid w:val="00DD626D"/>
    <w:rsid w:val="00E17680"/>
    <w:rsid w:val="00E77682"/>
    <w:rsid w:val="00E9323C"/>
    <w:rsid w:val="00EB0931"/>
    <w:rsid w:val="00EB1151"/>
    <w:rsid w:val="00ED2EC7"/>
    <w:rsid w:val="00F016B3"/>
    <w:rsid w:val="00F07192"/>
    <w:rsid w:val="00FB4561"/>
    <w:rsid w:val="02C25FEC"/>
    <w:rsid w:val="071E383C"/>
    <w:rsid w:val="0A6B5959"/>
    <w:rsid w:val="142E4026"/>
    <w:rsid w:val="16893F4C"/>
    <w:rsid w:val="1DD833D9"/>
    <w:rsid w:val="256A5135"/>
    <w:rsid w:val="28973399"/>
    <w:rsid w:val="34B70368"/>
    <w:rsid w:val="366A2FFA"/>
    <w:rsid w:val="40CB204B"/>
    <w:rsid w:val="40D046DD"/>
    <w:rsid w:val="49CC7095"/>
    <w:rsid w:val="4B811157"/>
    <w:rsid w:val="4E7B701A"/>
    <w:rsid w:val="5CF9735A"/>
    <w:rsid w:val="6889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37CEC"/>
  <w15:docId w15:val="{00F972C3-CCF7-4FB2-AA4E-8D7920B4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86158</dc:creator>
  <cp:lastModifiedBy>GC Li</cp:lastModifiedBy>
  <cp:revision>3</cp:revision>
  <dcterms:created xsi:type="dcterms:W3CDTF">2026-07-13T00:57:00Z</dcterms:created>
  <dcterms:modified xsi:type="dcterms:W3CDTF">2026-07-13T00:58:00Z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eyJoZGlkIjoiY2I3MGM2MDZlNjQ5NWYxMzE5N2I5YTdkNGFhZGVlYjkiLCJ1c2VySWQiOiI1NDc1NjQ1OTgifQ==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57CFD05EC23540CC9B3FDDE557ED92D9_13</vt:lpwstr>
  </property>
</Properties>
</file>