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A60" w:rsidRPr="007F6A60" w:rsidRDefault="007F6A60" w:rsidP="007F6A60">
      <w:pPr>
        <w:spacing w:after="0" w:line="240" w:lineRule="auto"/>
        <w:jc w:val="center"/>
        <w:rPr>
          <w:rFonts w:ascii="Arial" w:eastAsia="Times New Roman" w:hAnsi="Arial" w:cs="Malgun Gothic"/>
          <w:b/>
          <w:sz w:val="24"/>
          <w:szCs w:val="24"/>
          <w:lang w:val="en-US" w:eastAsia="ko-KR"/>
        </w:rPr>
      </w:pPr>
      <w:r w:rsidRPr="007F6A60">
        <w:rPr>
          <w:rFonts w:ascii="Arial" w:eastAsia="Times New Roman" w:hAnsi="Arial" w:cs="Malgun Gothic"/>
          <w:b/>
          <w:sz w:val="24"/>
          <w:szCs w:val="24"/>
          <w:lang w:val="en-US" w:eastAsia="ko-KR"/>
        </w:rPr>
        <w:t>Supplementary Information</w:t>
      </w:r>
    </w:p>
    <w:p w:rsidR="007F6A60" w:rsidRPr="007F6A60" w:rsidRDefault="007F6A60" w:rsidP="007F6A60">
      <w:pPr>
        <w:spacing w:after="0" w:line="240" w:lineRule="auto"/>
        <w:rPr>
          <w:rFonts w:ascii="Arial" w:eastAsia="Times New Roman" w:hAnsi="Arial" w:cs="Malgun Gothic"/>
          <w:b/>
          <w:sz w:val="24"/>
          <w:szCs w:val="24"/>
          <w:lang w:val="en-US" w:eastAsia="ko-KR"/>
        </w:rPr>
      </w:pPr>
    </w:p>
    <w:p w:rsidR="007F6A60" w:rsidRPr="007F6A60" w:rsidRDefault="007F6A60" w:rsidP="007F6A60">
      <w:pPr>
        <w:spacing w:after="0" w:line="240" w:lineRule="auto"/>
        <w:rPr>
          <w:rFonts w:ascii="Arial" w:eastAsia="Times New Roman" w:hAnsi="Arial" w:cs="Malgun Gothic"/>
          <w:b/>
          <w:sz w:val="24"/>
          <w:szCs w:val="24"/>
          <w:lang w:val="en-US" w:eastAsia="ko-KR"/>
        </w:rPr>
      </w:pPr>
      <w:r w:rsidRPr="007F6A60">
        <w:rPr>
          <w:rFonts w:ascii="Arial" w:eastAsia="Times New Roman" w:hAnsi="Arial" w:cs="Malgun Gothic"/>
          <w:b/>
          <w:sz w:val="24"/>
          <w:szCs w:val="24"/>
          <w:lang w:val="en-US" w:eastAsia="ko-KR"/>
        </w:rPr>
        <w:t>Materials and Methods</w:t>
      </w:r>
    </w:p>
    <w:p w:rsidR="007F6A60" w:rsidRPr="007F6A60" w:rsidRDefault="007F6A60" w:rsidP="007F6A60">
      <w:pPr>
        <w:spacing w:after="0" w:line="240" w:lineRule="auto"/>
        <w:rPr>
          <w:rFonts w:ascii="Arial" w:eastAsia="Times New Roman" w:hAnsi="Arial" w:cs="Malgun Gothic"/>
          <w:b/>
          <w:sz w:val="24"/>
          <w:szCs w:val="24"/>
          <w:lang w:val="en-US" w:eastAsia="ko-KR"/>
        </w:rPr>
      </w:pP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</w:pPr>
      <w:r w:rsidRPr="007F6A60"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  <w:tab/>
        <w:t xml:space="preserve">Proliferation assay 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pP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Effects of the CHD1-KD on tumor cell proliferation were assessed by seeding 1 x 10</w: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vertAlign w:val="superscript"/>
          <w:lang w:val="en-US" w:eastAsia="ja-JP"/>
        </w:rPr>
        <w:t>4</w: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tumor cells per tissue culture dish and counting the number of viable tumor cells on d6 after seeding using a conventional cell counting chamber (trypan blue stain for exclusion of dead cells). This assay was performed in biological triplicates. 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pPr>
    </w:p>
    <w:p w:rsidR="007F6A60" w:rsidRPr="007F6A60" w:rsidRDefault="007F6A60" w:rsidP="007F6A60">
      <w:pPr>
        <w:spacing w:after="0" w:line="360" w:lineRule="auto"/>
        <w:ind w:firstLine="708"/>
        <w:jc w:val="both"/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</w:pPr>
      <w:r w:rsidRPr="007F6A60"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  <w:t>Colony Formation assays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pP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The colony forming capacity of CHD1-KD and control tumor cells was compared in soft agar assays as described previously </w: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begin">
          <w:fldData xml:space="preserve">PEVuZE5vdGU+PENpdGU+PEF1dGhvcj5MYWJpdHpreTwvQXV0aG9yPjxZZWFyPjIwMjA8L1llYXI+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</w:fldData>
        </w:fldChar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instrText xml:space="preserve"> ADDIN EN.CITE </w:instrTex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begin">
          <w:fldData xml:space="preserve">PEVuZE5vdGU+PENpdGU+PEF1dGhvcj5MYWJpdHpreTwvQXV0aG9yPjxZZWFyPjIwMjA8L1llYXI+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</w:fldData>
        </w:fldChar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instrText xml:space="preserve"> ADDIN EN.CITE.DATA </w:instrTex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end"/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separate"/>
      </w:r>
      <w:r w:rsidRPr="007F6A60">
        <w:rPr>
          <w:rFonts w:ascii="Arial" w:eastAsia="Times New Roman" w:hAnsi="Arial" w:cs="Malgun Gothic"/>
          <w:bCs/>
          <w:noProof/>
          <w:color w:val="000000"/>
          <w:sz w:val="24"/>
          <w:szCs w:val="24"/>
          <w:lang w:val="en-US" w:eastAsia="ja-JP"/>
        </w:rPr>
        <w:t>[26]</w: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end"/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. The number and diameter (µm) of all tumor spheres visible in one well were determined on day 19 (ARCAP-M) or day 17 (PC-3) after seeding. For each group, six wells were analyzed and the mean values per well were compared by Student’s t-test.</w:t>
      </w:r>
    </w:p>
    <w:p w:rsidR="007F6A60" w:rsidRPr="007F6A60" w:rsidRDefault="007F6A60" w:rsidP="007F6A60">
      <w:pPr>
        <w:spacing w:after="0" w:line="360" w:lineRule="auto"/>
        <w:ind w:firstLine="708"/>
        <w:jc w:val="both"/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</w:pPr>
    </w:p>
    <w:p w:rsidR="007F6A60" w:rsidRPr="007F6A60" w:rsidRDefault="007F6A60" w:rsidP="007F6A60">
      <w:pPr>
        <w:spacing w:after="0" w:line="360" w:lineRule="auto"/>
        <w:ind w:firstLine="708"/>
        <w:jc w:val="both"/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</w:pPr>
      <w:proofErr w:type="spellStart"/>
      <w:r w:rsidRPr="007F6A60"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  <w:t>Transwell</w:t>
      </w:r>
      <w:proofErr w:type="spellEnd"/>
      <w:r w:rsidRPr="007F6A60"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  <w:t xml:space="preserve"> invasion and migration assays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pP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The tumor cells’ migratory and invasive capacity was determined using Corning </w:t>
      </w:r>
      <w:proofErr w:type="spell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Fluroblok</w:t>
      </w:r>
      <w:proofErr w:type="spell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and </w:t>
      </w:r>
      <w:proofErr w:type="spell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CorningBioCoat</w:t>
      </w:r>
      <w:proofErr w:type="spell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transwell</w:t>
      </w:r>
      <w:proofErr w:type="spell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assays (8 µm pore size), respectively, as previously described </w: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begin">
          <w:fldData xml:space="preserve">PEVuZE5vdGU+PENpdGU+PEF1dGhvcj5MYWJpdHpreTwvQXV0aG9yPjxZZWFyPjIwMjA8L1llYXI+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</w:fldData>
        </w:fldChar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instrText xml:space="preserve"> ADDIN EN.CITE </w:instrTex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begin">
          <w:fldData xml:space="preserve">PEVuZE5vdGU+PENpdGU+PEF1dGhvcj5MYWJpdHpreTwvQXV0aG9yPjxZZWFyPjIwMjA8L1llYXI+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</w:fldData>
        </w:fldChar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instrText xml:space="preserve"> ADDIN EN.CITE.DATA </w:instrTex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end"/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separate"/>
      </w:r>
      <w:r w:rsidRPr="007F6A60">
        <w:rPr>
          <w:rFonts w:ascii="Arial" w:eastAsia="Times New Roman" w:hAnsi="Arial" w:cs="Malgun Gothic"/>
          <w:bCs/>
          <w:noProof/>
          <w:color w:val="000000"/>
          <w:sz w:val="24"/>
          <w:szCs w:val="24"/>
          <w:lang w:val="en-US" w:eastAsia="ja-JP"/>
        </w:rPr>
        <w:t>[26]</w: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fldChar w:fldCharType="end"/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. The migration assays were performed in triplicates, the invasion assays in quadruplicates.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pP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</w:pP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ab/>
      </w:r>
      <w:r w:rsidRPr="007F6A60">
        <w:rPr>
          <w:rFonts w:ascii="Arial" w:eastAsia="Times New Roman" w:hAnsi="Arial" w:cs="Malgun Gothic"/>
          <w:bCs/>
          <w:i/>
          <w:iCs/>
          <w:color w:val="000000"/>
          <w:sz w:val="24"/>
          <w:szCs w:val="24"/>
          <w:lang w:val="en-US" w:eastAsia="ja-JP"/>
        </w:rPr>
        <w:t>Im</w:t>
      </w:r>
      <w:r w:rsidRPr="007F6A60">
        <w:rPr>
          <w:rFonts w:ascii="Arial" w:eastAsia="Times New Roman" w:hAnsi="Arial" w:cs="Malgun Gothic"/>
          <w:bCs/>
          <w:i/>
          <w:color w:val="000000"/>
          <w:sz w:val="24"/>
          <w:szCs w:val="24"/>
          <w:lang w:val="en-US" w:eastAsia="ja-JP"/>
        </w:rPr>
        <w:t xml:space="preserve">munohistochemistry 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</w:pP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AR expression was determined by immunohistochemistry using the anti-AR clone AR441 (</w:t>
      </w:r>
      <w:proofErr w:type="spell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Dako</w:t>
      </w:r>
      <w:proofErr w:type="spell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#M3562) in a </w:t>
      </w:r>
      <w:proofErr w:type="gram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1 :</w:t>
      </w:r>
      <w:proofErr w:type="gram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25 working dilution (final concentration: 486.2 µg/ mL). Dewaxed FFPE sections of ARCAP-M xenograft primary tumors and positive control (human testis) were pre-treated with target retrieval solution (</w:t>
      </w:r>
      <w:proofErr w:type="spell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Dako</w:t>
      </w:r>
      <w:proofErr w:type="spell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#S2367, pH 9) for 10 min at 121 °C. The primary antibody was incubated for 60 min at room temperature</w:t>
      </w:r>
      <w:r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(RT)</w: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and unbound antibody was removed by multiple washing steps afterwards. Biotinylated goat-anti-mouse was used as secondary antibody, incubated in a </w:t>
      </w:r>
      <w:proofErr w:type="gram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1 :</w:t>
      </w:r>
      <w:proofErr w:type="gram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200 dilution for 30 min at </w:t>
      </w:r>
      <w:r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RT</w:t>
      </w:r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. Unbound secondary antibody was removed by washing and bound antibody complexes were visualized using the </w:t>
      </w:r>
      <w:proofErr w:type="spell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VectaStain</w:t>
      </w:r>
      <w:proofErr w:type="spell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ABC-AP Staining Kit (Vector Laboratories Inc., Burlingame, CA, USA) and Liquid Permanent Red (</w:t>
      </w:r>
      <w:proofErr w:type="spell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Dako</w:t>
      </w:r>
      <w:proofErr w:type="spell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). Nuclei were counterstained with Mayer’s </w:t>
      </w:r>
      <w:proofErr w:type="spellStart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hemalum</w:t>
      </w:r>
      <w:proofErr w:type="spellEnd"/>
      <w:r w:rsidRPr="007F6A60"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 xml:space="preserve"> solution for 5 sec. Isotype controls (mouse IgG1) were applied instead of the primar</w:t>
      </w:r>
      <w:r>
        <w:rPr>
          <w:rFonts w:ascii="Arial" w:eastAsia="Times New Roman" w:hAnsi="Arial" w:cs="Malgun Gothic"/>
          <w:bCs/>
          <w:color w:val="000000"/>
          <w:sz w:val="24"/>
          <w:szCs w:val="24"/>
          <w:lang w:val="en-US" w:eastAsia="ja-JP"/>
        </w:rPr>
        <w:t>y antibody on parallel sections.</w:t>
      </w:r>
      <w:bookmarkStart w:id="0" w:name="_GoBack"/>
      <w:bookmarkEnd w:id="0"/>
    </w:p>
    <w:p w:rsidR="007F6A60" w:rsidRPr="007F6A60" w:rsidRDefault="007F6A60" w:rsidP="007F6A60">
      <w:pPr>
        <w:spacing w:after="0" w:line="240" w:lineRule="auto"/>
        <w:rPr>
          <w:rFonts w:ascii="Arial" w:eastAsia="Times New Roman" w:hAnsi="Arial" w:cs="Malgun Gothic"/>
          <w:b/>
          <w:sz w:val="24"/>
          <w:szCs w:val="24"/>
          <w:lang w:val="en-US" w:eastAsia="ko-KR"/>
        </w:rPr>
      </w:pPr>
      <w:r w:rsidRPr="007F6A60">
        <w:rPr>
          <w:rFonts w:ascii="Arial" w:eastAsia="Times New Roman" w:hAnsi="Arial" w:cs="Malgun Gothic"/>
          <w:b/>
          <w:sz w:val="24"/>
          <w:szCs w:val="24"/>
          <w:lang w:val="en-US" w:eastAsia="ko-KR"/>
        </w:rPr>
        <w:br w:type="page"/>
      </w:r>
      <w:r w:rsidRPr="007F6A60">
        <w:rPr>
          <w:rFonts w:ascii="Arial" w:eastAsia="Times New Roman" w:hAnsi="Arial" w:cs="Malgun Gothic"/>
          <w:b/>
          <w:sz w:val="24"/>
          <w:szCs w:val="24"/>
          <w:lang w:val="en-US" w:eastAsia="ko-KR"/>
        </w:rPr>
        <w:lastRenderedPageBreak/>
        <w:t>Supplementary figure legend</w:t>
      </w:r>
    </w:p>
    <w:p w:rsidR="007F6A60" w:rsidRPr="007F6A60" w:rsidRDefault="007F6A60" w:rsidP="007F6A60">
      <w:pPr>
        <w:spacing w:after="0" w:line="240" w:lineRule="auto"/>
        <w:jc w:val="center"/>
        <w:rPr>
          <w:rFonts w:ascii="Arial" w:eastAsia="Times New Roman" w:hAnsi="Arial" w:cs="Malgun Gothic"/>
          <w:b/>
          <w:sz w:val="24"/>
          <w:szCs w:val="24"/>
          <w:lang w:val="en-US" w:eastAsia="ko-KR"/>
        </w:rPr>
      </w:pP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Cs/>
          <w:sz w:val="24"/>
          <w:szCs w:val="32"/>
          <w:lang w:val="en-US" w:eastAsia="ko-KR"/>
        </w:rPr>
      </w:pPr>
      <w:r w:rsidRPr="007F6A60">
        <w:rPr>
          <w:rFonts w:ascii="Arial" w:eastAsia="Times New Roman" w:hAnsi="Arial" w:cs="Malgun Gothic"/>
          <w:b/>
          <w:sz w:val="24"/>
          <w:szCs w:val="32"/>
          <w:lang w:val="en-US" w:eastAsia="ko-KR"/>
        </w:rPr>
        <w:t xml:space="preserve">Suppl. Figure S1: 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Cumulative incidence curves (Aalen-Johansen estimates) describing the association between </w:t>
      </w:r>
      <w:r w:rsidRPr="007F6A60">
        <w:rPr>
          <w:rFonts w:ascii="Arial" w:eastAsia="Times New Roman" w:hAnsi="Arial" w:cs="Malgun Gothic"/>
          <w:i/>
          <w:sz w:val="24"/>
          <w:szCs w:val="32"/>
          <w:lang w:val="en-US" w:eastAsia="ko-KR"/>
        </w:rPr>
        <w:t xml:space="preserve">CHD1 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deletion and time to BCR, metastasis, and cancer-specific death after radical prostatectomy of 6 831 prostate cancer patients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A-C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). See Tables 1-4 for baseline characteristics of the study population and multivariate analyses. 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sz w:val="24"/>
          <w:szCs w:val="32"/>
          <w:lang w:val="en-US" w:eastAsia="ko-KR"/>
        </w:rPr>
      </w:pP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/>
          <w:sz w:val="32"/>
          <w:szCs w:val="32"/>
          <w:lang w:val="en-US" w:eastAsia="ko-KR"/>
        </w:rPr>
      </w:pPr>
      <w:r w:rsidRPr="007F6A60">
        <w:rPr>
          <w:rFonts w:ascii="Arial" w:eastAsia="Times New Roman" w:hAnsi="Arial" w:cs="Malgun Gothic"/>
          <w:b/>
          <w:sz w:val="24"/>
          <w:szCs w:val="32"/>
          <w:lang w:val="en-US" w:eastAsia="ko-KR"/>
        </w:rPr>
        <w:t xml:space="preserve">Suppl. Figure S2: </w:t>
      </w:r>
      <w:proofErr w:type="spellStart"/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Immunohistochemical</w:t>
      </w:r>
      <w:proofErr w:type="spellEnd"/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 detection of AR expression in ARCAP-M xenograft tumors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A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). Note the AR-positivity of the control tissue (human testis, left panel), which is absent in the isotype control (middle panel). Detection of normal </w:t>
      </w:r>
      <w:r w:rsidRPr="007F6A60">
        <w:rPr>
          <w:rFonts w:ascii="Arial" w:eastAsia="Times New Roman" w:hAnsi="Arial" w:cs="Malgun Gothic"/>
          <w:i/>
          <w:sz w:val="24"/>
          <w:szCs w:val="32"/>
          <w:lang w:val="en-US" w:eastAsia="ko-KR"/>
        </w:rPr>
        <w:t>PTEN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 copy numbers in ARCAP-M xenografts and homozygous deletion of </w:t>
      </w:r>
      <w:r w:rsidRPr="007F6A60">
        <w:rPr>
          <w:rFonts w:ascii="Arial" w:eastAsia="Times New Roman" w:hAnsi="Arial" w:cs="Malgun Gothic"/>
          <w:i/>
          <w:sz w:val="24"/>
          <w:szCs w:val="32"/>
          <w:lang w:val="en-US" w:eastAsia="ko-KR"/>
        </w:rPr>
        <w:t>PTEN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 in PC-3 cells as determined by FISH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B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). </w:t>
      </w:r>
      <w:r w:rsidRPr="007F6A60">
        <w:rPr>
          <w:rFonts w:ascii="Arial" w:eastAsia="Times New Roman" w:hAnsi="Arial" w:cs="Malgun Gothic"/>
          <w:i/>
          <w:sz w:val="24"/>
          <w:szCs w:val="32"/>
          <w:lang w:val="en-US" w:eastAsia="ko-KR"/>
        </w:rPr>
        <w:t>In vitro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 characterization of tumor cell proliferation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C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), colony formation in soft agar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D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), </w:t>
      </w:r>
      <w:proofErr w:type="spellStart"/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transwell</w:t>
      </w:r>
      <w:proofErr w:type="spellEnd"/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 migration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E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) and </w:t>
      </w:r>
      <w:proofErr w:type="spellStart"/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transwell</w:t>
      </w:r>
      <w:proofErr w:type="spellEnd"/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 invasion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F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) of CHD1-KD and control PC-3 and ARCAP-M cells. Bar charts represent mean </w:t>
      </w:r>
      <w:r w:rsidRPr="007F6A60">
        <w:rPr>
          <w:rFonts w:ascii="Arial" w:eastAsia="Times New Roman" w:hAnsi="Arial" w:cs="Arial"/>
          <w:sz w:val="24"/>
          <w:szCs w:val="32"/>
          <w:lang w:val="en-US" w:eastAsia="ko-KR"/>
        </w:rPr>
        <w:t xml:space="preserve">± 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SD of n=3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C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), n=6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D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), n=3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E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), n=4 (</w:t>
      </w:r>
      <w:r w:rsidRPr="007F6A60">
        <w:rPr>
          <w:rFonts w:ascii="Arial" w:eastAsia="Times New Roman" w:hAnsi="Arial" w:cs="Malgun Gothic"/>
          <w:b/>
          <w:bCs/>
          <w:sz w:val="24"/>
          <w:szCs w:val="32"/>
          <w:lang w:val="en-US" w:eastAsia="ko-KR"/>
        </w:rPr>
        <w:t>F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); *</w:t>
      </w:r>
      <w:r w:rsidRPr="007F6A60">
        <w:rPr>
          <w:rFonts w:ascii="Arial" w:eastAsia="Times New Roman" w:hAnsi="Arial" w:cs="Malgun Gothic"/>
          <w:i/>
          <w:iCs/>
          <w:sz w:val="24"/>
          <w:szCs w:val="32"/>
          <w:lang w:val="en-US" w:eastAsia="ko-KR"/>
        </w:rPr>
        <w:t>p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&lt;0.05. </w:t>
      </w:r>
      <w:r w:rsidRPr="007F6A60">
        <w:rPr>
          <w:rFonts w:ascii="Arial" w:eastAsia="Times New Roman" w:hAnsi="Arial" w:cs="Malgun Gothic"/>
          <w:b/>
          <w:sz w:val="32"/>
          <w:szCs w:val="32"/>
          <w:lang w:val="en-US" w:eastAsia="ko-KR"/>
        </w:rPr>
        <w:t xml:space="preserve"> 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/>
          <w:sz w:val="24"/>
          <w:szCs w:val="32"/>
          <w:lang w:val="en-US" w:eastAsia="ko-KR"/>
        </w:rPr>
      </w:pP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sz w:val="24"/>
          <w:szCs w:val="32"/>
          <w:lang w:val="en-US" w:eastAsia="ko-KR"/>
        </w:rPr>
      </w:pPr>
      <w:r w:rsidRPr="007F6A60">
        <w:rPr>
          <w:rFonts w:ascii="Arial" w:eastAsia="Times New Roman" w:hAnsi="Arial" w:cs="Malgun Gothic"/>
          <w:b/>
          <w:sz w:val="24"/>
          <w:szCs w:val="32"/>
          <w:lang w:val="en-US" w:eastAsia="ko-KR"/>
        </w:rPr>
        <w:t xml:space="preserve">Suppl. Figure S3: 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>HE-stained lung sections of PC-3 xenograft tumor-bearing mice providing further samples of single DTCs (as found in both control and CHD1-KD xenografts, left panel) and multicellular colonies (as predominantly found in CHD1-KD xenografts, right panel). White arrows point towards tumor cell nuclei.</w:t>
      </w: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b/>
          <w:sz w:val="24"/>
          <w:szCs w:val="32"/>
          <w:lang w:val="en-US" w:eastAsia="ko-KR"/>
        </w:rPr>
      </w:pPr>
    </w:p>
    <w:p w:rsidR="007F6A60" w:rsidRPr="007F6A60" w:rsidRDefault="007F6A60" w:rsidP="007F6A60">
      <w:pPr>
        <w:spacing w:after="0" w:line="360" w:lineRule="auto"/>
        <w:jc w:val="both"/>
        <w:rPr>
          <w:rFonts w:ascii="Arial" w:eastAsia="Times New Roman" w:hAnsi="Arial" w:cs="Malgun Gothic"/>
          <w:sz w:val="24"/>
          <w:szCs w:val="32"/>
          <w:lang w:val="en-US" w:eastAsia="ko-KR"/>
        </w:rPr>
      </w:pPr>
      <w:r w:rsidRPr="007F6A60">
        <w:rPr>
          <w:rFonts w:ascii="Arial" w:eastAsia="Times New Roman" w:hAnsi="Arial" w:cs="Malgun Gothic"/>
          <w:b/>
          <w:sz w:val="24"/>
          <w:szCs w:val="32"/>
          <w:lang w:val="en-US" w:eastAsia="ko-KR"/>
        </w:rPr>
        <w:t>Suppl. Figure S4:</w:t>
      </w:r>
      <w:r w:rsidRPr="007F6A60">
        <w:rPr>
          <w:rFonts w:ascii="Arial" w:eastAsia="Times New Roman" w:hAnsi="Arial" w:cs="Malgun Gothic"/>
          <w:sz w:val="24"/>
          <w:szCs w:val="32"/>
          <w:lang w:val="en-US" w:eastAsia="ko-KR"/>
        </w:rPr>
        <w:t xml:space="preserve"> Enlarged version of Fig. 2D.</w:t>
      </w:r>
    </w:p>
    <w:p w:rsidR="00772965" w:rsidRPr="007F6A60" w:rsidRDefault="00772965">
      <w:pPr>
        <w:rPr>
          <w:lang w:val="en-US"/>
        </w:rPr>
      </w:pPr>
    </w:p>
    <w:sectPr w:rsidR="00772965" w:rsidRPr="007F6A60" w:rsidSect="001E17FF">
      <w:headerReference w:type="even" r:id="rId4"/>
      <w:headerReference w:type="default" r:id="rId5"/>
      <w:footerReference w:type="default" r:id="rId6"/>
      <w:pgSz w:w="11900" w:h="16840"/>
      <w:pgMar w:top="1417" w:right="1417" w:bottom="1134" w:left="1417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1214608"/>
      <w:docPartObj>
        <w:docPartGallery w:val="Page Numbers (Bottom of Page)"/>
        <w:docPartUnique/>
      </w:docPartObj>
    </w:sdtPr>
    <w:sdtEndPr/>
    <w:sdtContent>
      <w:p w:rsidR="00333C9A" w:rsidRDefault="007F6A6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33C9A" w:rsidRDefault="007F6A60">
    <w:pPr>
      <w:pStyle w:val="Fuzeil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1809155413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:rsidR="00333C9A" w:rsidRDefault="007F6A60" w:rsidP="008D13D8">
        <w:pPr>
          <w:pStyle w:val="Kopf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-809786597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:rsidR="00333C9A" w:rsidRDefault="007F6A60" w:rsidP="004F12E5">
        <w:pPr>
          <w:pStyle w:val="Kopfzeile"/>
          <w:framePr w:wrap="none" w:vAnchor="text" w:hAnchor="margin" w:y="1"/>
          <w:ind w:firstLine="3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333C9A" w:rsidRDefault="007F6A60" w:rsidP="004F12E5"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1671171398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:rsidR="00333C9A" w:rsidRDefault="007F6A60" w:rsidP="008D13D8">
        <w:pPr>
          <w:pStyle w:val="Kopf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:rsidR="00333C9A" w:rsidRDefault="007F6A60" w:rsidP="004F12E5">
    <w:pPr>
      <w:pStyle w:val="Kopfzeile"/>
      <w:tabs>
        <w:tab w:val="clear" w:pos="4536"/>
        <w:tab w:val="clear" w:pos="9072"/>
        <w:tab w:val="left" w:pos="1315"/>
      </w:tabs>
      <w:ind w:firstLine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A60"/>
    <w:rsid w:val="00772965"/>
    <w:rsid w:val="007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3DE7A-40FF-44F4-849E-099B6A0D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A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KopfzeileZchn">
    <w:name w:val="Kopfzeile Zchn"/>
    <w:basedOn w:val="Absatz-Standardschriftart"/>
    <w:link w:val="Kopfzeile"/>
    <w:uiPriority w:val="99"/>
    <w:rsid w:val="007F6A60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Fuzeile">
    <w:name w:val="footer"/>
    <w:basedOn w:val="Standard"/>
    <w:link w:val="FuzeileZchn"/>
    <w:uiPriority w:val="99"/>
    <w:unhideWhenUsed/>
    <w:rsid w:val="007F6A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FuzeileZchn">
    <w:name w:val="Fußzeile Zchn"/>
    <w:basedOn w:val="Absatz-Standardschriftart"/>
    <w:link w:val="Fuzeile"/>
    <w:uiPriority w:val="99"/>
    <w:rsid w:val="007F6A60"/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Seitenzahl">
    <w:name w:val="page number"/>
    <w:basedOn w:val="Absatz-Standardschriftart"/>
    <w:uiPriority w:val="99"/>
    <w:semiHidden/>
    <w:unhideWhenUsed/>
    <w:rsid w:val="007F6A60"/>
  </w:style>
  <w:style w:type="character" w:styleId="Zeilennummer">
    <w:name w:val="line number"/>
    <w:basedOn w:val="Absatz-Standardschriftart"/>
    <w:uiPriority w:val="99"/>
    <w:semiHidden/>
    <w:unhideWhenUsed/>
    <w:rsid w:val="007F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Lange</dc:creator>
  <cp:keywords/>
  <dc:description/>
  <cp:lastModifiedBy>Tobias Lange</cp:lastModifiedBy>
  <cp:revision>1</cp:revision>
  <dcterms:created xsi:type="dcterms:W3CDTF">2020-12-08T07:39:00Z</dcterms:created>
  <dcterms:modified xsi:type="dcterms:W3CDTF">2020-12-08T07:41:00Z</dcterms:modified>
</cp:coreProperties>
</file>