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7F7F" w14:textId="77777777" w:rsidR="005A2DD5" w:rsidRDefault="005A2DD5" w:rsidP="005A2DD5">
      <w:pPr>
        <w:pStyle w:val="Caption"/>
        <w:spacing w:line="480" w:lineRule="auto"/>
        <w:ind w:left="0" w:firstLine="0"/>
        <w:rPr>
          <w:rFonts w:ascii="Arial" w:hAnsi="Arial" w:cs="Arial"/>
          <w:sz w:val="22"/>
          <w:szCs w:val="22"/>
        </w:rPr>
      </w:pPr>
      <w:r w:rsidRPr="00AE4401">
        <w:rPr>
          <w:rFonts w:ascii="Arial" w:hAnsi="Arial" w:cs="Arial"/>
          <w:sz w:val="22"/>
          <w:szCs w:val="22"/>
        </w:rPr>
        <w:t xml:space="preserve">Supplementary Figure </w:t>
      </w:r>
      <w:r>
        <w:rPr>
          <w:rFonts w:ascii="Arial" w:hAnsi="Arial" w:cs="Arial"/>
          <w:sz w:val="22"/>
          <w:szCs w:val="22"/>
        </w:rPr>
        <w:t>1</w:t>
      </w:r>
      <w:r w:rsidRPr="00AE4401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Densitometric quantification of WB shown in Figure 1C</w:t>
      </w:r>
    </w:p>
    <w:p w14:paraId="4291D5FF" w14:textId="77777777" w:rsidR="005A2DD5" w:rsidRDefault="005A2DD5" w:rsidP="005A2DD5">
      <w:pPr>
        <w:pStyle w:val="C-BodyText"/>
        <w:spacing w:line="480" w:lineRule="auto"/>
      </w:pPr>
      <w:r w:rsidRPr="00AE4401">
        <w:rPr>
          <w:rFonts w:ascii="Arial" w:hAnsi="Arial" w:cs="Arial"/>
          <w:sz w:val="22"/>
          <w:szCs w:val="22"/>
        </w:rPr>
        <w:t xml:space="preserve">Densitometric analysis was performed and the ratio of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i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AE4401">
        <w:rPr>
          <w:rFonts w:ascii="Arial" w:hAnsi="Arial" w:cs="Arial"/>
          <w:sz w:val="22"/>
          <w:szCs w:val="22"/>
        </w:rPr>
        <w:t>phospho</w:t>
      </w:r>
      <w:proofErr w:type="spellEnd"/>
      <w:r w:rsidRPr="00AE4401">
        <w:rPr>
          <w:rFonts w:ascii="Arial" w:hAnsi="Arial" w:cs="Arial"/>
          <w:sz w:val="22"/>
          <w:szCs w:val="22"/>
        </w:rPr>
        <w:t>/total NFκB</w:t>
      </w:r>
      <w:r>
        <w:rPr>
          <w:rFonts w:ascii="Arial" w:hAnsi="Arial" w:cs="Arial"/>
          <w:sz w:val="22"/>
          <w:szCs w:val="22"/>
        </w:rPr>
        <w:t>, (ii) IL6</w:t>
      </w:r>
      <w:r w:rsidRPr="00AE4401">
        <w:rPr>
          <w:rFonts w:ascii="Arial" w:hAnsi="Arial" w:cs="Arial"/>
          <w:sz w:val="22"/>
          <w:szCs w:val="22"/>
        </w:rPr>
        <w:t xml:space="preserve">/GAPDH </w:t>
      </w:r>
      <w:r>
        <w:rPr>
          <w:rFonts w:ascii="Arial" w:hAnsi="Arial" w:cs="Arial"/>
          <w:sz w:val="22"/>
          <w:szCs w:val="22"/>
        </w:rPr>
        <w:t xml:space="preserve">and (iii) </w:t>
      </w:r>
      <w:proofErr w:type="spellStart"/>
      <w:r>
        <w:rPr>
          <w:rFonts w:ascii="Arial" w:hAnsi="Arial" w:cs="Arial"/>
          <w:sz w:val="22"/>
          <w:szCs w:val="22"/>
        </w:rPr>
        <w:t>phospho</w:t>
      </w:r>
      <w:proofErr w:type="spellEnd"/>
      <w:r>
        <w:rPr>
          <w:rFonts w:ascii="Arial" w:hAnsi="Arial" w:cs="Arial"/>
          <w:sz w:val="22"/>
          <w:szCs w:val="22"/>
        </w:rPr>
        <w:t xml:space="preserve">/total </w:t>
      </w:r>
      <w:r w:rsidRPr="00AE4401">
        <w:rPr>
          <w:rFonts w:ascii="Arial" w:hAnsi="Arial" w:cs="Arial"/>
          <w:sz w:val="22"/>
          <w:szCs w:val="22"/>
        </w:rPr>
        <w:t>STAT3</w:t>
      </w:r>
      <w:r>
        <w:rPr>
          <w:rFonts w:ascii="Arial" w:hAnsi="Arial" w:cs="Arial"/>
          <w:sz w:val="22"/>
          <w:szCs w:val="22"/>
        </w:rPr>
        <w:t xml:space="preserve"> were</w:t>
      </w:r>
      <w:r w:rsidRPr="00AE4401">
        <w:rPr>
          <w:rFonts w:ascii="Arial" w:hAnsi="Arial" w:cs="Arial"/>
          <w:sz w:val="22"/>
          <w:szCs w:val="22"/>
        </w:rPr>
        <w:t xml:space="preserve"> quantified. Results are shown as mean </w:t>
      </w:r>
      <w:r w:rsidRPr="00196545">
        <w:rPr>
          <w:rFonts w:ascii="Arial" w:hAnsi="Arial" w:cs="Arial"/>
          <w:sz w:val="22"/>
          <w:szCs w:val="22"/>
          <w:u w:val="single"/>
        </w:rPr>
        <w:t>+</w:t>
      </w:r>
      <w:r w:rsidRPr="00AE4401">
        <w:rPr>
          <w:rFonts w:ascii="Arial" w:hAnsi="Arial" w:cs="Arial"/>
          <w:sz w:val="22"/>
          <w:szCs w:val="22"/>
        </w:rPr>
        <w:t xml:space="preserve"> SEM. Students’ t-test was performed (*p &lt;0.05, **p &lt;0.01; n=6).</w:t>
      </w:r>
      <w:r w:rsidRPr="00AE4401">
        <w:rPr>
          <w:rFonts w:ascii="Arial" w:hAnsi="Arial" w:cs="Arial"/>
          <w:sz w:val="22"/>
          <w:szCs w:val="22"/>
        </w:rPr>
        <w:br/>
      </w:r>
    </w:p>
    <w:p w14:paraId="6FCB6D94" w14:textId="77777777" w:rsidR="005A2DD5" w:rsidRDefault="005A2DD5" w:rsidP="005A2DD5">
      <w:pPr>
        <w:pStyle w:val="Caption"/>
        <w:spacing w:line="480" w:lineRule="auto"/>
        <w:ind w:left="0" w:firstLine="0"/>
        <w:rPr>
          <w:rFonts w:ascii="Arial" w:hAnsi="Arial" w:cs="Arial"/>
          <w:sz w:val="22"/>
          <w:szCs w:val="22"/>
        </w:rPr>
      </w:pPr>
      <w:r w:rsidRPr="00B53DD8">
        <w:rPr>
          <w:rFonts w:ascii="Arial" w:hAnsi="Arial" w:cs="Arial"/>
          <w:bCs w:val="0"/>
          <w:sz w:val="22"/>
          <w:szCs w:val="22"/>
        </w:rPr>
        <w:t>Supplementary Figure 2:</w:t>
      </w:r>
      <w:r>
        <w:rPr>
          <w:rFonts w:ascii="Arial" w:hAnsi="Arial" w:cs="Arial"/>
          <w:bCs w:val="0"/>
          <w:sz w:val="22"/>
          <w:szCs w:val="22"/>
        </w:rPr>
        <w:t xml:space="preserve"> </w:t>
      </w:r>
      <w:r w:rsidRPr="00B46AAE">
        <w:rPr>
          <w:rFonts w:ascii="Arial" w:hAnsi="Arial" w:cs="Arial"/>
          <w:bCs w:val="0"/>
          <w:sz w:val="22"/>
          <w:szCs w:val="22"/>
        </w:rPr>
        <w:t>Determination</w:t>
      </w:r>
      <w:r w:rsidRPr="00AE4401">
        <w:rPr>
          <w:rFonts w:ascii="Arial" w:hAnsi="Arial" w:cs="Arial"/>
          <w:sz w:val="22"/>
          <w:szCs w:val="22"/>
        </w:rPr>
        <w:t xml:space="preserve"> of TLR9</w:t>
      </w:r>
      <w:r>
        <w:rPr>
          <w:rFonts w:ascii="Arial" w:hAnsi="Arial" w:cs="Arial"/>
          <w:sz w:val="22"/>
          <w:szCs w:val="22"/>
        </w:rPr>
        <w:t>-mediated effect on cytokine production</w:t>
      </w:r>
    </w:p>
    <w:p w14:paraId="6A37ADB7" w14:textId="77777777" w:rsidR="005A2DD5" w:rsidRPr="00B53DD8" w:rsidRDefault="005A2DD5" w:rsidP="005A2DD5">
      <w:pPr>
        <w:pStyle w:val="Caption"/>
        <w:spacing w:line="480" w:lineRule="auto"/>
        <w:ind w:left="0" w:firstLine="0"/>
        <w:rPr>
          <w:rFonts w:ascii="Arial" w:hAnsi="Arial"/>
          <w:b w:val="0"/>
          <w:bCs w:val="0"/>
          <w:sz w:val="22"/>
          <w:szCs w:val="22"/>
        </w:rPr>
      </w:pPr>
      <w:r w:rsidRPr="00B53DD8">
        <w:rPr>
          <w:rFonts w:ascii="Arial" w:hAnsi="Arial"/>
          <w:b w:val="0"/>
          <w:bCs w:val="0"/>
          <w:sz w:val="22"/>
          <w:szCs w:val="22"/>
        </w:rPr>
        <w:t>Human PBMCs were isolated from Donor 3 and 4 and were treated with increasing concentrations (0.04</w:t>
      </w:r>
      <w:r w:rsidRPr="00B53DD8">
        <w:rPr>
          <w:rFonts w:ascii="Arial" w:hAnsi="Arial"/>
          <w:b w:val="0"/>
          <w:bCs w:val="0"/>
          <w:sz w:val="22"/>
          <w:szCs w:val="22"/>
        </w:rPr>
        <w:noBreakHyphen/>
        <w:t>10 µM) SD101, ODN2395 along with ctrl ODN5328 (1 µM) for 48 h Supernatants were analyzed for (</w:t>
      </w:r>
      <w:proofErr w:type="spellStart"/>
      <w:r w:rsidRPr="00B53DD8">
        <w:rPr>
          <w:rFonts w:ascii="Arial" w:hAnsi="Arial"/>
          <w:b w:val="0"/>
          <w:bCs w:val="0"/>
          <w:sz w:val="22"/>
          <w:szCs w:val="22"/>
        </w:rPr>
        <w:t>i</w:t>
      </w:r>
      <w:proofErr w:type="spellEnd"/>
      <w:r w:rsidRPr="00B53DD8">
        <w:rPr>
          <w:rFonts w:ascii="Arial" w:hAnsi="Arial"/>
          <w:b w:val="0"/>
          <w:bCs w:val="0"/>
          <w:sz w:val="22"/>
          <w:szCs w:val="22"/>
        </w:rPr>
        <w:t>) IL29, (ii) IFNα, (iii) IL6 and (iv) IL10 using Luminex assay.</w:t>
      </w:r>
    </w:p>
    <w:p w14:paraId="7510357F" w14:textId="77777777" w:rsidR="005A2DD5" w:rsidRDefault="005A2DD5" w:rsidP="005A2DD5">
      <w:pPr>
        <w:pStyle w:val="C-Footnote"/>
        <w:spacing w:line="480" w:lineRule="auto"/>
        <w:rPr>
          <w:rFonts w:ascii="Arial" w:hAnsi="Arial"/>
          <w:b/>
          <w:bCs/>
          <w:sz w:val="22"/>
          <w:szCs w:val="22"/>
        </w:rPr>
      </w:pPr>
    </w:p>
    <w:p w14:paraId="09E1382F" w14:textId="77777777" w:rsidR="005A2DD5" w:rsidRPr="00AE4401" w:rsidRDefault="005A2DD5" w:rsidP="005A2DD5">
      <w:pPr>
        <w:pStyle w:val="Caption"/>
        <w:spacing w:line="480" w:lineRule="auto"/>
        <w:ind w:left="0" w:firstLine="0"/>
        <w:rPr>
          <w:rFonts w:ascii="Arial" w:hAnsi="Arial" w:cs="Arial"/>
          <w:sz w:val="22"/>
          <w:szCs w:val="22"/>
        </w:rPr>
      </w:pPr>
      <w:r w:rsidRPr="00AE4401">
        <w:rPr>
          <w:rFonts w:ascii="Arial" w:hAnsi="Arial" w:cs="Arial"/>
          <w:sz w:val="22"/>
          <w:szCs w:val="22"/>
        </w:rPr>
        <w:t xml:space="preserve">Supplementary Figure </w:t>
      </w:r>
      <w:r>
        <w:rPr>
          <w:rFonts w:ascii="Arial" w:hAnsi="Arial" w:cs="Arial"/>
          <w:sz w:val="22"/>
          <w:szCs w:val="22"/>
        </w:rPr>
        <w:t>3</w:t>
      </w:r>
      <w:r w:rsidRPr="00AE4401">
        <w:rPr>
          <w:rFonts w:ascii="Arial" w:hAnsi="Arial" w:cs="Arial"/>
          <w:sz w:val="22"/>
          <w:szCs w:val="22"/>
        </w:rPr>
        <w:t xml:space="preserve">: TLR9 is expressed in </w:t>
      </w:r>
      <w:r>
        <w:rPr>
          <w:rFonts w:ascii="Arial" w:hAnsi="Arial" w:cs="Arial"/>
          <w:sz w:val="22"/>
          <w:szCs w:val="22"/>
        </w:rPr>
        <w:t>m</w:t>
      </w:r>
      <w:r w:rsidRPr="00AE4401">
        <w:rPr>
          <w:rFonts w:ascii="Arial" w:hAnsi="Arial" w:cs="Arial"/>
          <w:sz w:val="22"/>
          <w:szCs w:val="22"/>
        </w:rPr>
        <w:t>ouse LM-MDSC</w:t>
      </w:r>
      <w:r>
        <w:rPr>
          <w:rFonts w:ascii="Arial" w:hAnsi="Arial" w:cs="Arial"/>
          <w:sz w:val="22"/>
          <w:szCs w:val="22"/>
        </w:rPr>
        <w:t>s</w:t>
      </w:r>
    </w:p>
    <w:p w14:paraId="20351E0C" w14:textId="77777777" w:rsidR="005A2DD5" w:rsidRPr="00AE4401" w:rsidRDefault="005A2DD5" w:rsidP="005A2DD5">
      <w:pPr>
        <w:pStyle w:val="Caption"/>
        <w:spacing w:line="480" w:lineRule="auto"/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AE4401">
        <w:rPr>
          <w:rFonts w:ascii="Arial" w:hAnsi="Arial" w:cs="Arial"/>
          <w:b w:val="0"/>
          <w:bCs w:val="0"/>
          <w:sz w:val="22"/>
          <w:szCs w:val="22"/>
        </w:rPr>
        <w:t>MDSCs were isolated from mouse LM using CD11b</w:t>
      </w:r>
      <w:r w:rsidRPr="00AE4401">
        <w:rPr>
          <w:rFonts w:ascii="Arial" w:hAnsi="Arial" w:cs="Arial"/>
          <w:b w:val="0"/>
          <w:bCs w:val="0"/>
          <w:sz w:val="22"/>
          <w:szCs w:val="22"/>
          <w:vertAlign w:val="superscript"/>
        </w:rPr>
        <w:t>+</w:t>
      </w:r>
      <w:r w:rsidRPr="00AE4401">
        <w:rPr>
          <w:rFonts w:ascii="Arial" w:hAnsi="Arial" w:cs="Arial"/>
          <w:b w:val="0"/>
          <w:bCs w:val="0"/>
          <w:sz w:val="22"/>
          <w:szCs w:val="22"/>
        </w:rPr>
        <w:t>Gr1</w:t>
      </w:r>
      <w:r w:rsidRPr="00AE4401">
        <w:rPr>
          <w:rFonts w:ascii="Arial" w:hAnsi="Arial" w:cs="Arial"/>
          <w:b w:val="0"/>
          <w:bCs w:val="0"/>
          <w:sz w:val="22"/>
          <w:szCs w:val="22"/>
          <w:vertAlign w:val="superscript"/>
        </w:rPr>
        <w:t>+</w:t>
      </w:r>
      <w:r w:rsidRPr="00AE4401">
        <w:rPr>
          <w:rFonts w:ascii="Arial" w:hAnsi="Arial" w:cs="Arial"/>
          <w:b w:val="0"/>
          <w:bCs w:val="0"/>
          <w:sz w:val="22"/>
          <w:szCs w:val="22"/>
        </w:rPr>
        <w:t xml:space="preserve"> negative selection method. Cells were treated with SD101 for 24 h. Isolated RNA was analyzed for TLR9 and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IL10 by 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qRT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>-PCR</w:t>
      </w:r>
      <w:r w:rsidRPr="00AE4401">
        <w:rPr>
          <w:rFonts w:ascii="Arial" w:hAnsi="Arial" w:cs="Arial"/>
          <w:b w:val="0"/>
          <w:bCs w:val="0"/>
          <w:sz w:val="22"/>
          <w:szCs w:val="22"/>
        </w:rPr>
        <w:t>. GAPDH was used as housekeeping gene control. MDSCs were isolated from 3 independent animals and mean ± SEM was plotted in the graph.</w:t>
      </w:r>
    </w:p>
    <w:p w14:paraId="551266C0" w14:textId="77777777" w:rsidR="008B4DE5" w:rsidRDefault="005A2DD5"/>
    <w:sectPr w:rsidR="008B4D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D5"/>
    <w:rsid w:val="00534532"/>
    <w:rsid w:val="005A2DD5"/>
    <w:rsid w:val="00CA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8D453"/>
  <w15:chartTrackingRefBased/>
  <w15:docId w15:val="{41355224-26CC-48F6-9138-0C68D10F7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BodyText">
    <w:name w:val="C-Body Text"/>
    <w:link w:val="C-BodyTextChar"/>
    <w:rsid w:val="005A2DD5"/>
    <w:pPr>
      <w:spacing w:before="120" w:after="120" w:line="280" w:lineRule="atLeast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-BodyTextChar">
    <w:name w:val="C-Body Text Char"/>
    <w:link w:val="C-BodyText"/>
    <w:rsid w:val="005A2DD5"/>
    <w:rPr>
      <w:rFonts w:ascii="Times New Roman" w:eastAsia="Times New Roman" w:hAnsi="Times New Roman" w:cs="Times New Roman"/>
      <w:sz w:val="24"/>
      <w:szCs w:val="20"/>
    </w:rPr>
  </w:style>
  <w:style w:type="paragraph" w:styleId="Caption">
    <w:name w:val="caption"/>
    <w:next w:val="C-BodyText"/>
    <w:qFormat/>
    <w:rsid w:val="005A2DD5"/>
    <w:pPr>
      <w:keepNext/>
      <w:spacing w:before="120" w:after="120" w:line="280" w:lineRule="atLeast"/>
      <w:ind w:left="1440" w:hanging="144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-Footnote">
    <w:name w:val="C-Footnote"/>
    <w:basedOn w:val="Normal"/>
    <w:qFormat/>
    <w:rsid w:val="005A2DD5"/>
    <w:pPr>
      <w:tabs>
        <w:tab w:val="left" w:pos="144"/>
      </w:tabs>
      <w:spacing w:after="0" w:line="240" w:lineRule="auto"/>
    </w:pPr>
    <w:rPr>
      <w:rFonts w:ascii="Times New Roman" w:eastAsia="Times New Roman" w:hAnsi="Times New Roman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Prajna Guha</dc:creator>
  <cp:keywords/>
  <dc:description/>
  <cp:lastModifiedBy>Prajna Guha</cp:lastModifiedBy>
  <cp:revision>1</cp:revision>
  <dcterms:created xsi:type="dcterms:W3CDTF">2022-04-26T02:49:00Z</dcterms:created>
  <dcterms:modified xsi:type="dcterms:W3CDTF">2022-04-26T02:50:00Z</dcterms:modified>
</cp:coreProperties>
</file>