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FE6" w:rsidRDefault="00BF7FE6" w:rsidP="00BF7FE6">
      <w:pPr>
        <w:spacing w:after="16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Additional supplementary material</w:t>
      </w:r>
      <w:bookmarkStart w:id="0" w:name="_GoBack"/>
      <w:bookmarkEnd w:id="0"/>
    </w:p>
    <w:p w:rsidR="00BF7FE6" w:rsidRPr="003A1B69" w:rsidRDefault="00BF7FE6" w:rsidP="00BF7FE6">
      <w:pPr>
        <w:spacing w:after="16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A1B69">
        <w:rPr>
          <w:rFonts w:ascii="Times New Roman" w:hAnsi="Times New Roman" w:cs="Times New Roman"/>
          <w:b/>
          <w:bCs/>
          <w:sz w:val="24"/>
          <w:szCs w:val="24"/>
          <w:lang w:val="en-US"/>
        </w:rPr>
        <w:t>Legends to supplementary Figures</w:t>
      </w:r>
    </w:p>
    <w:p w:rsidR="00BF7FE6" w:rsidRPr="003A1B69" w:rsidRDefault="00BF7FE6" w:rsidP="00BF7FE6">
      <w:pPr>
        <w:spacing w:after="16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A1B6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Fig. S1.  </w:t>
      </w:r>
      <w:r w:rsidRPr="003A1B69">
        <w:rPr>
          <w:rFonts w:ascii="Times New Roman" w:hAnsi="Times New Roman" w:cs="Times New Roman"/>
          <w:sz w:val="24"/>
          <w:szCs w:val="24"/>
          <w:lang w:val="en-US"/>
        </w:rPr>
        <w:t xml:space="preserve">(a) RT-PCR showing intact expression of ARID2 in ITOC-02 cell line. MTT assay showing (b) doubling time (c) no significant alterations in the proliferation rate of ARID2 knockdown clones as compared to vector control. </w:t>
      </w:r>
    </w:p>
    <w:p w:rsidR="00BF7FE6" w:rsidRPr="003A1B69" w:rsidRDefault="00BF7FE6" w:rsidP="00BF7FE6">
      <w:pPr>
        <w:spacing w:after="16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A1B69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Fig. S2 </w:t>
      </w:r>
      <w:r w:rsidRPr="003A1B69">
        <w:rPr>
          <w:rFonts w:ascii="Times New Roman" w:hAnsi="Times New Roman" w:cs="Times New Roman"/>
          <w:sz w:val="24"/>
          <w:szCs w:val="24"/>
        </w:rPr>
        <w:t xml:space="preserve">KEGG Pathway analysis of differentially regulated genes (p </w:t>
      </w:r>
      <w:r w:rsidRPr="003A1B69">
        <w:rPr>
          <w:rFonts w:ascii="Times New Roman" w:hAnsi="Times New Roman" w:cs="Times New Roman"/>
          <w:sz w:val="24"/>
          <w:szCs w:val="24"/>
          <w:shd w:val="clear" w:color="auto" w:fill="FFFFFF"/>
        </w:rPr>
        <w:t>≤ </w:t>
      </w:r>
      <w:r w:rsidRPr="003A1B69">
        <w:rPr>
          <w:rFonts w:ascii="Times New Roman" w:hAnsi="Times New Roman" w:cs="Times New Roman"/>
          <w:sz w:val="24"/>
          <w:szCs w:val="24"/>
        </w:rPr>
        <w:t xml:space="preserve">0.005) using Gene Set Enrichment Analysis software revealing most significantly dysregulated pathways such as cancer pathways and PI3K/AKT pathway in </w:t>
      </w:r>
      <w:r w:rsidRPr="003A1B69">
        <w:rPr>
          <w:rFonts w:ascii="Times New Roman" w:hAnsi="Times New Roman" w:cs="Times New Roman"/>
          <w:b/>
          <w:bCs/>
          <w:sz w:val="24"/>
          <w:szCs w:val="24"/>
        </w:rPr>
        <w:t>(a)</w:t>
      </w:r>
      <w:r w:rsidRPr="003A1B69">
        <w:rPr>
          <w:rFonts w:ascii="Times New Roman" w:hAnsi="Times New Roman" w:cs="Times New Roman"/>
          <w:sz w:val="24"/>
          <w:szCs w:val="24"/>
        </w:rPr>
        <w:t xml:space="preserve"> ARID2sh1 </w:t>
      </w:r>
      <w:r w:rsidRPr="003A1B69">
        <w:rPr>
          <w:rFonts w:ascii="Times New Roman" w:hAnsi="Times New Roman" w:cs="Times New Roman"/>
          <w:b/>
          <w:bCs/>
          <w:sz w:val="24"/>
          <w:szCs w:val="24"/>
        </w:rPr>
        <w:t>(b)</w:t>
      </w:r>
      <w:r w:rsidRPr="003A1B69">
        <w:rPr>
          <w:rFonts w:ascii="Times New Roman" w:hAnsi="Times New Roman" w:cs="Times New Roman"/>
          <w:sz w:val="24"/>
          <w:szCs w:val="24"/>
        </w:rPr>
        <w:t xml:space="preserve"> ARID2sh2 knockdown clones.</w:t>
      </w:r>
    </w:p>
    <w:p w:rsidR="00BF7FE6" w:rsidRPr="003A1B69" w:rsidRDefault="00BF7FE6" w:rsidP="00BF7FE6">
      <w:pPr>
        <w:spacing w:after="16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A1B69">
        <w:rPr>
          <w:rFonts w:ascii="Times New Roman" w:hAnsi="Times New Roman" w:cs="Times New Roman"/>
          <w:b/>
          <w:bCs/>
          <w:sz w:val="24"/>
          <w:szCs w:val="24"/>
          <w:lang w:val="en-US"/>
        </w:rPr>
        <w:t>Legends to supplementary tables</w:t>
      </w:r>
    </w:p>
    <w:p w:rsidR="00BF7FE6" w:rsidRPr="003A1B69" w:rsidRDefault="00BF7FE6" w:rsidP="00BF7FE6">
      <w:pPr>
        <w:spacing w:after="160" w:line="48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3A1B69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Table S1.</w:t>
      </w:r>
      <w:r w:rsidRPr="003A1B6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A1B6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Oligos</w:t>
      </w:r>
      <w:proofErr w:type="spellEnd"/>
      <w:r w:rsidRPr="003A1B6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for </w:t>
      </w:r>
      <w:proofErr w:type="spellStart"/>
      <w:r w:rsidRPr="003A1B6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shRNA</w:t>
      </w:r>
      <w:proofErr w:type="spellEnd"/>
      <w:r w:rsidRPr="003A1B6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, RT-PCR, quantitative real Time PCR used in the study for ARID2 functional assays.</w:t>
      </w:r>
    </w:p>
    <w:p w:rsidR="00BF7FE6" w:rsidRPr="003A1B69" w:rsidRDefault="00BF7FE6" w:rsidP="00BF7FE6">
      <w:pPr>
        <w:spacing w:after="16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A1B6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S2. </w:t>
      </w:r>
      <w:r w:rsidRPr="003A1B69">
        <w:rPr>
          <w:rFonts w:ascii="Times New Roman" w:hAnsi="Times New Roman" w:cs="Times New Roman"/>
          <w:bCs/>
          <w:sz w:val="24"/>
          <w:szCs w:val="24"/>
          <w:lang w:val="en-US"/>
        </w:rPr>
        <w:t>Transcriptome profiling showing significantly differentially regulated genes in   clone 1 (ARID2sh1)</w:t>
      </w:r>
      <w:r w:rsidRPr="003A1B69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</w:p>
    <w:p w:rsidR="00BF7FE6" w:rsidRPr="003A1B69" w:rsidRDefault="00BF7FE6" w:rsidP="00BF7FE6">
      <w:pPr>
        <w:spacing w:after="16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3A1B6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S3. </w:t>
      </w:r>
      <w:r w:rsidRPr="003A1B69">
        <w:rPr>
          <w:rFonts w:ascii="Times New Roman" w:hAnsi="Times New Roman" w:cs="Times New Roman"/>
          <w:bCs/>
          <w:sz w:val="24"/>
          <w:szCs w:val="24"/>
          <w:lang w:val="en-US"/>
        </w:rPr>
        <w:t>Transcriptome profiling showing significantly differentially regulated genes in   clone 2 (ARID2sh2).</w:t>
      </w:r>
    </w:p>
    <w:p w:rsidR="00BF7FE6" w:rsidRPr="003A1B69" w:rsidRDefault="00BF7FE6" w:rsidP="00BF7FE6">
      <w:pPr>
        <w:spacing w:after="16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B6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S4. </w:t>
      </w:r>
      <w:r w:rsidRPr="003A1B69">
        <w:rPr>
          <w:rFonts w:ascii="Times New Roman" w:hAnsi="Times New Roman" w:cs="Times New Roman"/>
          <w:sz w:val="24"/>
          <w:szCs w:val="24"/>
        </w:rPr>
        <w:t>Gene ontology (GO) analysis of differentially regulated genes using a software from Max Plank Institute for molecular genetics (</w:t>
      </w:r>
      <w:hyperlink r:id="rId4" w:history="1">
        <w:r w:rsidRPr="003A1B69">
          <w:rPr>
            <w:rStyle w:val="Hyperlink"/>
            <w:rFonts w:ascii="Times New Roman" w:hAnsi="Times New Roman" w:cs="Times New Roman"/>
            <w:sz w:val="24"/>
            <w:szCs w:val="24"/>
          </w:rPr>
          <w:t>http://cpdb.molgen.mpg.de/</w:t>
        </w:r>
      </w:hyperlink>
      <w:r w:rsidRPr="003A1B69">
        <w:rPr>
          <w:rFonts w:ascii="Times New Roman" w:hAnsi="Times New Roman" w:cs="Times New Roman"/>
          <w:sz w:val="24"/>
          <w:szCs w:val="24"/>
        </w:rPr>
        <w:t>) unravelling significant involvement of the genes in various biological process and molecular function.</w:t>
      </w:r>
    </w:p>
    <w:p w:rsidR="001E0D20" w:rsidRDefault="00BF7FE6"/>
    <w:sectPr w:rsidR="001E0D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FE6"/>
    <w:rsid w:val="001F0510"/>
    <w:rsid w:val="008D7879"/>
    <w:rsid w:val="00BF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AAB70"/>
  <w15:chartTrackingRefBased/>
  <w15:docId w15:val="{5C02C3F1-9F77-4DC7-859E-F784A16F2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7FE6"/>
    <w:pPr>
      <w:spacing w:after="200" w:line="276" w:lineRule="auto"/>
    </w:pPr>
    <w:rPr>
      <w:rFonts w:eastAsiaTheme="minorEastAsia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F7F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cpdb.molgen.mpg.d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2022-06-24T08:28:00Z</dcterms:created>
  <dcterms:modified xsi:type="dcterms:W3CDTF">2022-06-24T08:29:00Z</dcterms:modified>
</cp:coreProperties>
</file>