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7F9C0" w14:textId="11A9CFD2" w:rsidR="00336F1F" w:rsidRDefault="00DA7EBE" w:rsidP="00B31415">
      <w:pPr>
        <w:spacing w:line="360" w:lineRule="auto"/>
        <w:rPr>
          <w:rFonts w:ascii="Times New Roman" w:hAnsi="Times New Roman" w:cs="Times New Roman"/>
          <w:b/>
          <w:bCs/>
        </w:rPr>
      </w:pPr>
      <w:r w:rsidRPr="00DA7EBE">
        <w:rPr>
          <w:rFonts w:ascii="Times New Roman" w:hAnsi="Times New Roman" w:cs="Times New Roman"/>
          <w:b/>
          <w:bCs/>
        </w:rPr>
        <w:t>Supplemental information</w:t>
      </w:r>
    </w:p>
    <w:p w14:paraId="3A965D7E" w14:textId="7D4C3E16" w:rsidR="009D26F4" w:rsidRPr="00E13168" w:rsidRDefault="009D26F4" w:rsidP="00B31415">
      <w:pPr>
        <w:spacing w:line="360" w:lineRule="auto"/>
        <w:rPr>
          <w:rFonts w:ascii="Times New Roman" w:eastAsia="新細明體" w:hAnsi="Times New Roman" w:cs="Times New Roman"/>
          <w:b/>
          <w:bCs/>
          <w:color w:val="000000" w:themeColor="text1"/>
          <w:kern w:val="0"/>
        </w:rPr>
      </w:pPr>
      <w:r w:rsidRPr="00E13168">
        <w:rPr>
          <w:rFonts w:ascii="Times New Roman" w:hAnsi="Times New Roman" w:cs="Times New Roman"/>
          <w:b/>
          <w:bCs/>
          <w:color w:val="000000" w:themeColor="text1"/>
        </w:rPr>
        <w:t>Supplemental</w:t>
      </w:r>
      <w:r w:rsidRPr="00E13168">
        <w:rPr>
          <w:rFonts w:ascii="Times New Roman" w:hAnsi="Times New Roman" w:cs="Times New Roman" w:hint="eastAsia"/>
          <w:b/>
          <w:bCs/>
          <w:color w:val="000000" w:themeColor="text1"/>
        </w:rPr>
        <w:t xml:space="preserve"> T</w:t>
      </w:r>
      <w:r w:rsidRPr="00E13168">
        <w:rPr>
          <w:rFonts w:ascii="Times New Roman" w:hAnsi="Times New Roman" w:cs="Times New Roman"/>
          <w:b/>
          <w:bCs/>
          <w:color w:val="000000" w:themeColor="text1"/>
        </w:rPr>
        <w:t>able 1</w:t>
      </w:r>
      <w:r w:rsidR="0055721C" w:rsidRPr="00E13168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E1316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E13168">
        <w:rPr>
          <w:rFonts w:ascii="Times New Roman" w:eastAsia="新細明體" w:hAnsi="Times New Roman" w:cs="Times New Roman"/>
          <w:b/>
          <w:bCs/>
          <w:color w:val="000000" w:themeColor="text1"/>
          <w:kern w:val="0"/>
        </w:rPr>
        <w:t>List of antibodies used in the study</w:t>
      </w:r>
    </w:p>
    <w:p w14:paraId="7FCC83F9" w14:textId="01C831EF" w:rsidR="009D26F4" w:rsidRDefault="00E81846" w:rsidP="00B31415">
      <w:pPr>
        <w:spacing w:line="360" w:lineRule="auto"/>
        <w:rPr>
          <w:rFonts w:ascii="Times New Roman" w:hAnsi="Times New Roman" w:cs="Times New Roman"/>
          <w:b/>
          <w:bCs/>
        </w:rPr>
      </w:pPr>
      <w:r w:rsidRPr="00E81846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E1D960D" wp14:editId="00126A7C">
            <wp:extent cx="4394200" cy="19685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38410" w14:textId="02F7F3AF" w:rsidR="0055721C" w:rsidRPr="00E13168" w:rsidRDefault="009D26F4" w:rsidP="0055721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E13168">
        <w:rPr>
          <w:rFonts w:ascii="Times New Roman" w:hAnsi="Times New Roman" w:cs="Times New Roman"/>
          <w:b/>
          <w:bCs/>
          <w:color w:val="000000" w:themeColor="text1"/>
        </w:rPr>
        <w:t>Supplemental</w:t>
      </w:r>
      <w:r w:rsidRPr="00E13168">
        <w:rPr>
          <w:rFonts w:ascii="Times New Roman" w:hAnsi="Times New Roman" w:cs="Times New Roman" w:hint="eastAsia"/>
          <w:b/>
          <w:bCs/>
          <w:color w:val="000000" w:themeColor="text1"/>
        </w:rPr>
        <w:t xml:space="preserve"> T</w:t>
      </w:r>
      <w:r w:rsidRPr="00E13168">
        <w:rPr>
          <w:rFonts w:ascii="Times New Roman" w:hAnsi="Times New Roman" w:cs="Times New Roman"/>
          <w:b/>
          <w:bCs/>
          <w:color w:val="000000" w:themeColor="text1"/>
        </w:rPr>
        <w:t>able 2</w:t>
      </w:r>
      <w:r w:rsidR="0055721C" w:rsidRPr="00E13168">
        <w:rPr>
          <w:rFonts w:ascii="Times New Roman" w:hAnsi="Times New Roman" w:cs="Times New Roman"/>
          <w:b/>
          <w:bCs/>
          <w:color w:val="000000" w:themeColor="text1"/>
        </w:rPr>
        <w:t>: The clinical information of 253 TNBC patients</w:t>
      </w:r>
    </w:p>
    <w:p w14:paraId="168489D1" w14:textId="0C2EFDEB" w:rsidR="009D26F4" w:rsidRPr="0055721C" w:rsidRDefault="00E81846" w:rsidP="00B31415">
      <w:pPr>
        <w:spacing w:line="360" w:lineRule="auto"/>
        <w:rPr>
          <w:rFonts w:ascii="Times New Roman" w:hAnsi="Times New Roman" w:cs="Times New Roman"/>
          <w:b/>
          <w:bCs/>
        </w:rPr>
      </w:pPr>
      <w:r w:rsidRPr="00E81846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1CFD6A0" wp14:editId="181F9DC2">
            <wp:extent cx="3161466" cy="4064742"/>
            <wp:effectExtent l="0" t="0" r="127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8624" cy="407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CE991" w14:textId="77777777" w:rsidR="00B138EA" w:rsidRDefault="00B138EA" w:rsidP="00B3141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8D3943E" w14:textId="77777777" w:rsidR="00B138EA" w:rsidRDefault="00B138EA" w:rsidP="00B3141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D6A80B9" w14:textId="77777777" w:rsidR="00B138EA" w:rsidRDefault="00B138EA" w:rsidP="00B3141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2DA1D4A" w14:textId="77777777" w:rsidR="00B138EA" w:rsidRDefault="00B138EA" w:rsidP="00B3141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683B2A2" w14:textId="77777777" w:rsidR="00B138EA" w:rsidRDefault="00B138EA" w:rsidP="00B3141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8E46DF2" w14:textId="74A26EDB" w:rsidR="00DA7EBE" w:rsidRPr="005F0A10" w:rsidRDefault="009D26F4" w:rsidP="00B3141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DA7EBE">
        <w:rPr>
          <w:rFonts w:ascii="Times New Roman" w:hAnsi="Times New Roman" w:cs="Times New Roman"/>
          <w:b/>
          <w:bCs/>
        </w:rPr>
        <w:lastRenderedPageBreak/>
        <w:t>Supplemental</w:t>
      </w:r>
      <w:r w:rsidRPr="005F0A1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="00DA7EBE" w:rsidRPr="005F0A10">
        <w:rPr>
          <w:rFonts w:ascii="Times New Roman" w:hAnsi="Times New Roman" w:cs="Times New Roman"/>
          <w:b/>
          <w:bCs/>
          <w:color w:val="000000" w:themeColor="text1"/>
          <w:szCs w:val="24"/>
        </w:rPr>
        <w:t>Figure legends</w:t>
      </w:r>
    </w:p>
    <w:p w14:paraId="2DB696AF" w14:textId="77777777" w:rsidR="00B138EA" w:rsidRDefault="00B138EA" w:rsidP="00B3141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B906A1E" w14:textId="32F36F31" w:rsidR="00DA7EBE" w:rsidRPr="00F46170" w:rsidRDefault="00DA7EBE" w:rsidP="00E13168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E13168">
        <w:rPr>
          <w:rFonts w:ascii="Times New Roman" w:hAnsi="Times New Roman" w:cs="Times New Roman" w:hint="eastAsia"/>
          <w:b/>
          <w:bCs/>
          <w:color w:val="000000" w:themeColor="text1"/>
        </w:rPr>
        <w:t>F</w:t>
      </w:r>
      <w:r w:rsidRPr="00E13168">
        <w:rPr>
          <w:rFonts w:ascii="Times New Roman" w:hAnsi="Times New Roman" w:cs="Times New Roman"/>
          <w:b/>
          <w:bCs/>
          <w:color w:val="000000" w:themeColor="text1"/>
        </w:rPr>
        <w:t xml:space="preserve">igure S1. </w:t>
      </w:r>
      <w:r w:rsidR="0029726F" w:rsidRPr="00E13168">
        <w:rPr>
          <w:rFonts w:ascii="Times New Roman" w:hAnsi="Times New Roman" w:cs="Times New Roman"/>
          <w:color w:val="000000" w:themeColor="text1"/>
        </w:rPr>
        <w:t xml:space="preserve">A. </w:t>
      </w:r>
      <w:r w:rsidRPr="00E13168">
        <w:rPr>
          <w:rFonts w:ascii="Times New Roman" w:hAnsi="Times New Roman" w:cs="Times New Roman"/>
          <w:color w:val="000000" w:themeColor="text1"/>
        </w:rPr>
        <w:t xml:space="preserve">The </w:t>
      </w:r>
      <w:r w:rsidRPr="00E13168">
        <w:rPr>
          <w:rFonts w:ascii="Times New Roman" w:hAnsi="Times New Roman" w:cs="Times New Roman"/>
          <w:i/>
          <w:iCs/>
          <w:color w:val="000000" w:themeColor="text1"/>
        </w:rPr>
        <w:t>in vitro</w:t>
      </w:r>
      <w:r w:rsidRPr="00E13168">
        <w:rPr>
          <w:rFonts w:ascii="Times New Roman" w:hAnsi="Times New Roman" w:cs="Times New Roman"/>
          <w:color w:val="000000" w:themeColor="text1"/>
        </w:rPr>
        <w:t xml:space="preserve"> invasion selection system.</w:t>
      </w:r>
      <w:r w:rsidRPr="00E1316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E13168">
        <w:rPr>
          <w:rFonts w:ascii="Times New Roman" w:hAnsi="Times New Roman" w:cs="Times New Roman"/>
          <w:color w:val="000000" w:themeColor="text1"/>
        </w:rPr>
        <w:t>The diagram shows the selection system. The un-invasive (MB231 1-0) and highly invasive (MB231 1-5) cells were selected from the parental MB231 cells.</w:t>
      </w:r>
      <w:r w:rsidR="0029726F" w:rsidRPr="00E13168">
        <w:rPr>
          <w:rFonts w:ascii="Times New Roman" w:hAnsi="Times New Roman" w:cs="Times New Roman"/>
          <w:color w:val="000000" w:themeColor="text1"/>
        </w:rPr>
        <w:t xml:space="preserve"> B. </w:t>
      </w:r>
      <w:r w:rsidR="009B2C1F" w:rsidRPr="00E13168">
        <w:rPr>
          <w:rFonts w:ascii="Times New Roman" w:hAnsi="Times New Roman" w:cs="Times New Roman"/>
          <w:color w:val="000000" w:themeColor="text1"/>
        </w:rPr>
        <w:t>MDA-MB231 cell line was fat-pad injected into NOD-SCID mice. After 9 weeks, the organs were collected and detected through</w:t>
      </w:r>
      <w:r w:rsidR="001D664C" w:rsidRPr="00E13168">
        <w:rPr>
          <w:rFonts w:ascii="Times New Roman" w:hAnsi="Times New Roman" w:cs="Times New Roman"/>
          <w:color w:val="000000" w:themeColor="text1"/>
        </w:rPr>
        <w:t xml:space="preserve"> IVIS system </w:t>
      </w:r>
      <w:r w:rsidR="001D664C" w:rsidRPr="00E13168">
        <w:rPr>
          <w:rFonts w:ascii="Times New Roman" w:hAnsi="Times New Roman" w:cs="Times New Roman"/>
          <w:i/>
          <w:iCs/>
          <w:color w:val="000000" w:themeColor="text1"/>
        </w:rPr>
        <w:t>ex vivo</w:t>
      </w:r>
      <w:r w:rsidR="001D664C" w:rsidRPr="00E13168">
        <w:rPr>
          <w:rFonts w:ascii="Times New Roman" w:hAnsi="Times New Roman" w:cs="Times New Roman"/>
          <w:color w:val="000000" w:themeColor="text1"/>
        </w:rPr>
        <w:t>.</w:t>
      </w:r>
    </w:p>
    <w:p w14:paraId="5F48EC0B" w14:textId="77777777" w:rsidR="00B138EA" w:rsidRDefault="00B138EA" w:rsidP="00B31415">
      <w:pPr>
        <w:spacing w:line="360" w:lineRule="auto"/>
        <w:rPr>
          <w:rFonts w:ascii="Times New Roman" w:hAnsi="Times New Roman" w:cs="Times New Roman"/>
        </w:rPr>
      </w:pPr>
    </w:p>
    <w:p w14:paraId="6A9683B5" w14:textId="2206BC2E" w:rsidR="00DA7EBE" w:rsidRDefault="00B138EA" w:rsidP="00B31415">
      <w:pPr>
        <w:spacing w:line="360" w:lineRule="auto"/>
        <w:rPr>
          <w:rFonts w:ascii="Times New Roman" w:hAnsi="Times New Roman" w:cs="Times New Roman"/>
        </w:rPr>
      </w:pPr>
      <w:r w:rsidRPr="008423C0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76DFBF0" wp14:editId="5E0D6702">
            <wp:extent cx="5374519" cy="2723176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854" b="28871"/>
                    <a:stretch/>
                  </pic:blipFill>
                  <pic:spPr bwMode="auto">
                    <a:xfrm>
                      <a:off x="0" y="0"/>
                      <a:ext cx="5421923" cy="274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88434" w14:textId="0B943C4A" w:rsidR="00AF211E" w:rsidRDefault="00AF211E" w:rsidP="00B31415">
      <w:pPr>
        <w:spacing w:line="360" w:lineRule="auto"/>
        <w:rPr>
          <w:rFonts w:ascii="Times New Roman" w:hAnsi="Times New Roman" w:cs="Times New Roman"/>
        </w:rPr>
      </w:pPr>
    </w:p>
    <w:p w14:paraId="50D991A3" w14:textId="45B5013E" w:rsidR="00B138EA" w:rsidRDefault="00B138EA" w:rsidP="00B31415">
      <w:pPr>
        <w:spacing w:line="360" w:lineRule="auto"/>
        <w:rPr>
          <w:rFonts w:ascii="Times New Roman" w:hAnsi="Times New Roman" w:cs="Times New Roman"/>
        </w:rPr>
      </w:pPr>
    </w:p>
    <w:p w14:paraId="4BFD77FF" w14:textId="77777777" w:rsidR="00B138EA" w:rsidRDefault="00B138EA" w:rsidP="00B31415">
      <w:pPr>
        <w:spacing w:line="360" w:lineRule="auto"/>
        <w:rPr>
          <w:rFonts w:ascii="Times New Roman" w:hAnsi="Times New Roman" w:cs="Times New Roman"/>
        </w:rPr>
      </w:pPr>
    </w:p>
    <w:p w14:paraId="6482EB0A" w14:textId="77777777" w:rsidR="00B138EA" w:rsidRDefault="00B138EA" w:rsidP="00B3141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92DBC1B" w14:textId="77777777" w:rsidR="00B138EA" w:rsidRDefault="00B138EA" w:rsidP="00B3141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54AF65F" w14:textId="77777777" w:rsidR="00B138EA" w:rsidRDefault="00B138EA" w:rsidP="00B3141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1865FB1" w14:textId="77777777" w:rsidR="00B138EA" w:rsidRDefault="00B138EA" w:rsidP="00B3141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2D18C79" w14:textId="77777777" w:rsidR="00B138EA" w:rsidRDefault="00B138EA" w:rsidP="00B3141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E12D8F7" w14:textId="77777777" w:rsidR="00B138EA" w:rsidRDefault="00B138EA" w:rsidP="00B3141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C74EBB6" w14:textId="77777777" w:rsidR="00B138EA" w:rsidRDefault="00B138EA" w:rsidP="00B3141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69C4532" w14:textId="7C836BD9" w:rsidR="00DA7EBE" w:rsidRDefault="00DA7EBE" w:rsidP="00B31415">
      <w:pPr>
        <w:spacing w:line="360" w:lineRule="auto"/>
        <w:rPr>
          <w:rFonts w:ascii="Times New Roman" w:hAnsi="Times New Roman" w:cs="Times New Roman"/>
        </w:rPr>
      </w:pPr>
      <w:r w:rsidRPr="00A63491">
        <w:rPr>
          <w:rFonts w:ascii="Times New Roman" w:hAnsi="Times New Roman" w:cs="Times New Roman" w:hint="eastAsia"/>
          <w:b/>
          <w:bCs/>
        </w:rPr>
        <w:lastRenderedPageBreak/>
        <w:t>F</w:t>
      </w:r>
      <w:r w:rsidRPr="00A63491">
        <w:rPr>
          <w:rFonts w:ascii="Times New Roman" w:hAnsi="Times New Roman" w:cs="Times New Roman"/>
          <w:b/>
          <w:bCs/>
        </w:rPr>
        <w:t>igure S2. The RNA sequencing analysis to reveal the differential expression pathways in MB231-CTMP compared with the parental MB231 cells</w:t>
      </w:r>
      <w:r w:rsidR="00A63491" w:rsidRPr="00A63491">
        <w:rPr>
          <w:rFonts w:ascii="Times New Roman" w:hAnsi="Times New Roman" w:cs="Times New Roman"/>
          <w:b/>
          <w:bCs/>
        </w:rPr>
        <w:t xml:space="preserve">. </w:t>
      </w:r>
      <w:r w:rsidR="00A63491">
        <w:rPr>
          <w:rFonts w:ascii="Times New Roman" w:hAnsi="Times New Roman" w:cs="Times New Roman"/>
        </w:rPr>
        <w:t>The analysis of KEGG pathway, cellular component, biological process</w:t>
      </w:r>
      <w:r w:rsidR="005B420F">
        <w:rPr>
          <w:rFonts w:ascii="Times New Roman" w:hAnsi="Times New Roman" w:cs="Times New Roman"/>
        </w:rPr>
        <w:t>, and molecular function significantly enh</w:t>
      </w:r>
      <w:r w:rsidR="005B420F">
        <w:rPr>
          <w:rFonts w:ascii="Times New Roman" w:hAnsi="Times New Roman" w:cs="Times New Roman" w:hint="eastAsia"/>
        </w:rPr>
        <w:t>a</w:t>
      </w:r>
      <w:r w:rsidR="005B420F">
        <w:rPr>
          <w:rFonts w:ascii="Times New Roman" w:hAnsi="Times New Roman" w:cs="Times New Roman"/>
        </w:rPr>
        <w:t>nced in CTMP overexpression MB231 cells compared to the parental cells.</w:t>
      </w:r>
    </w:p>
    <w:p w14:paraId="58CD4FA7" w14:textId="5775A231" w:rsidR="00B138EA" w:rsidRDefault="00B138EA" w:rsidP="00B31415">
      <w:pPr>
        <w:spacing w:line="360" w:lineRule="auto"/>
        <w:rPr>
          <w:rFonts w:ascii="Times New Roman" w:hAnsi="Times New Roman" w:cs="Times New Roman"/>
        </w:rPr>
      </w:pPr>
    </w:p>
    <w:p w14:paraId="56DC1A8D" w14:textId="27ED6AB1" w:rsidR="00B138EA" w:rsidRDefault="00B138EA" w:rsidP="00B3141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60303604" wp14:editId="749C8220">
            <wp:extent cx="4859655" cy="6487568"/>
            <wp:effectExtent l="0" t="0" r="4445" b="254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9"/>
                    <a:stretch/>
                  </pic:blipFill>
                  <pic:spPr bwMode="auto">
                    <a:xfrm>
                      <a:off x="0" y="0"/>
                      <a:ext cx="4862789" cy="6491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ACF267" w14:textId="533D45DA" w:rsidR="00786FF5" w:rsidRPr="00E13168" w:rsidRDefault="00AA3771" w:rsidP="00E131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13168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Figure 3.</w:t>
      </w:r>
      <w:r w:rsidR="00786FF5" w:rsidRPr="00E13168">
        <w:rPr>
          <w:rFonts w:ascii="Times New Roman" w:hAnsi="Times New Roman" w:cs="Times New Roman"/>
          <w:b/>
          <w:bCs/>
          <w:color w:val="000000" w:themeColor="text1"/>
        </w:rPr>
        <w:t xml:space="preserve"> RT-qPCR analysis of various TNBC </w:t>
      </w:r>
      <w:r w:rsidR="006F2D84" w:rsidRPr="00E13168">
        <w:rPr>
          <w:rFonts w:ascii="Times New Roman" w:hAnsi="Times New Roman" w:cs="Times New Roman"/>
          <w:b/>
          <w:bCs/>
          <w:color w:val="000000" w:themeColor="text1"/>
        </w:rPr>
        <w:t>cells,</w:t>
      </w:r>
      <w:r w:rsidR="00786FF5" w:rsidRPr="00E13168">
        <w:rPr>
          <w:rFonts w:ascii="Times New Roman" w:hAnsi="Times New Roman" w:cs="Times New Roman"/>
          <w:b/>
          <w:bCs/>
          <w:color w:val="000000" w:themeColor="text1"/>
        </w:rPr>
        <w:t xml:space="preserve"> CTMP overexpression BT549 cells, and CTMP knockdown MDA-MB231 cells.</w:t>
      </w:r>
    </w:p>
    <w:p w14:paraId="05E0D8DE" w14:textId="202BF5EB" w:rsidR="00AA3771" w:rsidRPr="00E13168" w:rsidRDefault="00AA3771" w:rsidP="00E131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E13168">
        <w:rPr>
          <w:rFonts w:ascii="Times New Roman" w:hAnsi="Times New Roman" w:cs="Times New Roman"/>
          <w:color w:val="000000" w:themeColor="text1"/>
        </w:rPr>
        <w:t>A</w:t>
      </w:r>
      <w:r w:rsidR="00E13168">
        <w:rPr>
          <w:rFonts w:ascii="Times New Roman" w:hAnsi="Times New Roman" w:cs="Times New Roman"/>
          <w:color w:val="000000" w:themeColor="text1"/>
        </w:rPr>
        <w:t>.</w:t>
      </w:r>
      <w:r w:rsidRPr="00E13168">
        <w:rPr>
          <w:rFonts w:ascii="Times New Roman" w:hAnsi="Times New Roman" w:cs="Times New Roman"/>
          <w:color w:val="000000" w:themeColor="text1"/>
        </w:rPr>
        <w:t xml:space="preserve"> RT-qPCR analys</w:t>
      </w:r>
      <w:r w:rsidR="00786FF5" w:rsidRPr="00E13168">
        <w:rPr>
          <w:rFonts w:ascii="Times New Roman" w:hAnsi="Times New Roman" w:cs="Times New Roman"/>
          <w:color w:val="000000" w:themeColor="text1"/>
        </w:rPr>
        <w:t>i</w:t>
      </w:r>
      <w:r w:rsidRPr="00E13168">
        <w:rPr>
          <w:rFonts w:ascii="Times New Roman" w:hAnsi="Times New Roman" w:cs="Times New Roman"/>
          <w:color w:val="000000" w:themeColor="text1"/>
        </w:rPr>
        <w:t>s of CTMP mRNA in the indicated breast tumor cell lines and the RT-qPCR results were normalized to MDA-MB231. Error bars, SEM. n=3.</w:t>
      </w:r>
      <w:r w:rsidR="00E1316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E13168">
        <w:rPr>
          <w:rFonts w:ascii="Times New Roman" w:hAnsi="Times New Roman" w:cs="Times New Roman"/>
          <w:color w:val="000000" w:themeColor="text1"/>
        </w:rPr>
        <w:t>B</w:t>
      </w:r>
      <w:r w:rsidR="00E13168">
        <w:rPr>
          <w:rFonts w:ascii="Times New Roman" w:hAnsi="Times New Roman" w:cs="Times New Roman"/>
          <w:color w:val="000000" w:themeColor="text1"/>
        </w:rPr>
        <w:t>.</w:t>
      </w:r>
      <w:r w:rsidRPr="00E13168">
        <w:rPr>
          <w:rFonts w:ascii="Times New Roman" w:hAnsi="Times New Roman" w:cs="Times New Roman"/>
          <w:color w:val="000000" w:themeColor="text1"/>
        </w:rPr>
        <w:t xml:space="preserve"> RT-qPCR analysis of CTMP expression in control and CTMP overexpression cells (BT549), or (C) control and </w:t>
      </w:r>
      <w:proofErr w:type="spellStart"/>
      <w:r w:rsidRPr="00E13168">
        <w:rPr>
          <w:rFonts w:ascii="Times New Roman" w:hAnsi="Times New Roman" w:cs="Times New Roman"/>
          <w:color w:val="000000" w:themeColor="text1"/>
        </w:rPr>
        <w:t>sh</w:t>
      </w:r>
      <w:proofErr w:type="spellEnd"/>
      <w:r w:rsidRPr="00E13168">
        <w:rPr>
          <w:rFonts w:ascii="Times New Roman" w:hAnsi="Times New Roman" w:cs="Times New Roman"/>
          <w:color w:val="000000" w:themeColor="text1"/>
        </w:rPr>
        <w:t>-CTMP cells (MDA231). Error bars, SEM. n=3. ****p</w:t>
      </w:r>
      <w:r w:rsidRPr="00E13168">
        <w:rPr>
          <w:rFonts w:ascii="Times New Roman" w:hAnsi="Times New Roman" w:cs="Times New Roman"/>
          <w:color w:val="000000" w:themeColor="text1"/>
        </w:rPr>
        <w:t>＜</w:t>
      </w:r>
      <w:r w:rsidRPr="00E13168">
        <w:rPr>
          <w:rFonts w:ascii="Times New Roman" w:hAnsi="Times New Roman" w:cs="Times New Roman"/>
          <w:color w:val="000000" w:themeColor="text1"/>
        </w:rPr>
        <w:t>0.0001 by Student’s t test.</w:t>
      </w:r>
    </w:p>
    <w:p w14:paraId="1DEC8149" w14:textId="77777777" w:rsidR="00AA3771" w:rsidRPr="008423C0" w:rsidRDefault="00AA3771" w:rsidP="00AA377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8423C0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5288FAF" wp14:editId="170FD836">
            <wp:extent cx="5583096" cy="2040857"/>
            <wp:effectExtent l="0" t="0" r="0" b="4445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8977" cy="205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2CB6F" w14:textId="77777777" w:rsidR="00AA3771" w:rsidRPr="00A63491" w:rsidRDefault="00AA3771" w:rsidP="00B31415">
      <w:pPr>
        <w:spacing w:line="360" w:lineRule="auto"/>
        <w:rPr>
          <w:rFonts w:ascii="Times New Roman" w:hAnsi="Times New Roman" w:cs="Times New Roman"/>
        </w:rPr>
      </w:pPr>
    </w:p>
    <w:sectPr w:rsidR="00AA3771" w:rsidRPr="00A634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CDA7C" w14:textId="77777777" w:rsidR="00F5602D" w:rsidRDefault="00F5602D" w:rsidP="00B31415">
      <w:r>
        <w:separator/>
      </w:r>
    </w:p>
  </w:endnote>
  <w:endnote w:type="continuationSeparator" w:id="0">
    <w:p w14:paraId="2153E05B" w14:textId="77777777" w:rsidR="00F5602D" w:rsidRDefault="00F5602D" w:rsidP="00B31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A2869" w14:textId="77777777" w:rsidR="00F5602D" w:rsidRDefault="00F5602D" w:rsidP="00B31415">
      <w:r>
        <w:separator/>
      </w:r>
    </w:p>
  </w:footnote>
  <w:footnote w:type="continuationSeparator" w:id="0">
    <w:p w14:paraId="50CE7DD6" w14:textId="77777777" w:rsidR="00F5602D" w:rsidRDefault="00F5602D" w:rsidP="00B31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BE"/>
    <w:rsid w:val="000B45CA"/>
    <w:rsid w:val="001D664C"/>
    <w:rsid w:val="0029726F"/>
    <w:rsid w:val="002C0350"/>
    <w:rsid w:val="00336F1F"/>
    <w:rsid w:val="00524779"/>
    <w:rsid w:val="0055721C"/>
    <w:rsid w:val="005B420F"/>
    <w:rsid w:val="006F2D84"/>
    <w:rsid w:val="00710933"/>
    <w:rsid w:val="00786FF5"/>
    <w:rsid w:val="00811333"/>
    <w:rsid w:val="00830078"/>
    <w:rsid w:val="008A7652"/>
    <w:rsid w:val="008D49CC"/>
    <w:rsid w:val="00997681"/>
    <w:rsid w:val="009B2C1F"/>
    <w:rsid w:val="009D26F4"/>
    <w:rsid w:val="00A63491"/>
    <w:rsid w:val="00AA3771"/>
    <w:rsid w:val="00AF211E"/>
    <w:rsid w:val="00B138EA"/>
    <w:rsid w:val="00B14B6B"/>
    <w:rsid w:val="00B31415"/>
    <w:rsid w:val="00C1700E"/>
    <w:rsid w:val="00D859D8"/>
    <w:rsid w:val="00DA7EBE"/>
    <w:rsid w:val="00E13168"/>
    <w:rsid w:val="00E23BDC"/>
    <w:rsid w:val="00E81846"/>
    <w:rsid w:val="00F46170"/>
    <w:rsid w:val="00F5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90EB2"/>
  <w15:chartTrackingRefBased/>
  <w15:docId w15:val="{AC97E127-C31F-48DA-A941-3A1B1B75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4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141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14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1415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5721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ChengHan Lin</dc:creator>
  <cp:keywords/>
  <dc:description/>
  <cp:lastModifiedBy>林文德</cp:lastModifiedBy>
  <cp:revision>3</cp:revision>
  <cp:lastPrinted>2021-09-17T01:22:00Z</cp:lastPrinted>
  <dcterms:created xsi:type="dcterms:W3CDTF">2022-10-18T02:06:00Z</dcterms:created>
  <dcterms:modified xsi:type="dcterms:W3CDTF">2022-10-18T02:09:00Z</dcterms:modified>
</cp:coreProperties>
</file>