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83CE2" w14:textId="4EB74F4F" w:rsidR="00921277" w:rsidRDefault="00921277" w:rsidP="00966F87">
      <w:pPr>
        <w:rPr>
          <w:rFonts w:ascii="Times New Roman" w:eastAsia="宋体" w:hAnsi="Times New Roman" w:cs="Times New Roman"/>
          <w:b/>
          <w:bCs/>
          <w:sz w:val="24"/>
          <w:szCs w:val="28"/>
        </w:rPr>
      </w:pPr>
      <w:r w:rsidRPr="00921277">
        <w:rPr>
          <w:rFonts w:ascii="Times New Roman" w:eastAsia="宋体" w:hAnsi="Times New Roman" w:cs="Times New Roman"/>
          <w:b/>
          <w:bCs/>
          <w:sz w:val="24"/>
          <w:szCs w:val="28"/>
        </w:rPr>
        <w:t>Supplementary figure and table legends</w:t>
      </w:r>
      <w:r w:rsidRPr="00921277">
        <w:rPr>
          <w:rFonts w:ascii="Times New Roman" w:eastAsia="宋体" w:hAnsi="Times New Roman" w:cs="Times New Roman" w:hint="eastAsia"/>
          <w:b/>
          <w:bCs/>
          <w:sz w:val="24"/>
          <w:szCs w:val="28"/>
        </w:rPr>
        <w:t xml:space="preserve"> </w:t>
      </w:r>
    </w:p>
    <w:p w14:paraId="3A6F2196" w14:textId="77777777" w:rsidR="00921277" w:rsidRDefault="00921277" w:rsidP="00966F87">
      <w:pPr>
        <w:rPr>
          <w:rFonts w:ascii="Times New Roman" w:eastAsia="宋体" w:hAnsi="Times New Roman" w:cs="Times New Roman"/>
          <w:b/>
          <w:bCs/>
          <w:sz w:val="24"/>
          <w:szCs w:val="28"/>
        </w:rPr>
      </w:pPr>
    </w:p>
    <w:p w14:paraId="29F11601" w14:textId="3F94618D" w:rsidR="00966F87" w:rsidRPr="00EB65F7" w:rsidRDefault="00966F87" w:rsidP="00966F87">
      <w:pPr>
        <w:rPr>
          <w:rFonts w:ascii="Times New Roman" w:eastAsia="宋体" w:hAnsi="Times New Roman" w:cs="Times New Roman"/>
          <w:color w:val="000000" w:themeColor="text1"/>
          <w:sz w:val="18"/>
          <w:szCs w:val="20"/>
        </w:rPr>
      </w:pPr>
      <w:r w:rsidRPr="00DA0AFF">
        <w:rPr>
          <w:rFonts w:ascii="Times New Roman" w:eastAsia="宋体" w:hAnsi="Times New Roman" w:cs="Times New Roman" w:hint="eastAsia"/>
          <w:b/>
          <w:bCs/>
          <w:color w:val="000000" w:themeColor="text1"/>
          <w:sz w:val="18"/>
          <w:szCs w:val="20"/>
        </w:rPr>
        <w:t>Figure</w:t>
      </w:r>
      <w:r w:rsidRPr="00DA0AFF">
        <w:rPr>
          <w:rFonts w:ascii="Times New Roman" w:eastAsia="宋体" w:hAnsi="Times New Roman" w:cs="Times New Roman"/>
          <w:b/>
          <w:bCs/>
          <w:color w:val="000000" w:themeColor="text1"/>
          <w:sz w:val="18"/>
          <w:szCs w:val="20"/>
        </w:rPr>
        <w:t xml:space="preserve"> S1. Quality control and partial functional enrichment of hypopharyngeal carcinoma</w:t>
      </w:r>
      <w:r w:rsidRPr="00DA0AFF">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A.</w:t>
      </w:r>
      <w:r w:rsidRPr="00DA0AFF">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D</w:t>
      </w:r>
      <w:r w:rsidRPr="00433AC0">
        <w:rPr>
          <w:rFonts w:ascii="Times New Roman" w:eastAsia="宋体" w:hAnsi="Times New Roman" w:cs="Times New Roman"/>
          <w:color w:val="000000" w:themeColor="text1"/>
          <w:sz w:val="18"/>
          <w:szCs w:val="20"/>
        </w:rPr>
        <w:t>iagram</w:t>
      </w:r>
      <w:r>
        <w:rPr>
          <w:rFonts w:ascii="Times New Roman" w:eastAsia="宋体" w:hAnsi="Times New Roman" w:cs="Times New Roman" w:hint="eastAsia"/>
          <w:color w:val="000000" w:themeColor="text1"/>
          <w:sz w:val="18"/>
          <w:szCs w:val="20"/>
        </w:rPr>
        <w:t>s</w:t>
      </w:r>
      <w:r w:rsidRPr="00433AC0">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of d</w:t>
      </w:r>
      <w:r w:rsidRPr="00433AC0">
        <w:rPr>
          <w:rFonts w:ascii="Times New Roman" w:eastAsia="宋体" w:hAnsi="Times New Roman" w:cs="Times New Roman"/>
          <w:color w:val="000000" w:themeColor="text1"/>
          <w:sz w:val="18"/>
          <w:szCs w:val="20"/>
        </w:rPr>
        <w:t xml:space="preserve">ata filtering </w:t>
      </w:r>
      <w:r w:rsidRPr="00EB65F7">
        <w:rPr>
          <w:rFonts w:ascii="Times New Roman" w:eastAsia="宋体" w:hAnsi="Times New Roman" w:cs="Times New Roman"/>
          <w:color w:val="000000" w:themeColor="text1"/>
          <w:sz w:val="18"/>
          <w:szCs w:val="20"/>
        </w:rPr>
        <w:t>threshold v</w:t>
      </w:r>
      <w:r w:rsidRPr="00E2493D">
        <w:rPr>
          <w:rFonts w:ascii="Times New Roman" w:eastAsia="宋体" w:hAnsi="Times New Roman" w:cs="Times New Roman"/>
          <w:sz w:val="18"/>
          <w:szCs w:val="20"/>
        </w:rPr>
        <w:t>alue B. Before and after comparison pear plots of feature, count and mitochondrial level via quality control C. UMAP plots shows little batch effect between samples. D. No obvious batch effect between the samples; E. GO and KEGG enrichment</w:t>
      </w:r>
      <w:r w:rsidRPr="00E2493D">
        <w:rPr>
          <w:rFonts w:ascii="Times New Roman" w:eastAsia="宋体" w:hAnsi="Times New Roman" w:cs="Times New Roman" w:hint="eastAsia"/>
          <w:sz w:val="18"/>
          <w:szCs w:val="20"/>
        </w:rPr>
        <w:t xml:space="preserve"> </w:t>
      </w:r>
      <w:r w:rsidRPr="00E2493D">
        <w:rPr>
          <w:rFonts w:ascii="Times New Roman" w:eastAsia="宋体" w:hAnsi="Times New Roman" w:cs="Times New Roman"/>
          <w:sz w:val="18"/>
          <w:szCs w:val="20"/>
        </w:rPr>
        <w:t>of Eps-PEG10</w:t>
      </w:r>
    </w:p>
    <w:p w14:paraId="20E5E939" w14:textId="77777777" w:rsidR="00966F87" w:rsidRDefault="00966F87" w:rsidP="00966F87">
      <w:pPr>
        <w:rPr>
          <w:rFonts w:ascii="Times New Roman" w:eastAsia="宋体" w:hAnsi="Times New Roman" w:cs="Times New Roman"/>
          <w:color w:val="000000" w:themeColor="text1"/>
          <w:sz w:val="20"/>
          <w:szCs w:val="20"/>
        </w:rPr>
      </w:pPr>
    </w:p>
    <w:p w14:paraId="2F3106C6" w14:textId="77777777" w:rsidR="00966F87" w:rsidRDefault="00966F87" w:rsidP="00966F87">
      <w:pPr>
        <w:jc w:val="center"/>
        <w:rPr>
          <w:rFonts w:ascii="Times New Roman" w:eastAsia="宋体" w:hAnsi="Times New Roman" w:cs="Times New Roman"/>
          <w:color w:val="000000" w:themeColor="text1"/>
          <w:sz w:val="20"/>
          <w:szCs w:val="20"/>
        </w:rPr>
      </w:pPr>
    </w:p>
    <w:p w14:paraId="06DDB652" w14:textId="77777777" w:rsidR="00966F87" w:rsidRPr="00EB65F7" w:rsidRDefault="00966F87" w:rsidP="00966F87">
      <w:pPr>
        <w:rPr>
          <w:rFonts w:ascii="Times New Roman" w:eastAsia="宋体" w:hAnsi="Times New Roman" w:cs="Times New Roman"/>
          <w:color w:val="000000" w:themeColor="text1"/>
          <w:sz w:val="18"/>
          <w:szCs w:val="20"/>
        </w:rPr>
      </w:pPr>
      <w:r w:rsidRPr="00DA0AFF">
        <w:rPr>
          <w:rFonts w:ascii="Times New Roman" w:eastAsia="宋体" w:hAnsi="Times New Roman" w:cs="Times New Roman" w:hint="eastAsia"/>
          <w:b/>
          <w:bCs/>
          <w:color w:val="000000" w:themeColor="text1"/>
          <w:sz w:val="18"/>
          <w:szCs w:val="20"/>
        </w:rPr>
        <w:t>Figure</w:t>
      </w:r>
      <w:r w:rsidRPr="00DA0AFF">
        <w:rPr>
          <w:rFonts w:ascii="Times New Roman" w:eastAsia="宋体" w:hAnsi="Times New Roman" w:cs="Times New Roman"/>
          <w:b/>
          <w:bCs/>
          <w:color w:val="000000" w:themeColor="text1"/>
          <w:sz w:val="18"/>
          <w:szCs w:val="20"/>
        </w:rPr>
        <w:t xml:space="preserve"> S</w:t>
      </w:r>
      <w:r>
        <w:rPr>
          <w:rFonts w:ascii="Times New Roman" w:eastAsia="宋体" w:hAnsi="Times New Roman" w:cs="Times New Roman"/>
          <w:b/>
          <w:bCs/>
          <w:color w:val="000000" w:themeColor="text1"/>
          <w:sz w:val="18"/>
          <w:szCs w:val="20"/>
        </w:rPr>
        <w:t>2</w:t>
      </w:r>
      <w:r w:rsidRPr="00DA0AFF">
        <w:rPr>
          <w:rFonts w:ascii="Times New Roman" w:eastAsia="宋体" w:hAnsi="Times New Roman" w:cs="Times New Roman"/>
          <w:b/>
          <w:bCs/>
          <w:color w:val="000000" w:themeColor="text1"/>
          <w:sz w:val="18"/>
          <w:szCs w:val="20"/>
        </w:rPr>
        <w:t xml:space="preserve">. </w:t>
      </w:r>
      <w:r w:rsidRPr="005C58FB">
        <w:rPr>
          <w:rFonts w:ascii="Times New Roman" w:eastAsia="宋体" w:hAnsi="Times New Roman" w:cs="Times New Roman"/>
          <w:b/>
          <w:bCs/>
          <w:color w:val="000000" w:themeColor="text1"/>
          <w:sz w:val="18"/>
          <w:szCs w:val="20"/>
        </w:rPr>
        <w:t>Significant</w:t>
      </w:r>
      <w:r>
        <w:rPr>
          <w:rFonts w:ascii="Times New Roman" w:eastAsia="宋体" w:hAnsi="Times New Roman" w:cs="Times New Roman"/>
          <w:b/>
          <w:bCs/>
          <w:color w:val="000000" w:themeColor="text1"/>
          <w:sz w:val="18"/>
          <w:szCs w:val="20"/>
        </w:rPr>
        <w:t xml:space="preserve"> role of </w:t>
      </w:r>
      <w:r w:rsidRPr="005C58FB">
        <w:rPr>
          <w:rFonts w:ascii="Times New Roman" w:eastAsia="宋体" w:hAnsi="Times New Roman" w:cs="Times New Roman"/>
          <w:b/>
          <w:bCs/>
          <w:color w:val="000000" w:themeColor="text1"/>
          <w:sz w:val="18"/>
          <w:szCs w:val="20"/>
        </w:rPr>
        <w:t xml:space="preserve">BMP signaling pathway in </w:t>
      </w:r>
      <w:r>
        <w:rPr>
          <w:rFonts w:ascii="Times New Roman" w:eastAsia="宋体" w:hAnsi="Times New Roman" w:cs="Times New Roman"/>
          <w:b/>
          <w:bCs/>
          <w:color w:val="000000" w:themeColor="text1"/>
          <w:sz w:val="18"/>
          <w:szCs w:val="20"/>
        </w:rPr>
        <w:t xml:space="preserve">the </w:t>
      </w:r>
      <w:r w:rsidRPr="005C58FB">
        <w:rPr>
          <w:rFonts w:ascii="Times New Roman" w:eastAsia="宋体" w:hAnsi="Times New Roman" w:cs="Times New Roman"/>
          <w:b/>
          <w:bCs/>
          <w:color w:val="000000" w:themeColor="text1"/>
          <w:sz w:val="18"/>
          <w:szCs w:val="20"/>
        </w:rPr>
        <w:t xml:space="preserve">crosstalk network </w:t>
      </w:r>
      <w:r>
        <w:rPr>
          <w:rFonts w:ascii="Times New Roman" w:eastAsia="宋体" w:hAnsi="Times New Roman" w:cs="Times New Roman"/>
          <w:b/>
          <w:bCs/>
          <w:color w:val="000000" w:themeColor="text1"/>
          <w:sz w:val="18"/>
          <w:szCs w:val="20"/>
        </w:rPr>
        <w:t xml:space="preserve">of </w:t>
      </w:r>
      <w:r w:rsidRPr="005C58FB">
        <w:rPr>
          <w:rFonts w:ascii="Times New Roman" w:eastAsia="宋体" w:hAnsi="Times New Roman" w:cs="Times New Roman"/>
          <w:b/>
          <w:bCs/>
          <w:color w:val="000000" w:themeColor="text1"/>
          <w:sz w:val="18"/>
          <w:szCs w:val="20"/>
        </w:rPr>
        <w:t>CAFs and epithelial cell</w:t>
      </w:r>
      <w:r>
        <w:rPr>
          <w:rFonts w:ascii="Times New Roman" w:eastAsia="宋体" w:hAnsi="Times New Roman" w:cs="Times New Roman"/>
          <w:b/>
          <w:bCs/>
          <w:color w:val="000000" w:themeColor="text1"/>
          <w:sz w:val="18"/>
          <w:szCs w:val="20"/>
        </w:rPr>
        <w:t>s</w:t>
      </w:r>
      <w:r w:rsidRPr="005C58FB">
        <w:rPr>
          <w:rFonts w:ascii="Times New Roman" w:eastAsia="宋体" w:hAnsi="Times New Roman" w:cs="Times New Roman"/>
          <w:b/>
          <w:bCs/>
          <w:color w:val="000000" w:themeColor="text1"/>
          <w:sz w:val="18"/>
          <w:szCs w:val="20"/>
        </w:rPr>
        <w:t xml:space="preserve"> </w:t>
      </w:r>
      <w:r>
        <w:rPr>
          <w:rFonts w:ascii="Times New Roman" w:eastAsia="宋体" w:hAnsi="Times New Roman" w:cs="Times New Roman"/>
          <w:color w:val="000000" w:themeColor="text1"/>
          <w:sz w:val="18"/>
          <w:szCs w:val="20"/>
        </w:rPr>
        <w:t>A.</w:t>
      </w:r>
      <w:r w:rsidRPr="00DA0AFF">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 xml:space="preserve">River plots show BMP signaling is of specific between CAFs and most epithelial cells; </w:t>
      </w:r>
      <w:r w:rsidRPr="007D530E">
        <w:rPr>
          <w:rFonts w:ascii="Times New Roman" w:eastAsia="宋体" w:hAnsi="Times New Roman" w:cs="Times New Roman"/>
          <w:color w:val="000000" w:themeColor="text1"/>
          <w:sz w:val="18"/>
          <w:szCs w:val="20"/>
        </w:rPr>
        <w:t>B.</w:t>
      </w:r>
      <w:r w:rsidRPr="00433AC0">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 xml:space="preserve">Heatmap of </w:t>
      </w:r>
      <w:bookmarkStart w:id="0" w:name="OLE_LINK24"/>
      <w:r>
        <w:rPr>
          <w:rFonts w:ascii="Times New Roman" w:eastAsia="宋体" w:hAnsi="Times New Roman" w:cs="Times New Roman"/>
          <w:color w:val="000000" w:themeColor="text1"/>
          <w:sz w:val="18"/>
          <w:szCs w:val="20"/>
        </w:rPr>
        <w:t>BMP signaling pathway</w:t>
      </w:r>
      <w:bookmarkEnd w:id="0"/>
      <w:r w:rsidRPr="007D530E">
        <w:rPr>
          <w:rFonts w:ascii="Times New Roman" w:eastAsia="宋体" w:hAnsi="Times New Roman" w:cs="Times New Roman"/>
          <w:color w:val="000000" w:themeColor="text1"/>
          <w:sz w:val="18"/>
          <w:szCs w:val="20"/>
        </w:rPr>
        <w:t xml:space="preserve">; C. </w:t>
      </w:r>
      <w:r>
        <w:rPr>
          <w:rFonts w:ascii="Times New Roman" w:eastAsia="宋体" w:hAnsi="Times New Roman" w:cs="Times New Roman"/>
          <w:color w:val="000000" w:themeColor="text1"/>
          <w:sz w:val="18"/>
          <w:szCs w:val="20"/>
        </w:rPr>
        <w:t>Circle plot of BMP signaling pathway network; D. Heatmap of strength scores i</w:t>
      </w:r>
      <w:r w:rsidRPr="00571CEB">
        <w:rPr>
          <w:rFonts w:ascii="Times New Roman" w:eastAsia="宋体" w:hAnsi="Times New Roman" w:cs="Times New Roman"/>
          <w:color w:val="000000" w:themeColor="text1"/>
          <w:sz w:val="18"/>
          <w:szCs w:val="20"/>
        </w:rPr>
        <w:t>dentif</w:t>
      </w:r>
      <w:r>
        <w:rPr>
          <w:rFonts w:ascii="Times New Roman" w:eastAsia="宋体" w:hAnsi="Times New Roman" w:cs="Times New Roman"/>
          <w:color w:val="000000" w:themeColor="text1"/>
          <w:sz w:val="18"/>
          <w:szCs w:val="20"/>
        </w:rPr>
        <w:t>ies</w:t>
      </w:r>
      <w:r w:rsidRPr="00571CEB">
        <w:rPr>
          <w:rFonts w:ascii="Times New Roman" w:eastAsia="宋体" w:hAnsi="Times New Roman" w:cs="Times New Roman"/>
          <w:color w:val="000000" w:themeColor="text1"/>
          <w:sz w:val="18"/>
          <w:szCs w:val="20"/>
        </w:rPr>
        <w:t xml:space="preserve"> signals that contribute most to efferent or afferent signaling in certain </w:t>
      </w:r>
      <w:r>
        <w:rPr>
          <w:rFonts w:ascii="Times New Roman" w:eastAsia="宋体" w:hAnsi="Times New Roman" w:cs="Times New Roman"/>
          <w:color w:val="000000" w:themeColor="text1"/>
          <w:sz w:val="18"/>
          <w:szCs w:val="20"/>
        </w:rPr>
        <w:t>sub</w:t>
      </w:r>
      <w:r w:rsidRPr="00571CEB">
        <w:rPr>
          <w:rFonts w:ascii="Times New Roman" w:eastAsia="宋体" w:hAnsi="Times New Roman" w:cs="Times New Roman"/>
          <w:color w:val="000000" w:themeColor="text1"/>
          <w:sz w:val="18"/>
          <w:szCs w:val="20"/>
        </w:rPr>
        <w:t>groups</w:t>
      </w:r>
    </w:p>
    <w:p w14:paraId="02A819D8" w14:textId="77777777" w:rsidR="00966F87" w:rsidRDefault="00966F87" w:rsidP="00966F87">
      <w:pPr>
        <w:rPr>
          <w:rFonts w:ascii="Times New Roman" w:eastAsia="宋体" w:hAnsi="Times New Roman" w:cs="Times New Roman"/>
          <w:color w:val="000000" w:themeColor="text1"/>
          <w:sz w:val="20"/>
          <w:szCs w:val="20"/>
        </w:rPr>
      </w:pPr>
    </w:p>
    <w:p w14:paraId="05F433D6" w14:textId="77777777" w:rsidR="00966F87" w:rsidRDefault="00966F87" w:rsidP="00966F87">
      <w:pPr>
        <w:rPr>
          <w:rFonts w:ascii="Times New Roman" w:eastAsia="宋体" w:hAnsi="Times New Roman" w:cs="Times New Roman"/>
          <w:color w:val="000000" w:themeColor="text1"/>
          <w:sz w:val="18"/>
          <w:szCs w:val="20"/>
        </w:rPr>
      </w:pPr>
      <w:bookmarkStart w:id="1" w:name="OLE_LINK35"/>
      <w:r w:rsidRPr="00DA0AFF">
        <w:rPr>
          <w:rFonts w:ascii="Times New Roman" w:eastAsia="宋体" w:hAnsi="Times New Roman" w:cs="Times New Roman" w:hint="eastAsia"/>
          <w:b/>
          <w:bCs/>
          <w:color w:val="000000" w:themeColor="text1"/>
          <w:sz w:val="18"/>
          <w:szCs w:val="20"/>
        </w:rPr>
        <w:t>Figure</w:t>
      </w:r>
      <w:r w:rsidRPr="00DA0AFF">
        <w:rPr>
          <w:rFonts w:ascii="Times New Roman" w:eastAsia="宋体" w:hAnsi="Times New Roman" w:cs="Times New Roman"/>
          <w:b/>
          <w:bCs/>
          <w:color w:val="000000" w:themeColor="text1"/>
          <w:sz w:val="18"/>
          <w:szCs w:val="20"/>
        </w:rPr>
        <w:t xml:space="preserve"> S</w:t>
      </w:r>
      <w:r>
        <w:rPr>
          <w:rFonts w:ascii="Times New Roman" w:eastAsia="宋体" w:hAnsi="Times New Roman" w:cs="Times New Roman"/>
          <w:b/>
          <w:bCs/>
          <w:color w:val="000000" w:themeColor="text1"/>
          <w:sz w:val="18"/>
          <w:szCs w:val="20"/>
        </w:rPr>
        <w:t>3</w:t>
      </w:r>
      <w:r w:rsidRPr="00BA7864">
        <w:rPr>
          <w:rFonts w:ascii="Times New Roman" w:eastAsia="宋体" w:hAnsi="Times New Roman" w:cs="Times New Roman"/>
          <w:b/>
          <w:bCs/>
          <w:sz w:val="18"/>
          <w:szCs w:val="20"/>
        </w:rPr>
        <w:t xml:space="preserve">. Potential hypopharyngeal cancer therapeutic target BMPR2 </w:t>
      </w:r>
      <w:r w:rsidRPr="00BA7864">
        <w:rPr>
          <w:rFonts w:ascii="Times New Roman" w:eastAsia="宋体" w:hAnsi="Times New Roman" w:cs="Times New Roman"/>
          <w:sz w:val="18"/>
          <w:szCs w:val="20"/>
        </w:rPr>
        <w:t>A.</w:t>
      </w:r>
      <w:r w:rsidRPr="00BA7864">
        <w:t xml:space="preserve"> </w:t>
      </w:r>
      <w:r w:rsidRPr="00BA7864">
        <w:rPr>
          <w:rFonts w:ascii="Times New Roman" w:eastAsia="宋体" w:hAnsi="Times New Roman" w:cs="Times New Roman"/>
          <w:sz w:val="18"/>
          <w:szCs w:val="20"/>
        </w:rPr>
        <w:t>The positively correlation between BMPR2 and BMP4 under expression level in TCGA dataset B.</w:t>
      </w:r>
      <w:r>
        <w:rPr>
          <w:rFonts w:ascii="Times New Roman" w:eastAsia="宋体" w:hAnsi="Times New Roman" w:cs="Times New Roman"/>
          <w:sz w:val="18"/>
          <w:szCs w:val="20"/>
        </w:rPr>
        <w:t xml:space="preserve"> </w:t>
      </w:r>
      <w:r w:rsidRPr="00BA7864">
        <w:rPr>
          <w:rFonts w:ascii="Times New Roman" w:eastAsia="宋体" w:hAnsi="Times New Roman" w:cs="Times New Roman"/>
          <w:sz w:val="18"/>
          <w:szCs w:val="20"/>
        </w:rPr>
        <w:t xml:space="preserve">Forest plot of Cox analysis of clinical data from BMPR2 and TCGA clinical data C. Expression of BMPR2 in each cell subtypes </w:t>
      </w:r>
      <w:r>
        <w:rPr>
          <w:rFonts w:ascii="Times New Roman" w:eastAsia="宋体" w:hAnsi="Times New Roman" w:cs="Times New Roman"/>
          <w:sz w:val="18"/>
          <w:szCs w:val="20"/>
        </w:rPr>
        <w:t>D</w:t>
      </w:r>
      <w:r w:rsidRPr="00BA7864">
        <w:rPr>
          <w:rFonts w:ascii="Times New Roman" w:eastAsia="宋体" w:hAnsi="Times New Roman" w:cs="Times New Roman"/>
          <w:sz w:val="18"/>
          <w:szCs w:val="20"/>
        </w:rPr>
        <w:t>.</w:t>
      </w:r>
      <w:r w:rsidRPr="00BA7864">
        <w:t xml:space="preserve"> </w:t>
      </w:r>
      <w:r w:rsidRPr="00BA7864">
        <w:rPr>
          <w:rFonts w:ascii="Times New Roman" w:eastAsia="宋体" w:hAnsi="Times New Roman" w:cs="Times New Roman"/>
          <w:sz w:val="18"/>
          <w:szCs w:val="20"/>
        </w:rPr>
        <w:t xml:space="preserve">Selection basis of siRNA_BMPR2 </w:t>
      </w:r>
      <w:r>
        <w:rPr>
          <w:rFonts w:ascii="Times New Roman" w:eastAsia="宋体" w:hAnsi="Times New Roman" w:cs="Times New Roman"/>
          <w:sz w:val="18"/>
          <w:szCs w:val="20"/>
        </w:rPr>
        <w:t>E</w:t>
      </w:r>
      <w:r w:rsidRPr="00BA7864">
        <w:rPr>
          <w:rFonts w:ascii="Times New Roman" w:eastAsia="宋体" w:hAnsi="Times New Roman" w:cs="Times New Roman"/>
          <w:sz w:val="18"/>
          <w:szCs w:val="20"/>
        </w:rPr>
        <w:t>. The</w:t>
      </w:r>
      <w:r w:rsidRPr="00DB095A">
        <w:rPr>
          <w:rFonts w:ascii="Times New Roman" w:eastAsia="宋体" w:hAnsi="Times New Roman" w:cs="Times New Roman"/>
          <w:color w:val="000000" w:themeColor="text1"/>
          <w:sz w:val="18"/>
          <w:szCs w:val="20"/>
        </w:rPr>
        <w:t xml:space="preserve"> </w:t>
      </w:r>
      <w:r>
        <w:rPr>
          <w:rFonts w:ascii="Times New Roman" w:eastAsia="宋体" w:hAnsi="Times New Roman" w:cs="Times New Roman"/>
          <w:color w:val="000000" w:themeColor="text1"/>
          <w:sz w:val="18"/>
          <w:szCs w:val="20"/>
        </w:rPr>
        <w:t>V</w:t>
      </w:r>
      <w:r w:rsidRPr="00DB095A">
        <w:rPr>
          <w:rFonts w:ascii="Times New Roman" w:eastAsia="宋体" w:hAnsi="Times New Roman" w:cs="Times New Roman"/>
          <w:color w:val="000000" w:themeColor="text1"/>
          <w:sz w:val="18"/>
          <w:szCs w:val="20"/>
        </w:rPr>
        <w:t xml:space="preserve">enn plot of </w:t>
      </w:r>
      <w:proofErr w:type="spellStart"/>
      <w:r w:rsidRPr="00DB095A">
        <w:rPr>
          <w:rFonts w:ascii="Times New Roman" w:eastAsia="宋体" w:hAnsi="Times New Roman" w:cs="Times New Roman"/>
          <w:color w:val="000000" w:themeColor="text1"/>
          <w:sz w:val="18"/>
          <w:szCs w:val="20"/>
        </w:rPr>
        <w:t>Targetscan</w:t>
      </w:r>
      <w:proofErr w:type="spellEnd"/>
      <w:r w:rsidRPr="00DB095A">
        <w:rPr>
          <w:rFonts w:ascii="Times New Roman" w:eastAsia="宋体" w:hAnsi="Times New Roman" w:cs="Times New Roman"/>
          <w:color w:val="000000" w:themeColor="text1"/>
          <w:sz w:val="18"/>
          <w:szCs w:val="20"/>
        </w:rPr>
        <w:t xml:space="preserve"> predicting conserved miRNAs and GSE117558 significant different expressed miRNAs</w:t>
      </w:r>
    </w:p>
    <w:bookmarkEnd w:id="1"/>
    <w:p w14:paraId="04754D59" w14:textId="77777777" w:rsidR="00966F87" w:rsidRDefault="00966F87" w:rsidP="00966F87">
      <w:pPr>
        <w:rPr>
          <w:rFonts w:ascii="Times New Roman" w:eastAsia="宋体" w:hAnsi="Times New Roman" w:cs="Times New Roman"/>
          <w:color w:val="000000" w:themeColor="text1"/>
          <w:sz w:val="18"/>
          <w:szCs w:val="20"/>
        </w:rPr>
      </w:pPr>
    </w:p>
    <w:p w14:paraId="23250712" w14:textId="77777777" w:rsidR="00966F87" w:rsidRDefault="00966F87" w:rsidP="00966F87">
      <w:r w:rsidRPr="00DA0AFF">
        <w:rPr>
          <w:rFonts w:ascii="Times New Roman" w:eastAsia="宋体" w:hAnsi="Times New Roman" w:cs="Times New Roman" w:hint="eastAsia"/>
          <w:b/>
          <w:bCs/>
          <w:color w:val="000000" w:themeColor="text1"/>
          <w:sz w:val="18"/>
          <w:szCs w:val="20"/>
        </w:rPr>
        <w:t>Figure</w:t>
      </w:r>
      <w:r w:rsidRPr="00DA0AFF">
        <w:rPr>
          <w:rFonts w:ascii="Times New Roman" w:eastAsia="宋体" w:hAnsi="Times New Roman" w:cs="Times New Roman"/>
          <w:b/>
          <w:bCs/>
          <w:color w:val="000000" w:themeColor="text1"/>
          <w:sz w:val="18"/>
          <w:szCs w:val="20"/>
        </w:rPr>
        <w:t xml:space="preserve"> S</w:t>
      </w:r>
      <w:r>
        <w:rPr>
          <w:rFonts w:ascii="Times New Roman" w:eastAsia="宋体" w:hAnsi="Times New Roman" w:cs="Times New Roman"/>
          <w:b/>
          <w:bCs/>
          <w:color w:val="000000" w:themeColor="text1"/>
          <w:sz w:val="18"/>
          <w:szCs w:val="20"/>
        </w:rPr>
        <w:t>4</w:t>
      </w:r>
      <w:r w:rsidRPr="00BA7864">
        <w:rPr>
          <w:rFonts w:ascii="Times New Roman" w:eastAsia="宋体" w:hAnsi="Times New Roman" w:cs="Times New Roman"/>
          <w:b/>
          <w:bCs/>
          <w:sz w:val="18"/>
          <w:szCs w:val="20"/>
        </w:rPr>
        <w:t>.</w:t>
      </w:r>
      <w:r w:rsidRPr="00693898">
        <w:rPr>
          <w:rFonts w:ascii="Times New Roman" w:eastAsia="宋体" w:hAnsi="Times New Roman" w:cs="Times New Roman"/>
          <w:b/>
          <w:bCs/>
          <w:sz w:val="18"/>
          <w:szCs w:val="20"/>
        </w:rPr>
        <w:t xml:space="preserve"> IHC Profiter results of 7 patients</w:t>
      </w:r>
      <w:r>
        <w:rPr>
          <w:rFonts w:ascii="Times New Roman" w:eastAsia="宋体" w:hAnsi="Times New Roman" w:cs="Times New Roman"/>
          <w:b/>
          <w:bCs/>
          <w:sz w:val="18"/>
          <w:szCs w:val="20"/>
        </w:rPr>
        <w:t xml:space="preserve"> </w:t>
      </w:r>
      <w:r w:rsidRPr="00D07DA4">
        <w:rPr>
          <w:rFonts w:ascii="Times New Roman" w:eastAsia="宋体" w:hAnsi="Times New Roman" w:cs="Times New Roman"/>
          <w:sz w:val="18"/>
          <w:szCs w:val="20"/>
        </w:rPr>
        <w:t>A-G</w:t>
      </w:r>
      <w:r>
        <w:rPr>
          <w:rFonts w:ascii="Times New Roman" w:eastAsia="宋体" w:hAnsi="Times New Roman" w:cs="Times New Roman"/>
          <w:sz w:val="18"/>
          <w:szCs w:val="20"/>
        </w:rPr>
        <w:t>. T</w:t>
      </w:r>
      <w:r w:rsidRPr="00693898">
        <w:rPr>
          <w:rFonts w:ascii="Times New Roman" w:eastAsia="宋体" w:hAnsi="Times New Roman" w:cs="Times New Roman"/>
          <w:sz w:val="18"/>
          <w:szCs w:val="20"/>
        </w:rPr>
        <w:t>issue stain</w:t>
      </w:r>
      <w:r>
        <w:rPr>
          <w:rFonts w:ascii="Times New Roman" w:eastAsia="宋体" w:hAnsi="Times New Roman" w:cs="Times New Roman"/>
          <w:sz w:val="18"/>
          <w:szCs w:val="20"/>
        </w:rPr>
        <w:t xml:space="preserve">ing of BMPR2. </w:t>
      </w:r>
      <w:r w:rsidRPr="0028504A">
        <w:rPr>
          <w:rFonts w:ascii="Times New Roman" w:eastAsia="宋体" w:hAnsi="Times New Roman" w:cs="Times New Roman"/>
          <w:sz w:val="18"/>
          <w:szCs w:val="20"/>
        </w:rPr>
        <w:t>Bar</w:t>
      </w:r>
      <w:r>
        <w:rPr>
          <w:rFonts w:ascii="Times New Roman" w:eastAsia="宋体" w:hAnsi="Times New Roman" w:cs="Times New Roman"/>
          <w:sz w:val="18"/>
          <w:szCs w:val="20"/>
        </w:rPr>
        <w:t xml:space="preserve"> plots</w:t>
      </w:r>
      <w:r w:rsidRPr="0028504A">
        <w:rPr>
          <w:rFonts w:ascii="Times New Roman" w:eastAsia="宋体" w:hAnsi="Times New Roman" w:cs="Times New Roman"/>
          <w:sz w:val="18"/>
          <w:szCs w:val="20"/>
        </w:rPr>
        <w:t xml:space="preserve"> represent the t-test results of negative rate of each tissue calculated by IHC Profiter</w:t>
      </w:r>
      <w:r>
        <w:rPr>
          <w:rFonts w:ascii="Times New Roman" w:eastAsia="宋体" w:hAnsi="Times New Roman" w:cs="Times New Roman"/>
          <w:sz w:val="18"/>
          <w:szCs w:val="20"/>
        </w:rPr>
        <w:t>.</w:t>
      </w:r>
      <w:r w:rsidRPr="0028504A">
        <w:t xml:space="preserve"> </w:t>
      </w:r>
      <w:r w:rsidRPr="00BA7864">
        <w:rPr>
          <w:rFonts w:ascii="Times New Roman" w:eastAsia="宋体" w:hAnsi="Times New Roman" w:cs="Times New Roman"/>
          <w:sz w:val="18"/>
          <w:szCs w:val="20"/>
        </w:rPr>
        <w:t xml:space="preserve">Method: </w:t>
      </w:r>
      <w:proofErr w:type="spellStart"/>
      <w:r w:rsidRPr="00BA7864">
        <w:rPr>
          <w:rFonts w:ascii="Times New Roman" w:eastAsia="宋体" w:hAnsi="Times New Roman" w:cs="Times New Roman"/>
          <w:sz w:val="18"/>
          <w:szCs w:val="20"/>
        </w:rPr>
        <w:t>t.test</w:t>
      </w:r>
      <w:proofErr w:type="spellEnd"/>
    </w:p>
    <w:p w14:paraId="5E8D0D84" w14:textId="77777777" w:rsidR="00966F87" w:rsidRPr="00C66D34" w:rsidRDefault="00966F87" w:rsidP="00966F87">
      <w:pPr>
        <w:rPr>
          <w:rFonts w:ascii="Times New Roman" w:eastAsia="宋体" w:hAnsi="Times New Roman" w:cs="Times New Roman"/>
          <w:color w:val="000000" w:themeColor="text1"/>
          <w:sz w:val="18"/>
          <w:szCs w:val="20"/>
        </w:rPr>
      </w:pPr>
    </w:p>
    <w:p w14:paraId="201EC2AA" w14:textId="77777777" w:rsidR="0061228F" w:rsidRDefault="00966F87" w:rsidP="00966F87">
      <w:pPr>
        <w:rPr>
          <w:rFonts w:ascii="Times New Roman" w:eastAsia="宋体" w:hAnsi="Times New Roman" w:cs="Times New Roman"/>
          <w:b/>
          <w:bCs/>
          <w:color w:val="000000" w:themeColor="text1"/>
          <w:sz w:val="18"/>
          <w:szCs w:val="20"/>
        </w:rPr>
      </w:pPr>
      <w:bookmarkStart w:id="2" w:name="_Hlk115511093"/>
      <w:r>
        <w:rPr>
          <w:rFonts w:ascii="Times New Roman" w:eastAsia="宋体" w:hAnsi="Times New Roman" w:cs="Times New Roman"/>
          <w:b/>
          <w:bCs/>
          <w:color w:val="000000" w:themeColor="text1"/>
          <w:sz w:val="18"/>
          <w:szCs w:val="20"/>
        </w:rPr>
        <w:t xml:space="preserve">Supplementary </w:t>
      </w:r>
      <w:bookmarkEnd w:id="2"/>
      <w:r w:rsidRPr="00762923">
        <w:rPr>
          <w:rFonts w:ascii="Times New Roman" w:eastAsia="宋体" w:hAnsi="Times New Roman" w:cs="Times New Roman" w:hint="eastAsia"/>
          <w:b/>
          <w:bCs/>
          <w:color w:val="000000" w:themeColor="text1"/>
          <w:sz w:val="18"/>
          <w:szCs w:val="20"/>
        </w:rPr>
        <w:t>Table.</w:t>
      </w:r>
      <w:r w:rsidRPr="00762923">
        <w:rPr>
          <w:rFonts w:ascii="Times New Roman" w:eastAsia="宋体" w:hAnsi="Times New Roman" w:cs="Times New Roman"/>
          <w:b/>
          <w:bCs/>
          <w:color w:val="000000" w:themeColor="text1"/>
          <w:sz w:val="18"/>
          <w:szCs w:val="20"/>
        </w:rPr>
        <w:t>1 Metadata for this single-cell analysis</w:t>
      </w:r>
    </w:p>
    <w:p w14:paraId="644C5AF1" w14:textId="571EB279" w:rsidR="00966F87" w:rsidRPr="00762923" w:rsidRDefault="00966F87" w:rsidP="00966F87">
      <w:pPr>
        <w:rPr>
          <w:rFonts w:ascii="Times New Roman" w:eastAsia="宋体" w:hAnsi="Times New Roman" w:cs="Times New Roman"/>
          <w:b/>
          <w:bCs/>
          <w:color w:val="000000" w:themeColor="text1"/>
          <w:sz w:val="18"/>
          <w:szCs w:val="20"/>
        </w:rPr>
      </w:pPr>
      <w:r>
        <w:rPr>
          <w:rFonts w:ascii="Times New Roman" w:eastAsia="宋体" w:hAnsi="Times New Roman" w:cs="Times New Roman"/>
          <w:b/>
          <w:bCs/>
          <w:color w:val="000000" w:themeColor="text1"/>
          <w:sz w:val="18"/>
          <w:szCs w:val="20"/>
        </w:rPr>
        <w:fldChar w:fldCharType="begin"/>
      </w:r>
      <w:r>
        <w:rPr>
          <w:rFonts w:ascii="Times New Roman" w:eastAsia="宋体" w:hAnsi="Times New Roman" w:cs="Times New Roman"/>
          <w:b/>
          <w:bCs/>
          <w:color w:val="000000" w:themeColor="text1"/>
          <w:sz w:val="18"/>
          <w:szCs w:val="20"/>
        </w:rPr>
        <w:instrText xml:space="preserve"> ADDIN </w:instrText>
      </w:r>
      <w:r>
        <w:rPr>
          <w:rFonts w:ascii="Times New Roman" w:eastAsia="宋体" w:hAnsi="Times New Roman" w:cs="Times New Roman"/>
          <w:b/>
          <w:bCs/>
          <w:color w:val="000000" w:themeColor="text1"/>
          <w:sz w:val="18"/>
          <w:szCs w:val="20"/>
        </w:rPr>
        <w:fldChar w:fldCharType="end"/>
      </w:r>
    </w:p>
    <w:p w14:paraId="0A04F918" w14:textId="77777777" w:rsidR="00966F87" w:rsidRPr="0061228F" w:rsidRDefault="00966F87"/>
    <w:sectPr w:rsidR="00966F87" w:rsidRPr="0061228F" w:rsidSect="00966F87">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D0A7" w14:textId="77777777" w:rsidR="00087CB0" w:rsidRDefault="00087CB0">
      <w:r>
        <w:separator/>
      </w:r>
    </w:p>
  </w:endnote>
  <w:endnote w:type="continuationSeparator" w:id="0">
    <w:p w14:paraId="1D32921C" w14:textId="77777777" w:rsidR="00087CB0" w:rsidRDefault="0008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190034579"/>
      <w:docPartObj>
        <w:docPartGallery w:val="Page Numbers (Bottom of Page)"/>
        <w:docPartUnique/>
      </w:docPartObj>
    </w:sdtPr>
    <w:sdtEndPr>
      <w:rPr>
        <w:rStyle w:val="a7"/>
      </w:rPr>
    </w:sdtEndPr>
    <w:sdtContent>
      <w:p w14:paraId="528339F8" w14:textId="77777777" w:rsidR="00F92728" w:rsidRDefault="00921277" w:rsidP="00A66920">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end"/>
        </w:r>
      </w:p>
    </w:sdtContent>
  </w:sdt>
  <w:p w14:paraId="0F53CA2B" w14:textId="77777777" w:rsidR="00F92728" w:rsidRDefault="00087CB0" w:rsidP="00C768A5">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400407322"/>
      <w:docPartObj>
        <w:docPartGallery w:val="Page Numbers (Bottom of Page)"/>
        <w:docPartUnique/>
      </w:docPartObj>
    </w:sdtPr>
    <w:sdtEndPr>
      <w:rPr>
        <w:rStyle w:val="a7"/>
      </w:rPr>
    </w:sdtEndPr>
    <w:sdtContent>
      <w:p w14:paraId="66AD5660" w14:textId="77777777" w:rsidR="00F92728" w:rsidRDefault="00921277" w:rsidP="00A66920">
        <w:pPr>
          <w:pStyle w:val="a5"/>
          <w:framePr w:wrap="none" w:vAnchor="text" w:hAnchor="margin" w:xAlign="right"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22D79EE8" w14:textId="77777777" w:rsidR="00F92728" w:rsidRDefault="00087CB0" w:rsidP="00C768A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B337" w14:textId="77777777" w:rsidR="00087CB0" w:rsidRDefault="00087CB0">
      <w:r>
        <w:separator/>
      </w:r>
    </w:p>
  </w:footnote>
  <w:footnote w:type="continuationSeparator" w:id="0">
    <w:p w14:paraId="07CA68FB" w14:textId="77777777" w:rsidR="00087CB0" w:rsidRDefault="00087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AF28" w14:textId="77777777" w:rsidR="00B51A2B" w:rsidRDefault="00087CB0" w:rsidP="00C768A5">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87"/>
    <w:rsid w:val="00087CB0"/>
    <w:rsid w:val="0061228F"/>
    <w:rsid w:val="00921277"/>
    <w:rsid w:val="00966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243F"/>
  <w15:chartTrackingRefBased/>
  <w15:docId w15:val="{5A8F8E2F-06BB-4314-9FE3-EB1EB6AD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2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F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66F87"/>
    <w:rPr>
      <w:sz w:val="18"/>
      <w:szCs w:val="18"/>
    </w:rPr>
  </w:style>
  <w:style w:type="paragraph" w:styleId="a5">
    <w:name w:val="footer"/>
    <w:basedOn w:val="a"/>
    <w:link w:val="a6"/>
    <w:uiPriority w:val="99"/>
    <w:unhideWhenUsed/>
    <w:rsid w:val="00966F87"/>
    <w:pPr>
      <w:tabs>
        <w:tab w:val="center" w:pos="4153"/>
        <w:tab w:val="right" w:pos="8306"/>
      </w:tabs>
      <w:snapToGrid w:val="0"/>
      <w:jc w:val="left"/>
    </w:pPr>
    <w:rPr>
      <w:sz w:val="18"/>
      <w:szCs w:val="18"/>
    </w:rPr>
  </w:style>
  <w:style w:type="character" w:customStyle="1" w:styleId="a6">
    <w:name w:val="页脚 字符"/>
    <w:basedOn w:val="a0"/>
    <w:link w:val="a5"/>
    <w:uiPriority w:val="99"/>
    <w:rsid w:val="00966F87"/>
    <w:rPr>
      <w:sz w:val="18"/>
      <w:szCs w:val="18"/>
    </w:rPr>
  </w:style>
  <w:style w:type="character" w:styleId="a7">
    <w:name w:val="page number"/>
    <w:basedOn w:val="a0"/>
    <w:uiPriority w:val="99"/>
    <w:semiHidden/>
    <w:unhideWhenUsed/>
    <w:rsid w:val="00966F87"/>
  </w:style>
  <w:style w:type="character" w:styleId="a8">
    <w:name w:val="line number"/>
    <w:basedOn w:val="a0"/>
    <w:uiPriority w:val="99"/>
    <w:semiHidden/>
    <w:unhideWhenUsed/>
    <w:rsid w:val="00966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晨</dc:creator>
  <cp:keywords/>
  <dc:description/>
  <cp:lastModifiedBy>林 晨</cp:lastModifiedBy>
  <cp:revision>2</cp:revision>
  <dcterms:created xsi:type="dcterms:W3CDTF">2022-11-01T04:39:00Z</dcterms:created>
  <dcterms:modified xsi:type="dcterms:W3CDTF">2022-11-01T07:25:00Z</dcterms:modified>
</cp:coreProperties>
</file>