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E5712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files</w:t>
      </w:r>
    </w:p>
    <w:p w14:paraId="543F0AD4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8F5730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File format: </w:t>
      </w:r>
      <w:r>
        <w:rPr>
          <w:rFonts w:ascii="Times New Roman" w:hAnsi="Times New Roman" w:cs="Times New Roman"/>
          <w:sz w:val="24"/>
          <w:szCs w:val="24"/>
        </w:rPr>
        <w:t>.doc</w:t>
      </w:r>
    </w:p>
    <w:p w14:paraId="43107CB1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 of data: </w:t>
      </w:r>
      <w:r>
        <w:rPr>
          <w:rFonts w:ascii="Times New Roman" w:hAnsi="Times New Roman" w:cs="Times New Roman"/>
          <w:sz w:val="24"/>
          <w:szCs w:val="24"/>
        </w:rPr>
        <w:t>Supplementary Table 1</w:t>
      </w:r>
    </w:p>
    <w:p w14:paraId="6A8C6B3D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Description of data: </w:t>
      </w:r>
      <w:r>
        <w:rPr>
          <w:rFonts w:ascii="Times New Roman" w:hAnsi="Times New Roman" w:cs="Times New Roman"/>
          <w:sz w:val="24"/>
          <w:szCs w:val="24"/>
        </w:rPr>
        <w:t>AML patients main biological and clinical characteristics.</w:t>
      </w:r>
    </w:p>
    <w:p w14:paraId="27FAF44E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7B1273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File format: </w:t>
      </w:r>
      <w:r>
        <w:rPr>
          <w:rFonts w:ascii="Times New Roman" w:hAnsi="Times New Roman" w:cs="Times New Roman"/>
          <w:sz w:val="24"/>
          <w:szCs w:val="24"/>
        </w:rPr>
        <w:t>.xls</w:t>
      </w:r>
    </w:p>
    <w:p w14:paraId="497FB5DF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 of data: </w:t>
      </w:r>
      <w:r>
        <w:rPr>
          <w:rFonts w:ascii="Times New Roman" w:hAnsi="Times New Roman" w:cs="Times New Roman"/>
          <w:sz w:val="24"/>
          <w:szCs w:val="24"/>
        </w:rPr>
        <w:t>Supplementary Table 2</w:t>
      </w:r>
    </w:p>
    <w:p w14:paraId="4370FBA9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Description of data: </w:t>
      </w:r>
      <w:r>
        <w:rPr>
          <w:rFonts w:ascii="Times New Roman" w:hAnsi="Times New Roman" w:cs="Times New Roman"/>
          <w:sz w:val="24"/>
          <w:szCs w:val="24"/>
        </w:rPr>
        <w:t>Detailed AML patients’ database reporting clinical and molecular data.</w:t>
      </w:r>
    </w:p>
    <w:p w14:paraId="60735F74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21D5E8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File format: </w:t>
      </w:r>
      <w:r>
        <w:rPr>
          <w:rFonts w:ascii="Times New Roman" w:hAnsi="Times New Roman" w:cs="Times New Roman"/>
          <w:sz w:val="24"/>
          <w:szCs w:val="24"/>
        </w:rPr>
        <w:t>.doc</w:t>
      </w:r>
    </w:p>
    <w:p w14:paraId="3E180D48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 of data: </w:t>
      </w:r>
      <w:r>
        <w:rPr>
          <w:rFonts w:ascii="Times New Roman" w:hAnsi="Times New Roman" w:cs="Times New Roman"/>
          <w:sz w:val="24"/>
          <w:szCs w:val="24"/>
        </w:rPr>
        <w:t>Supplementary Table 3</w:t>
      </w:r>
    </w:p>
    <w:p w14:paraId="3BC2617E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Description of data: </w:t>
      </w:r>
      <w:r>
        <w:rPr>
          <w:rFonts w:ascii="Times New Roman" w:hAnsi="Times New Roman" w:cs="Times New Roman"/>
          <w:sz w:val="24"/>
          <w:szCs w:val="24"/>
        </w:rPr>
        <w:t xml:space="preserve">Multiple linear regression tabular results. Among 18 independent variables (gene mutations detected) tested, </w:t>
      </w:r>
      <w:r>
        <w:rPr>
          <w:rFonts w:ascii="Times New Roman" w:hAnsi="Times New Roman" w:cs="Times New Roman"/>
          <w:i/>
          <w:iCs/>
          <w:sz w:val="24"/>
          <w:szCs w:val="24"/>
        </w:rPr>
        <w:t>FLT3</w:t>
      </w:r>
      <w:r>
        <w:rPr>
          <w:rFonts w:ascii="Times New Roman" w:hAnsi="Times New Roman" w:cs="Times New Roman"/>
          <w:sz w:val="24"/>
          <w:szCs w:val="24"/>
        </w:rPr>
        <w:t xml:space="preserve">-ITD is the only variable able to influence the </w:t>
      </w:r>
      <w:r>
        <w:rPr>
          <w:rFonts w:ascii="Times New Roman" w:hAnsi="Times New Roman" w:cs="Times New Roman"/>
          <w:i/>
          <w:iCs/>
          <w:sz w:val="24"/>
          <w:szCs w:val="24"/>
        </w:rPr>
        <w:t>RUNX1A</w:t>
      </w:r>
      <w:r>
        <w:rPr>
          <w:rFonts w:ascii="Times New Roman" w:hAnsi="Times New Roman" w:cs="Times New Roman"/>
          <w:sz w:val="24"/>
          <w:szCs w:val="24"/>
        </w:rPr>
        <w:t xml:space="preserve"> levels (dependent variable).</w:t>
      </w:r>
    </w:p>
    <w:p w14:paraId="2B22EC8D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D9A587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File format: </w:t>
      </w:r>
      <w:r>
        <w:rPr>
          <w:rFonts w:ascii="Times New Roman" w:hAnsi="Times New Roman" w:cs="Times New Roman"/>
          <w:sz w:val="24"/>
          <w:szCs w:val="24"/>
        </w:rPr>
        <w:t>.xls</w:t>
      </w:r>
    </w:p>
    <w:p w14:paraId="39B010BF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 of data: </w:t>
      </w:r>
      <w:r>
        <w:rPr>
          <w:rFonts w:ascii="Times New Roman" w:hAnsi="Times New Roman" w:cs="Times New Roman"/>
          <w:sz w:val="24"/>
          <w:szCs w:val="24"/>
        </w:rPr>
        <w:t>Supplementary Table 4</w:t>
      </w:r>
    </w:p>
    <w:p w14:paraId="327F4E06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Description of data: </w:t>
      </w:r>
      <w:r>
        <w:rPr>
          <w:rFonts w:ascii="Times New Roman" w:hAnsi="Times New Roman" w:cs="Times New Roman"/>
          <w:sz w:val="24"/>
          <w:szCs w:val="24"/>
        </w:rPr>
        <w:t xml:space="preserve">Complete list of differentially expressed genes between the two group of AML patients: high vs normal/low </w:t>
      </w:r>
      <w:r>
        <w:rPr>
          <w:rFonts w:ascii="Times New Roman" w:hAnsi="Times New Roman" w:cs="Times New Roman"/>
          <w:i/>
          <w:iCs/>
          <w:sz w:val="24"/>
          <w:szCs w:val="24"/>
        </w:rPr>
        <w:t>RUNX1A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E0FF77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B5566A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File format: </w:t>
      </w:r>
      <w:r>
        <w:rPr>
          <w:rFonts w:ascii="Times New Roman" w:hAnsi="Times New Roman" w:cs="Times New Roman"/>
          <w:sz w:val="24"/>
          <w:szCs w:val="24"/>
        </w:rPr>
        <w:t>.xls</w:t>
      </w:r>
    </w:p>
    <w:p w14:paraId="29C106B6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 of data: </w:t>
      </w:r>
      <w:r>
        <w:rPr>
          <w:rFonts w:ascii="Times New Roman" w:hAnsi="Times New Roman" w:cs="Times New Roman"/>
          <w:sz w:val="24"/>
          <w:szCs w:val="24"/>
        </w:rPr>
        <w:t>Supplementary Table 5</w:t>
      </w:r>
    </w:p>
    <w:p w14:paraId="6D2B44AA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Description of data: </w:t>
      </w:r>
      <w:r>
        <w:rPr>
          <w:rFonts w:ascii="Times New Roman" w:hAnsi="Times New Roman" w:cs="Times New Roman"/>
          <w:sz w:val="24"/>
          <w:szCs w:val="24"/>
        </w:rPr>
        <w:t>Complete list of gene ontology categories (BP, CC, MF) with the categorized genes resulting from DAVID analysis. BP: Biological Process, CC: Cellular Component, MF: Molecular Function.</w:t>
      </w:r>
    </w:p>
    <w:p w14:paraId="2FF611B7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1258F3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File format: </w:t>
      </w:r>
      <w:r>
        <w:rPr>
          <w:rFonts w:ascii="Times New Roman" w:hAnsi="Times New Roman" w:cs="Times New Roman"/>
          <w:sz w:val="24"/>
          <w:szCs w:val="24"/>
        </w:rPr>
        <w:t>.xls</w:t>
      </w:r>
    </w:p>
    <w:p w14:paraId="70EB0FFB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 of data: </w:t>
      </w:r>
      <w:r>
        <w:rPr>
          <w:rFonts w:ascii="Times New Roman" w:hAnsi="Times New Roman" w:cs="Times New Roman"/>
          <w:sz w:val="24"/>
          <w:szCs w:val="24"/>
        </w:rPr>
        <w:t>Supplementary Table 6</w:t>
      </w:r>
    </w:p>
    <w:p w14:paraId="04D108BF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Description of data: </w:t>
      </w:r>
      <w:r>
        <w:rPr>
          <w:rFonts w:ascii="Times New Roman" w:hAnsi="Times New Roman" w:cs="Times New Roman"/>
          <w:sz w:val="24"/>
          <w:szCs w:val="24"/>
        </w:rPr>
        <w:t>Complete list of canonical pathways output from IPA analysis.</w:t>
      </w:r>
    </w:p>
    <w:p w14:paraId="624944E7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E530A1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File format: </w:t>
      </w:r>
      <w:r>
        <w:rPr>
          <w:rFonts w:ascii="Times New Roman" w:hAnsi="Times New Roman" w:cs="Times New Roman"/>
          <w:sz w:val="24"/>
          <w:szCs w:val="24"/>
        </w:rPr>
        <w:t>.pdf</w:t>
      </w:r>
    </w:p>
    <w:p w14:paraId="06875ABF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 of data: </w:t>
      </w:r>
      <w:r>
        <w:rPr>
          <w:rFonts w:ascii="Times New Roman" w:hAnsi="Times New Roman" w:cs="Times New Roman"/>
          <w:sz w:val="24"/>
          <w:szCs w:val="24"/>
        </w:rPr>
        <w:t>Supplementary Figure 1</w:t>
      </w:r>
    </w:p>
    <w:p w14:paraId="11B10517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Description of data: (A)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RUNX1A</w:t>
      </w:r>
      <w:r>
        <w:rPr>
          <w:rFonts w:ascii="Times New Roman" w:hAnsi="Times New Roman" w:cs="Times New Roman"/>
          <w:sz w:val="24"/>
          <w:szCs w:val="24"/>
        </w:rPr>
        <w:t xml:space="preserve"> expression in AML cases split according to the main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RUNX1 </w:t>
      </w:r>
      <w:r>
        <w:rPr>
          <w:rFonts w:ascii="Times New Roman" w:hAnsi="Times New Roman" w:cs="Times New Roman"/>
          <w:sz w:val="24"/>
          <w:szCs w:val="24"/>
        </w:rPr>
        <w:t xml:space="preserve">gene alterations.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(B-C) </w:t>
      </w:r>
      <w:r>
        <w:rPr>
          <w:rFonts w:ascii="Times New Roman" w:hAnsi="Times New Roman" w:cs="Times New Roman"/>
          <w:i/>
          <w:iCs/>
          <w:sz w:val="24"/>
          <w:szCs w:val="24"/>
        </w:rPr>
        <w:t>RUNX1A</w:t>
      </w:r>
      <w:r>
        <w:rPr>
          <w:rFonts w:ascii="Times New Roman" w:hAnsi="Times New Roman" w:cs="Times New Roman"/>
          <w:sz w:val="24"/>
          <w:szCs w:val="24"/>
        </w:rPr>
        <w:t xml:space="preserve"> transcript level in patients subdivided based on spliceosome mutations. </w:t>
      </w:r>
      <w:r>
        <w:rPr>
          <w:rFonts w:ascii="Times New Roman" w:hAnsi="Times New Roman" w:cs="Times New Roman"/>
          <w:i/>
          <w:iCs/>
          <w:sz w:val="24"/>
          <w:szCs w:val="24"/>
        </w:rPr>
        <w:t>RUNX1A</w:t>
      </w:r>
      <w:r>
        <w:rPr>
          <w:rFonts w:ascii="Times New Roman" w:hAnsi="Times New Roman" w:cs="Times New Roman"/>
          <w:sz w:val="24"/>
          <w:szCs w:val="24"/>
        </w:rPr>
        <w:t xml:space="preserve"> absolute quantification </w:t>
      </w:r>
      <w:r>
        <w:rPr>
          <w:rFonts w:ascii="Times New Roman" w:hAnsi="Times New Roman" w:cs="Times New Roman"/>
          <w:b/>
          <w:bCs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and the </w:t>
      </w:r>
      <w:r>
        <w:rPr>
          <w:rFonts w:ascii="Times New Roman" w:hAnsi="Times New Roman" w:cs="Times New Roman"/>
          <w:i/>
          <w:iCs/>
          <w:sz w:val="24"/>
          <w:szCs w:val="24"/>
        </w:rPr>
        <w:t>RUNX1A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i/>
          <w:iCs/>
          <w:sz w:val="24"/>
          <w:szCs w:val="24"/>
        </w:rPr>
        <w:t>RUNX1B</w:t>
      </w:r>
      <w:r>
        <w:rPr>
          <w:rFonts w:ascii="Times New Roman" w:hAnsi="Times New Roman" w:cs="Times New Roman"/>
          <w:sz w:val="24"/>
          <w:szCs w:val="24"/>
        </w:rPr>
        <w:t xml:space="preserve"> ratio </w:t>
      </w:r>
      <w:r>
        <w:rPr>
          <w:rFonts w:ascii="Times New Roman" w:hAnsi="Times New Roman" w:cs="Times New Roman"/>
          <w:b/>
          <w:bCs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 are reported. </w:t>
      </w:r>
      <w:r>
        <w:rPr>
          <w:rFonts w:ascii="Times New Roman" w:hAnsi="Times New Roman" w:cs="Times New Roman"/>
          <w:b/>
          <w:bCs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RUNX1A</w:t>
      </w:r>
      <w:r>
        <w:rPr>
          <w:rFonts w:ascii="Times New Roman" w:hAnsi="Times New Roman" w:cs="Times New Roman"/>
          <w:sz w:val="24"/>
          <w:szCs w:val="24"/>
        </w:rPr>
        <w:t xml:space="preserve"> expression in AML cases shared according to the mutational status of the principal epigenetic modifiers.</w:t>
      </w:r>
    </w:p>
    <w:p w14:paraId="4F1D0392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1EC511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File format: </w:t>
      </w:r>
      <w:r>
        <w:rPr>
          <w:rFonts w:ascii="Times New Roman" w:hAnsi="Times New Roman" w:cs="Times New Roman"/>
          <w:sz w:val="24"/>
          <w:szCs w:val="24"/>
        </w:rPr>
        <w:t>.pdf</w:t>
      </w:r>
    </w:p>
    <w:p w14:paraId="627AEC86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 of data: </w:t>
      </w:r>
      <w:r>
        <w:rPr>
          <w:rFonts w:ascii="Times New Roman" w:hAnsi="Times New Roman" w:cs="Times New Roman"/>
          <w:sz w:val="24"/>
          <w:szCs w:val="24"/>
        </w:rPr>
        <w:t>Supplementary Figure 2</w:t>
      </w:r>
    </w:p>
    <w:p w14:paraId="20D0B83C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Description of data: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(A, B)</w:t>
      </w:r>
      <w:r>
        <w:rPr>
          <w:rFonts w:ascii="Times New Roman" w:hAnsi="Times New Roman" w:cs="Times New Roman"/>
          <w:sz w:val="24"/>
          <w:szCs w:val="24"/>
        </w:rPr>
        <w:t xml:space="preserve"> Uncropped colorimetric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 xml:space="preserve">and chemiluminescent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>
        <w:rPr>
          <w:rFonts w:ascii="Times New Roman" w:hAnsi="Times New Roman" w:cs="Times New Roman"/>
          <w:sz w:val="24"/>
          <w:szCs w:val="24"/>
        </w:rPr>
        <w:t xml:space="preserve">images of RUNX1A total blot. </w:t>
      </w:r>
      <w:r>
        <w:rPr>
          <w:rFonts w:ascii="Times New Roman" w:hAnsi="Times New Roman" w:cs="Times New Roman"/>
          <w:b/>
          <w:bCs/>
          <w:sz w:val="24"/>
          <w:szCs w:val="24"/>
        </w:rPr>
        <w:t>(C, D)</w:t>
      </w:r>
      <w:r>
        <w:rPr>
          <w:rFonts w:ascii="Times New Roman" w:hAnsi="Times New Roman" w:cs="Times New Roman"/>
          <w:sz w:val="24"/>
          <w:szCs w:val="24"/>
        </w:rPr>
        <w:t xml:space="preserve"> Uncropped colorimetric </w:t>
      </w:r>
      <w:r>
        <w:rPr>
          <w:rFonts w:ascii="Times New Roman" w:hAnsi="Times New Roman" w:cs="Times New Roman"/>
          <w:b/>
          <w:bCs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 and chemiluminescent </w:t>
      </w:r>
      <w:r>
        <w:rPr>
          <w:rFonts w:ascii="Times New Roman" w:hAnsi="Times New Roman" w:cs="Times New Roman"/>
          <w:b/>
          <w:bCs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 xml:space="preserve"> images of RUNX1A partial blot from which the final image was obtained. </w:t>
      </w:r>
      <w:r>
        <w:rPr>
          <w:rFonts w:ascii="Times New Roman" w:hAnsi="Times New Roman" w:cs="Times New Roman"/>
          <w:b/>
          <w:bCs/>
          <w:sz w:val="24"/>
          <w:szCs w:val="24"/>
        </w:rPr>
        <w:t>(E, F)</w:t>
      </w:r>
      <w:r>
        <w:rPr>
          <w:rFonts w:ascii="Times New Roman" w:hAnsi="Times New Roman" w:cs="Times New Roman"/>
          <w:sz w:val="24"/>
          <w:szCs w:val="24"/>
        </w:rPr>
        <w:t xml:space="preserve"> Uncropped colorimetric </w:t>
      </w:r>
      <w:r>
        <w:rPr>
          <w:rFonts w:ascii="Times New Roman" w:hAnsi="Times New Roman" w:cs="Times New Roman"/>
          <w:b/>
          <w:bCs/>
          <w:sz w:val="24"/>
          <w:szCs w:val="24"/>
        </w:rPr>
        <w:t>(E)</w:t>
      </w:r>
      <w:r>
        <w:rPr>
          <w:rFonts w:ascii="Times New Roman" w:hAnsi="Times New Roman" w:cs="Times New Roman"/>
          <w:sz w:val="24"/>
          <w:szCs w:val="24"/>
        </w:rPr>
        <w:t xml:space="preserve"> and chemiluminescent </w:t>
      </w:r>
      <w:r>
        <w:rPr>
          <w:rFonts w:ascii="Times New Roman" w:hAnsi="Times New Roman" w:cs="Times New Roman"/>
          <w:b/>
          <w:bCs/>
          <w:sz w:val="24"/>
          <w:szCs w:val="24"/>
        </w:rPr>
        <w:t>(F)</w:t>
      </w:r>
      <w:r>
        <w:rPr>
          <w:rFonts w:ascii="Times New Roman" w:hAnsi="Times New Roman" w:cs="Times New Roman"/>
          <w:sz w:val="24"/>
          <w:szCs w:val="24"/>
        </w:rPr>
        <w:t xml:space="preserve"> images of beta-actin total blot. The first and last 4 lanes were considered for the final image in the manuscript.</w:t>
      </w:r>
    </w:p>
    <w:p w14:paraId="02388A53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F524A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File format: </w:t>
      </w:r>
      <w:r>
        <w:rPr>
          <w:rFonts w:ascii="Times New Roman" w:hAnsi="Times New Roman" w:cs="Times New Roman"/>
          <w:sz w:val="24"/>
          <w:szCs w:val="24"/>
        </w:rPr>
        <w:t>.pdf</w:t>
      </w:r>
    </w:p>
    <w:p w14:paraId="22A4CD4F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 of data: </w:t>
      </w:r>
      <w:r>
        <w:rPr>
          <w:rFonts w:ascii="Times New Roman" w:hAnsi="Times New Roman" w:cs="Times New Roman"/>
          <w:sz w:val="24"/>
          <w:szCs w:val="24"/>
        </w:rPr>
        <w:t>Supplementary Figure 3</w:t>
      </w:r>
    </w:p>
    <w:p w14:paraId="276513D0" w14:textId="77777777" w:rsidR="003A1DC2" w:rsidRDefault="003A1DC2" w:rsidP="003A1DC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Description of data: </w:t>
      </w:r>
      <w:r>
        <w:rPr>
          <w:rFonts w:ascii="Times New Roman" w:hAnsi="Times New Roman" w:cs="Times New Roman"/>
          <w:sz w:val="24"/>
          <w:szCs w:val="24"/>
        </w:rPr>
        <w:t xml:space="preserve">Univariate </w:t>
      </w:r>
      <w:r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and multivariate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>
        <w:rPr>
          <w:rFonts w:ascii="Times New Roman" w:hAnsi="Times New Roman" w:cs="Times New Roman"/>
          <w:sz w:val="24"/>
          <w:szCs w:val="24"/>
        </w:rPr>
        <w:t xml:space="preserve">Cox regression analysis investigating the impact of </w:t>
      </w:r>
      <w:r>
        <w:rPr>
          <w:rFonts w:ascii="Times New Roman" w:hAnsi="Times New Roman" w:cs="Times New Roman"/>
          <w:i/>
          <w:iCs/>
          <w:sz w:val="24"/>
          <w:szCs w:val="24"/>
        </w:rPr>
        <w:t>RUNX1</w:t>
      </w:r>
      <w:r>
        <w:rPr>
          <w:rFonts w:ascii="Times New Roman" w:hAnsi="Times New Roman" w:cs="Times New Roman"/>
          <w:sz w:val="24"/>
          <w:szCs w:val="24"/>
        </w:rPr>
        <w:t xml:space="preserve"> isoforms levels and </w:t>
      </w:r>
      <w:r>
        <w:rPr>
          <w:rFonts w:ascii="Times New Roman" w:hAnsi="Times New Roman" w:cs="Times New Roman"/>
          <w:i/>
          <w:iCs/>
          <w:sz w:val="24"/>
          <w:szCs w:val="24"/>
        </w:rPr>
        <w:t>FLT3</w:t>
      </w:r>
      <w:r>
        <w:rPr>
          <w:rFonts w:ascii="Times New Roman" w:hAnsi="Times New Roman" w:cs="Times New Roman"/>
          <w:sz w:val="24"/>
          <w:szCs w:val="24"/>
        </w:rPr>
        <w:t xml:space="preserve"> mutational profile on patients’ overall survival (OS). Cases undergoing to hematopoietic stem cells transplant were not included in. HR: Hazard ratio, CI: confidence interval.</w:t>
      </w:r>
    </w:p>
    <w:p w14:paraId="18F85BF3" w14:textId="77777777" w:rsidR="00EC2277" w:rsidRDefault="00EC2277">
      <w:bookmarkStart w:id="0" w:name="_GoBack"/>
      <w:bookmarkEnd w:id="0"/>
    </w:p>
    <w:sectPr w:rsidR="00EC2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77"/>
    <w:rsid w:val="003A1DC2"/>
    <w:rsid w:val="00EC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C9C951-FDC6-423B-B077-3DF33BC5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1DC2"/>
    <w:pPr>
      <w:spacing w:line="256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Seema Chauhan</dc:creator>
  <cp:keywords/>
  <dc:description/>
  <cp:lastModifiedBy>Seema Chauhan</cp:lastModifiedBy>
  <cp:revision>2</cp:revision>
  <dcterms:created xsi:type="dcterms:W3CDTF">2025-07-02T08:55:00Z</dcterms:created>
  <dcterms:modified xsi:type="dcterms:W3CDTF">2025-07-02T08:55:00Z</dcterms:modified>
</cp:coreProperties>
</file>