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0E12C" w14:textId="1D74E666" w:rsidR="004310BA" w:rsidRPr="00300A19" w:rsidRDefault="004310BA" w:rsidP="004310BA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300A19">
        <w:rPr>
          <w:rFonts w:ascii="Times New Roman" w:hAnsi="Times New Roman" w:cs="Times New Roman"/>
          <w:b/>
          <w:sz w:val="24"/>
        </w:rPr>
        <w:t xml:space="preserve">Supplementary </w:t>
      </w:r>
      <w:r>
        <w:rPr>
          <w:rFonts w:ascii="Times New Roman" w:hAnsi="Times New Roman" w:cs="Times New Roman"/>
          <w:b/>
          <w:sz w:val="24"/>
        </w:rPr>
        <w:t>Fig 1</w:t>
      </w:r>
      <w:r w:rsidR="00D5667D">
        <w:rPr>
          <w:rFonts w:ascii="Times New Roman" w:hAnsi="Times New Roman" w:cs="Times New Roman"/>
          <w:b/>
          <w:sz w:val="24"/>
        </w:rPr>
        <w:t>.</w:t>
      </w:r>
      <w:bookmarkStart w:id="0" w:name="_GoBack"/>
      <w:bookmarkEnd w:id="0"/>
      <w:r w:rsidRPr="00300A19">
        <w:rPr>
          <w:rFonts w:ascii="Times New Roman" w:hAnsi="Times New Roman" w:cs="Times New Roman"/>
          <w:sz w:val="24"/>
        </w:rPr>
        <w:t xml:space="preserve"> </w:t>
      </w:r>
      <w:r w:rsidRPr="00300A19">
        <w:rPr>
          <w:rFonts w:ascii="Times New Roman" w:hAnsi="Times New Roman" w:cs="Times New Roman"/>
          <w:b/>
          <w:sz w:val="24"/>
        </w:rPr>
        <w:t xml:space="preserve">PH potentiates the growth inhibition of 5FU, Oxaliplatin and in Irinotecan PDAC cells. </w:t>
      </w:r>
    </w:p>
    <w:p w14:paraId="36CB2948" w14:textId="77777777" w:rsidR="004310BA" w:rsidRDefault="004310BA" w:rsidP="004310B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0A19">
        <w:rPr>
          <w:rFonts w:ascii="Times New Roman" w:hAnsi="Times New Roman" w:cs="Times New Roman"/>
          <w:b/>
          <w:sz w:val="24"/>
        </w:rPr>
        <w:t>(A-C)</w:t>
      </w:r>
      <w:r w:rsidRPr="00300A19">
        <w:rPr>
          <w:rFonts w:ascii="Times New Roman" w:hAnsi="Times New Roman" w:cs="Times New Roman"/>
          <w:sz w:val="24"/>
        </w:rPr>
        <w:t xml:space="preserve"> The indicated cancer cell lines were treated with various concentration of 5FU (15 μM) and Oxaliplatin (25 μM), Irinotecan (15 μM), paricalcitol (350 nM), and hydroxychloroquine (25</w:t>
      </w:r>
      <w:r w:rsidRPr="00300A19">
        <w:t xml:space="preserve"> </w:t>
      </w:r>
      <w:r w:rsidRPr="00300A19">
        <w:rPr>
          <w:rFonts w:ascii="Times New Roman" w:hAnsi="Times New Roman" w:cs="Times New Roman"/>
          <w:sz w:val="24"/>
        </w:rPr>
        <w:t xml:space="preserve">μM) for three days and subjected to MTT assays. Relative percentage cell viability was plotted with respect to DMSO treated cells. </w:t>
      </w:r>
      <w:r w:rsidRPr="00300A19">
        <w:rPr>
          <w:rFonts w:ascii="Times New Roman" w:hAnsi="Times New Roman" w:cs="Times New Roman"/>
          <w:b/>
          <w:sz w:val="24"/>
        </w:rPr>
        <w:t>(D)</w:t>
      </w:r>
      <w:r w:rsidRPr="00300A19">
        <w:rPr>
          <w:rFonts w:ascii="Times New Roman" w:hAnsi="Times New Roman" w:cs="Times New Roman"/>
          <w:sz w:val="24"/>
        </w:rPr>
        <w:t xml:space="preserve"> The indicated cancer cell lines were treated with DMSO, PH, </w:t>
      </w:r>
      <w:r w:rsidRPr="00300A19">
        <w:rPr>
          <w:rFonts w:ascii="Times New Roman" w:eastAsia="Times New Roman" w:hAnsi="Times New Roman" w:cs="Times New Roman"/>
          <w:bCs/>
          <w:sz w:val="24"/>
          <w:szCs w:val="24"/>
        </w:rPr>
        <w:t>5FU+Oxali+Irino</w:t>
      </w:r>
      <w:r w:rsidRPr="00300A19">
        <w:rPr>
          <w:rFonts w:ascii="Times New Roman" w:hAnsi="Times New Roman" w:cs="Times New Roman"/>
          <w:sz w:val="24"/>
        </w:rPr>
        <w:t>, and combination (PH+</w:t>
      </w:r>
      <w:r w:rsidRPr="00300A19">
        <w:rPr>
          <w:rFonts w:ascii="Times New Roman" w:eastAsia="Times New Roman" w:hAnsi="Times New Roman" w:cs="Times New Roman"/>
          <w:bCs/>
          <w:sz w:val="24"/>
          <w:szCs w:val="24"/>
        </w:rPr>
        <w:t>5FU+Oxali+Irino</w:t>
      </w:r>
      <w:r w:rsidRPr="00300A19">
        <w:rPr>
          <w:rFonts w:ascii="Times New Roman" w:hAnsi="Times New Roman" w:cs="Times New Roman"/>
          <w:sz w:val="24"/>
        </w:rPr>
        <w:t xml:space="preserve">) for 2–4 weeks, and long-term cell survival was measured using clonogenic assays. Representative images are shown. </w:t>
      </w:r>
      <w:r w:rsidRPr="00300A19">
        <w:rPr>
          <w:rFonts w:ascii="Times New Roman" w:hAnsi="Times New Roman" w:cs="Times New Roman"/>
          <w:b/>
          <w:sz w:val="24"/>
        </w:rPr>
        <w:t xml:space="preserve">(E) </w:t>
      </w:r>
      <w:r w:rsidRPr="00300A19">
        <w:rPr>
          <w:rFonts w:ascii="Times New Roman" w:hAnsi="Times New Roman" w:cs="Times New Roman"/>
          <w:sz w:val="24"/>
        </w:rPr>
        <w:t>Colony counts from the clonogenic assay data shown in 1D</w:t>
      </w:r>
      <w:r w:rsidRPr="00300A19">
        <w:rPr>
          <w:rFonts w:ascii="Times New Roman" w:hAnsi="Times New Roman" w:cs="Times New Roman"/>
          <w:b/>
          <w:sz w:val="24"/>
        </w:rPr>
        <w:t xml:space="preserve">.  </w:t>
      </w:r>
      <w:r w:rsidRPr="00300A19">
        <w:rPr>
          <w:rFonts w:ascii="Times New Roman" w:hAnsi="Times New Roman" w:cs="Times New Roman"/>
          <w:sz w:val="24"/>
        </w:rPr>
        <w:t xml:space="preserve">Data represent the mean ± standard error of three biological replicates. ns = not significant, </w:t>
      </w:r>
      <w:r w:rsidRPr="00300A19">
        <w:rPr>
          <w:rFonts w:ascii="Times New Roman" w:hAnsi="Times New Roman"/>
          <w:sz w:val="24"/>
          <w:szCs w:val="24"/>
        </w:rPr>
        <w:t>*</w:t>
      </w:r>
      <w:r w:rsidRPr="00C930DE">
        <w:rPr>
          <w:rFonts w:ascii="Times New Roman" w:hAnsi="Times New Roman"/>
          <w:i/>
          <w:sz w:val="24"/>
          <w:szCs w:val="24"/>
        </w:rPr>
        <w:t>p</w:t>
      </w:r>
      <w:r w:rsidRPr="00300A19">
        <w:rPr>
          <w:rFonts w:ascii="Times New Roman" w:hAnsi="Times New Roman"/>
          <w:sz w:val="24"/>
          <w:szCs w:val="24"/>
        </w:rPr>
        <w:t xml:space="preserve"> &lt; 0.05, **</w:t>
      </w:r>
      <w:r w:rsidRPr="00C930DE">
        <w:rPr>
          <w:rFonts w:ascii="Times New Roman" w:hAnsi="Times New Roman"/>
          <w:i/>
          <w:sz w:val="24"/>
          <w:szCs w:val="24"/>
        </w:rPr>
        <w:t>p</w:t>
      </w:r>
      <w:r w:rsidRPr="00300A19">
        <w:rPr>
          <w:rFonts w:ascii="Times New Roman" w:hAnsi="Times New Roman"/>
          <w:sz w:val="24"/>
          <w:szCs w:val="24"/>
        </w:rPr>
        <w:t xml:space="preserve"> &lt; 0.01, ***</w:t>
      </w:r>
      <w:r w:rsidRPr="00C930DE">
        <w:rPr>
          <w:rFonts w:ascii="Times New Roman" w:hAnsi="Times New Roman"/>
          <w:i/>
          <w:sz w:val="24"/>
          <w:szCs w:val="24"/>
        </w:rPr>
        <w:t>p</w:t>
      </w:r>
      <w:r w:rsidRPr="00300A19">
        <w:rPr>
          <w:rFonts w:ascii="Times New Roman" w:hAnsi="Times New Roman"/>
          <w:sz w:val="24"/>
          <w:szCs w:val="24"/>
        </w:rPr>
        <w:t xml:space="preserve"> &lt; 0.001, and ****</w:t>
      </w:r>
      <w:r w:rsidRPr="00C930DE">
        <w:rPr>
          <w:rFonts w:ascii="Times New Roman" w:hAnsi="Times New Roman"/>
          <w:i/>
          <w:sz w:val="24"/>
          <w:szCs w:val="24"/>
        </w:rPr>
        <w:t>p</w:t>
      </w:r>
      <w:r w:rsidRPr="00300A19">
        <w:rPr>
          <w:rFonts w:ascii="Times New Roman" w:hAnsi="Times New Roman"/>
          <w:sz w:val="24"/>
          <w:szCs w:val="24"/>
        </w:rPr>
        <w:t xml:space="preserve"> &lt; 0.0001 compared to control cells by two-way ANOVA.</w:t>
      </w:r>
    </w:p>
    <w:p w14:paraId="2AFB6FE5" w14:textId="77777777" w:rsidR="004310BA" w:rsidRDefault="004310BA" w:rsidP="004310B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B007BA3" w14:textId="77777777" w:rsidR="004310BA" w:rsidRPr="00300A19" w:rsidRDefault="004310BA" w:rsidP="004310B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0A19">
        <w:rPr>
          <w:rFonts w:ascii="Times New Roman" w:hAnsi="Times New Roman"/>
          <w:b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sz w:val="24"/>
          <w:szCs w:val="24"/>
        </w:rPr>
        <w:t>Fig 2.</w:t>
      </w:r>
      <w:r w:rsidRPr="00300A19">
        <w:rPr>
          <w:rFonts w:ascii="Times New Roman" w:hAnsi="Times New Roman"/>
          <w:b/>
          <w:sz w:val="24"/>
          <w:szCs w:val="24"/>
        </w:rPr>
        <w:t xml:space="preserve"> </w:t>
      </w:r>
      <w:r w:rsidRPr="00300A19">
        <w:rPr>
          <w:rFonts w:ascii="Times New Roman" w:hAnsi="Times New Roman"/>
          <w:sz w:val="24"/>
          <w:szCs w:val="24"/>
        </w:rPr>
        <w:t xml:space="preserve">Analysis of cell cycle progression by flow cytometry. Pictorial graph showing the proportion of cells in different phases of cell cycle treated with DMSO, PH, </w:t>
      </w:r>
      <w:r w:rsidRPr="00300A19">
        <w:rPr>
          <w:rFonts w:ascii="Times New Roman" w:eastAsia="Times New Roman" w:hAnsi="Times New Roman" w:cs="Times New Roman"/>
          <w:bCs/>
          <w:sz w:val="24"/>
          <w:szCs w:val="24"/>
        </w:rPr>
        <w:t xml:space="preserve">5FU+Oxali </w:t>
      </w:r>
      <w:r w:rsidRPr="00300A19">
        <w:rPr>
          <w:rFonts w:ascii="Times New Roman" w:hAnsi="Times New Roman"/>
          <w:sz w:val="24"/>
          <w:szCs w:val="24"/>
        </w:rPr>
        <w:t>and PH+</w:t>
      </w:r>
      <w:r w:rsidRPr="00300A19">
        <w:rPr>
          <w:rFonts w:ascii="Times New Roman" w:eastAsia="Times New Roman" w:hAnsi="Times New Roman" w:cs="Times New Roman"/>
          <w:bCs/>
          <w:sz w:val="24"/>
          <w:szCs w:val="24"/>
        </w:rPr>
        <w:t xml:space="preserve">5FU+Oxali </w:t>
      </w:r>
      <w:r w:rsidRPr="00300A19">
        <w:rPr>
          <w:rFonts w:ascii="Times New Roman" w:hAnsi="Times New Roman"/>
          <w:sz w:val="24"/>
          <w:szCs w:val="24"/>
        </w:rPr>
        <w:t xml:space="preserve">treatments in MIA PaCa-2 (A), HPAC (B), and KPC (C) cells. </w:t>
      </w:r>
    </w:p>
    <w:p w14:paraId="2C93CEB8" w14:textId="77777777" w:rsidR="004310BA" w:rsidRDefault="004310BA" w:rsidP="004310B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D6E2CA8" w14:textId="77777777" w:rsidR="004310BA" w:rsidRPr="00300A19" w:rsidRDefault="004310BA" w:rsidP="004310B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Supplementary F</w:t>
      </w:r>
      <w:r w:rsidRPr="00300A19">
        <w:rPr>
          <w:rFonts w:ascii="Times New Roman" w:hAnsi="Times New Roman"/>
          <w:b/>
          <w:sz w:val="24"/>
          <w:szCs w:val="24"/>
        </w:rPr>
        <w:t>ig 3</w:t>
      </w:r>
      <w:r>
        <w:rPr>
          <w:rFonts w:ascii="Times New Roman" w:hAnsi="Times New Roman"/>
          <w:b/>
          <w:sz w:val="24"/>
          <w:szCs w:val="24"/>
        </w:rPr>
        <w:t>.</w:t>
      </w:r>
      <w:r w:rsidRPr="00300A19">
        <w:t xml:space="preserve"> </w:t>
      </w:r>
      <w:r w:rsidRPr="00300A19">
        <w:rPr>
          <w:rFonts w:ascii="Times New Roman" w:hAnsi="Times New Roman"/>
          <w:b/>
          <w:sz w:val="24"/>
          <w:szCs w:val="24"/>
        </w:rPr>
        <w:t xml:space="preserve">(A) </w:t>
      </w:r>
      <w:r w:rsidRPr="00300A19">
        <w:rPr>
          <w:rFonts w:ascii="Times New Roman" w:hAnsi="Times New Roman"/>
          <w:sz w:val="24"/>
          <w:szCs w:val="24"/>
        </w:rPr>
        <w:t>Proportions of CD4</w:t>
      </w:r>
      <w:r w:rsidRPr="00300A19">
        <w:rPr>
          <w:rFonts w:ascii="Times New Roman" w:hAnsi="Times New Roman"/>
          <w:sz w:val="24"/>
          <w:szCs w:val="24"/>
          <w:vertAlign w:val="superscript"/>
        </w:rPr>
        <w:t>+</w:t>
      </w:r>
      <w:r w:rsidRPr="00300A19">
        <w:rPr>
          <w:rFonts w:ascii="Times New Roman" w:hAnsi="Times New Roman"/>
          <w:sz w:val="24"/>
          <w:szCs w:val="24"/>
        </w:rPr>
        <w:t xml:space="preserve"> T-cells, </w:t>
      </w:r>
      <w:r w:rsidRPr="00300A19">
        <w:rPr>
          <w:rFonts w:ascii="Times New Roman" w:hAnsi="Times New Roman"/>
          <w:b/>
          <w:sz w:val="24"/>
          <w:szCs w:val="24"/>
        </w:rPr>
        <w:t xml:space="preserve">(B) </w:t>
      </w:r>
      <w:r w:rsidRPr="00300A19">
        <w:rPr>
          <w:rFonts w:ascii="Times New Roman" w:hAnsi="Times New Roman"/>
          <w:sz w:val="24"/>
          <w:szCs w:val="24"/>
        </w:rPr>
        <w:t>CD4</w:t>
      </w:r>
      <w:r w:rsidRPr="00300A19">
        <w:rPr>
          <w:rFonts w:ascii="Times New Roman" w:hAnsi="Times New Roman"/>
          <w:sz w:val="24"/>
          <w:szCs w:val="24"/>
          <w:vertAlign w:val="superscript"/>
        </w:rPr>
        <w:t>+</w:t>
      </w:r>
      <w:r w:rsidRPr="00300A19">
        <w:rPr>
          <w:rFonts w:ascii="Times New Roman" w:hAnsi="Times New Roman"/>
          <w:sz w:val="24"/>
          <w:szCs w:val="24"/>
        </w:rPr>
        <w:t xml:space="preserve"> Foxp3</w:t>
      </w:r>
      <w:r w:rsidRPr="00300A19">
        <w:rPr>
          <w:rFonts w:ascii="Times New Roman" w:hAnsi="Times New Roman"/>
          <w:sz w:val="24"/>
          <w:szCs w:val="24"/>
          <w:vertAlign w:val="superscript"/>
        </w:rPr>
        <w:t>-</w:t>
      </w:r>
      <w:r w:rsidRPr="00300A19">
        <w:rPr>
          <w:rFonts w:ascii="Times New Roman" w:hAnsi="Times New Roman"/>
          <w:sz w:val="24"/>
          <w:szCs w:val="24"/>
        </w:rPr>
        <w:t xml:space="preserve"> PD-1</w:t>
      </w:r>
      <w:r w:rsidRPr="00300A19">
        <w:rPr>
          <w:rFonts w:ascii="Times New Roman" w:hAnsi="Times New Roman"/>
          <w:sz w:val="24"/>
          <w:szCs w:val="24"/>
          <w:vertAlign w:val="superscript"/>
        </w:rPr>
        <w:t>+</w:t>
      </w:r>
      <w:r w:rsidRPr="00300A19">
        <w:rPr>
          <w:rFonts w:ascii="Times New Roman" w:hAnsi="Times New Roman"/>
          <w:sz w:val="24"/>
          <w:szCs w:val="24"/>
        </w:rPr>
        <w:t xml:space="preserve"> T cells, and </w:t>
      </w:r>
      <w:r w:rsidRPr="00300A19">
        <w:rPr>
          <w:rFonts w:ascii="Times New Roman" w:hAnsi="Times New Roman"/>
          <w:b/>
          <w:sz w:val="24"/>
          <w:szCs w:val="24"/>
        </w:rPr>
        <w:t xml:space="preserve">(C). </w:t>
      </w:r>
      <w:r w:rsidRPr="00300A19">
        <w:rPr>
          <w:rFonts w:ascii="Times New Roman" w:hAnsi="Times New Roman"/>
          <w:sz w:val="24"/>
          <w:szCs w:val="24"/>
        </w:rPr>
        <w:t>CD4</w:t>
      </w:r>
      <w:r w:rsidRPr="00300A19">
        <w:rPr>
          <w:rFonts w:ascii="Times New Roman" w:hAnsi="Times New Roman"/>
          <w:sz w:val="24"/>
          <w:szCs w:val="24"/>
          <w:vertAlign w:val="superscript"/>
        </w:rPr>
        <w:t>+</w:t>
      </w:r>
      <w:r w:rsidRPr="00300A19">
        <w:rPr>
          <w:rFonts w:ascii="Times New Roman" w:hAnsi="Times New Roman"/>
          <w:sz w:val="24"/>
          <w:szCs w:val="24"/>
        </w:rPr>
        <w:t xml:space="preserve"> Foxp3</w:t>
      </w:r>
      <w:r w:rsidRPr="00300A19">
        <w:rPr>
          <w:rFonts w:ascii="Times New Roman" w:hAnsi="Times New Roman"/>
          <w:sz w:val="24"/>
          <w:szCs w:val="24"/>
          <w:vertAlign w:val="superscript"/>
        </w:rPr>
        <w:t xml:space="preserve">- </w:t>
      </w:r>
      <w:r w:rsidRPr="00300A19">
        <w:rPr>
          <w:rFonts w:ascii="Times New Roman" w:hAnsi="Times New Roman"/>
          <w:sz w:val="24"/>
          <w:szCs w:val="24"/>
        </w:rPr>
        <w:t>CTLA-4</w:t>
      </w:r>
      <w:r w:rsidRPr="00300A19">
        <w:rPr>
          <w:rFonts w:ascii="Times New Roman" w:hAnsi="Times New Roman"/>
          <w:sz w:val="24"/>
          <w:szCs w:val="24"/>
          <w:vertAlign w:val="superscript"/>
        </w:rPr>
        <w:t>+</w:t>
      </w:r>
      <w:r w:rsidRPr="00300A19">
        <w:rPr>
          <w:rFonts w:ascii="Times New Roman" w:hAnsi="Times New Roman"/>
          <w:sz w:val="24"/>
          <w:szCs w:val="24"/>
        </w:rPr>
        <w:t xml:space="preserve"> T cells in KPC TiME in DMSO, PH, </w:t>
      </w:r>
      <w:r w:rsidRPr="00300A19">
        <w:rPr>
          <w:rFonts w:ascii="Times New Roman" w:eastAsia="Times New Roman" w:hAnsi="Times New Roman" w:cs="Times New Roman"/>
          <w:bCs/>
          <w:sz w:val="24"/>
          <w:szCs w:val="24"/>
        </w:rPr>
        <w:t xml:space="preserve">5FU+Oxali, </w:t>
      </w:r>
      <w:r w:rsidRPr="00300A19">
        <w:rPr>
          <w:rFonts w:ascii="Times New Roman" w:hAnsi="Times New Roman"/>
          <w:sz w:val="24"/>
          <w:szCs w:val="24"/>
        </w:rPr>
        <w:t>and PH+</w:t>
      </w:r>
      <w:r w:rsidRPr="00300A19">
        <w:rPr>
          <w:rFonts w:ascii="Times New Roman" w:eastAsia="Times New Roman" w:hAnsi="Times New Roman" w:cs="Times New Roman"/>
          <w:bCs/>
          <w:sz w:val="24"/>
          <w:szCs w:val="24"/>
        </w:rPr>
        <w:t xml:space="preserve">5FU+Oxali </w:t>
      </w:r>
      <w:r w:rsidRPr="00300A19">
        <w:rPr>
          <w:rFonts w:ascii="Times New Roman" w:hAnsi="Times New Roman"/>
          <w:sz w:val="24"/>
          <w:szCs w:val="24"/>
        </w:rPr>
        <w:t>treatments.</w:t>
      </w:r>
      <w:r w:rsidRPr="00300A19">
        <w:rPr>
          <w:rFonts w:ascii="Times New Roman" w:hAnsi="Times New Roman"/>
          <w:b/>
          <w:sz w:val="24"/>
          <w:szCs w:val="24"/>
        </w:rPr>
        <w:t xml:space="preserve"> (D) </w:t>
      </w:r>
      <w:r w:rsidRPr="00300A19">
        <w:rPr>
          <w:rFonts w:ascii="Times New Roman" w:hAnsi="Times New Roman"/>
          <w:sz w:val="24"/>
          <w:szCs w:val="24"/>
        </w:rPr>
        <w:t>Expression of CD8+ T-cells,</w:t>
      </w:r>
      <w:r w:rsidRPr="00300A19">
        <w:rPr>
          <w:rFonts w:ascii="Times New Roman" w:hAnsi="Times New Roman"/>
          <w:b/>
          <w:sz w:val="24"/>
          <w:szCs w:val="24"/>
        </w:rPr>
        <w:t xml:space="preserve"> (E) </w:t>
      </w:r>
      <w:r w:rsidRPr="00300A19">
        <w:rPr>
          <w:rFonts w:ascii="Times New Roman" w:hAnsi="Times New Roman"/>
          <w:sz w:val="24"/>
          <w:szCs w:val="24"/>
        </w:rPr>
        <w:t>CD8</w:t>
      </w:r>
      <w:r w:rsidRPr="00300A19">
        <w:rPr>
          <w:rFonts w:ascii="Times New Roman" w:hAnsi="Times New Roman"/>
          <w:sz w:val="24"/>
          <w:szCs w:val="24"/>
          <w:vertAlign w:val="superscript"/>
        </w:rPr>
        <w:t>+</w:t>
      </w:r>
      <w:r w:rsidRPr="00300A19">
        <w:rPr>
          <w:rFonts w:ascii="Times New Roman" w:hAnsi="Times New Roman"/>
          <w:sz w:val="24"/>
          <w:szCs w:val="24"/>
        </w:rPr>
        <w:t xml:space="preserve"> PD-1</w:t>
      </w:r>
      <w:r w:rsidRPr="00300A19">
        <w:rPr>
          <w:rFonts w:ascii="Times New Roman" w:hAnsi="Times New Roman"/>
          <w:sz w:val="24"/>
          <w:szCs w:val="24"/>
          <w:vertAlign w:val="superscript"/>
        </w:rPr>
        <w:t>+</w:t>
      </w:r>
      <w:r w:rsidRPr="00300A19">
        <w:rPr>
          <w:rFonts w:ascii="Times New Roman" w:hAnsi="Times New Roman"/>
          <w:sz w:val="24"/>
          <w:szCs w:val="24"/>
        </w:rPr>
        <w:t xml:space="preserve"> T cells,</w:t>
      </w:r>
      <w:r w:rsidRPr="00300A19">
        <w:rPr>
          <w:rFonts w:ascii="Times New Roman" w:hAnsi="Times New Roman"/>
          <w:b/>
          <w:sz w:val="24"/>
          <w:szCs w:val="24"/>
        </w:rPr>
        <w:t xml:space="preserve"> (F) </w:t>
      </w:r>
      <w:r w:rsidRPr="00300A19">
        <w:rPr>
          <w:rFonts w:ascii="Times New Roman" w:hAnsi="Times New Roman"/>
          <w:sz w:val="24"/>
          <w:szCs w:val="24"/>
        </w:rPr>
        <w:t>CD8</w:t>
      </w:r>
      <w:r w:rsidRPr="00300A19">
        <w:rPr>
          <w:rFonts w:ascii="Times New Roman" w:hAnsi="Times New Roman"/>
          <w:sz w:val="24"/>
          <w:szCs w:val="24"/>
          <w:vertAlign w:val="superscript"/>
        </w:rPr>
        <w:t>+</w:t>
      </w:r>
      <w:r w:rsidRPr="00300A19">
        <w:rPr>
          <w:rFonts w:ascii="Times New Roman" w:hAnsi="Times New Roman"/>
          <w:sz w:val="24"/>
          <w:szCs w:val="24"/>
        </w:rPr>
        <w:t xml:space="preserve"> CTLA-4</w:t>
      </w:r>
      <w:r w:rsidRPr="00300A19">
        <w:rPr>
          <w:rFonts w:ascii="Times New Roman" w:hAnsi="Times New Roman"/>
          <w:sz w:val="24"/>
          <w:szCs w:val="24"/>
          <w:vertAlign w:val="superscript"/>
        </w:rPr>
        <w:t>+</w:t>
      </w:r>
      <w:r w:rsidRPr="00300A19">
        <w:rPr>
          <w:rFonts w:ascii="Times New Roman" w:hAnsi="Times New Roman"/>
          <w:sz w:val="24"/>
          <w:szCs w:val="24"/>
        </w:rPr>
        <w:t xml:space="preserve"> subsets from KPC TiME with the same treatment conditions as indicated above. </w:t>
      </w:r>
      <w:r w:rsidRPr="00300A19">
        <w:rPr>
          <w:rFonts w:ascii="Times New Roman" w:hAnsi="Times New Roman" w:cs="Times New Roman"/>
          <w:sz w:val="24"/>
        </w:rPr>
        <w:t>Statistical significance was assessed using two-way ANOVA.</w:t>
      </w:r>
      <w:r w:rsidRPr="00300A19">
        <w:t xml:space="preserve"> </w:t>
      </w:r>
      <w:r w:rsidRPr="00300A19">
        <w:rPr>
          <w:rFonts w:ascii="Times New Roman" w:hAnsi="Times New Roman" w:cs="Times New Roman"/>
          <w:sz w:val="24"/>
        </w:rPr>
        <w:t>ns = not significant, *</w:t>
      </w:r>
      <w:r w:rsidRPr="00C930DE">
        <w:rPr>
          <w:rFonts w:ascii="Times New Roman" w:hAnsi="Times New Roman" w:cs="Times New Roman"/>
          <w:i/>
          <w:sz w:val="24"/>
        </w:rPr>
        <w:t>p</w:t>
      </w:r>
      <w:r w:rsidRPr="00300A19">
        <w:rPr>
          <w:rFonts w:ascii="Times New Roman" w:hAnsi="Times New Roman" w:cs="Times New Roman"/>
          <w:sz w:val="24"/>
        </w:rPr>
        <w:t xml:space="preserve"> &lt; 0.05, **</w:t>
      </w:r>
      <w:r w:rsidRPr="00C930DE">
        <w:rPr>
          <w:rFonts w:ascii="Times New Roman" w:hAnsi="Times New Roman" w:cs="Times New Roman"/>
          <w:i/>
          <w:sz w:val="24"/>
        </w:rPr>
        <w:t>p</w:t>
      </w:r>
      <w:r w:rsidRPr="00300A19">
        <w:rPr>
          <w:rFonts w:ascii="Times New Roman" w:hAnsi="Times New Roman" w:cs="Times New Roman"/>
          <w:sz w:val="24"/>
        </w:rPr>
        <w:t xml:space="preserve"> &lt; 0.01</w:t>
      </w:r>
    </w:p>
    <w:p w14:paraId="46B3EB45" w14:textId="77777777" w:rsidR="004310BA" w:rsidRPr="00300A19" w:rsidRDefault="004310BA" w:rsidP="004310B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F557F6B" w14:textId="77777777" w:rsidR="004310BA" w:rsidRPr="00300A19" w:rsidRDefault="004310BA" w:rsidP="004310B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Supplementary Fig 4.</w:t>
      </w:r>
      <w:r w:rsidRPr="00300A19">
        <w:t xml:space="preserve"> </w:t>
      </w:r>
      <w:r w:rsidRPr="00300A19">
        <w:rPr>
          <w:rFonts w:ascii="Times New Roman" w:hAnsi="Times New Roman"/>
          <w:sz w:val="24"/>
          <w:szCs w:val="24"/>
        </w:rPr>
        <w:t xml:space="preserve">Quantification of clonogenic assay in NS and shITGB4 PDAC cells. </w:t>
      </w:r>
      <w:r w:rsidRPr="00300A19">
        <w:rPr>
          <w:rFonts w:ascii="Times New Roman" w:hAnsi="Times New Roman"/>
          <w:b/>
          <w:sz w:val="24"/>
          <w:szCs w:val="24"/>
        </w:rPr>
        <w:t>(A)</w:t>
      </w:r>
      <w:r w:rsidRPr="00300A19">
        <w:rPr>
          <w:rFonts w:ascii="Times New Roman" w:hAnsi="Times New Roman"/>
          <w:sz w:val="24"/>
          <w:szCs w:val="24"/>
        </w:rPr>
        <w:t xml:space="preserve"> MIA PaCa-2 and </w:t>
      </w:r>
      <w:r w:rsidRPr="00300A19">
        <w:rPr>
          <w:rFonts w:ascii="Times New Roman" w:hAnsi="Times New Roman"/>
          <w:b/>
          <w:sz w:val="24"/>
          <w:szCs w:val="24"/>
        </w:rPr>
        <w:t xml:space="preserve">(B) </w:t>
      </w:r>
      <w:r w:rsidRPr="00300A19">
        <w:rPr>
          <w:rFonts w:ascii="Times New Roman" w:hAnsi="Times New Roman"/>
          <w:sz w:val="24"/>
          <w:szCs w:val="24"/>
        </w:rPr>
        <w:t xml:space="preserve">KPC cells treated with DMSO, PH, </w:t>
      </w:r>
      <w:r w:rsidRPr="00300A19">
        <w:rPr>
          <w:rFonts w:ascii="Times New Roman" w:eastAsia="Times New Roman" w:hAnsi="Times New Roman" w:cs="Times New Roman"/>
          <w:bCs/>
          <w:sz w:val="24"/>
          <w:szCs w:val="24"/>
        </w:rPr>
        <w:t xml:space="preserve">5FU+Oxali, </w:t>
      </w:r>
      <w:r w:rsidRPr="00300A19">
        <w:rPr>
          <w:rFonts w:ascii="Times New Roman" w:hAnsi="Times New Roman"/>
          <w:sz w:val="24"/>
          <w:szCs w:val="24"/>
        </w:rPr>
        <w:t>and PH+</w:t>
      </w:r>
      <w:r w:rsidRPr="00300A19">
        <w:rPr>
          <w:rFonts w:ascii="Times New Roman" w:eastAsia="Times New Roman" w:hAnsi="Times New Roman" w:cs="Times New Roman"/>
          <w:bCs/>
          <w:sz w:val="24"/>
          <w:szCs w:val="24"/>
        </w:rPr>
        <w:t xml:space="preserve">5FU+oxali. </w:t>
      </w:r>
      <w:r w:rsidRPr="00300A19">
        <w:rPr>
          <w:rFonts w:ascii="Times New Roman" w:hAnsi="Times New Roman" w:cs="Times New Roman"/>
          <w:sz w:val="24"/>
        </w:rPr>
        <w:t xml:space="preserve">ns = not significant, </w:t>
      </w:r>
      <w:r w:rsidRPr="00300A19">
        <w:rPr>
          <w:rFonts w:ascii="Times New Roman" w:hAnsi="Times New Roman"/>
          <w:sz w:val="24"/>
          <w:szCs w:val="24"/>
        </w:rPr>
        <w:t>*</w:t>
      </w:r>
      <w:r w:rsidRPr="00C930DE">
        <w:rPr>
          <w:rFonts w:ascii="Times New Roman" w:hAnsi="Times New Roman"/>
          <w:i/>
          <w:sz w:val="24"/>
          <w:szCs w:val="24"/>
        </w:rPr>
        <w:t>p</w:t>
      </w:r>
      <w:r w:rsidRPr="00300A19">
        <w:rPr>
          <w:rFonts w:ascii="Times New Roman" w:hAnsi="Times New Roman"/>
          <w:sz w:val="24"/>
          <w:szCs w:val="24"/>
        </w:rPr>
        <w:t xml:space="preserve"> &lt; 0.05, **</w:t>
      </w:r>
      <w:r w:rsidRPr="00C930DE">
        <w:rPr>
          <w:rFonts w:ascii="Times New Roman" w:hAnsi="Times New Roman"/>
          <w:i/>
          <w:sz w:val="24"/>
          <w:szCs w:val="24"/>
        </w:rPr>
        <w:t>p</w:t>
      </w:r>
      <w:r w:rsidRPr="00300A19">
        <w:rPr>
          <w:rFonts w:ascii="Times New Roman" w:hAnsi="Times New Roman"/>
          <w:sz w:val="24"/>
          <w:szCs w:val="24"/>
        </w:rPr>
        <w:t xml:space="preserve"> &lt; 0.01, ***</w:t>
      </w:r>
      <w:r w:rsidRPr="00C930DE">
        <w:rPr>
          <w:rFonts w:ascii="Times New Roman" w:hAnsi="Times New Roman"/>
          <w:i/>
          <w:sz w:val="24"/>
          <w:szCs w:val="24"/>
        </w:rPr>
        <w:t>p</w:t>
      </w:r>
      <w:r w:rsidRPr="00300A19">
        <w:rPr>
          <w:rFonts w:ascii="Times New Roman" w:hAnsi="Times New Roman"/>
          <w:sz w:val="24"/>
          <w:szCs w:val="24"/>
        </w:rPr>
        <w:t xml:space="preserve"> &lt; 0.001, and ****</w:t>
      </w:r>
      <w:r w:rsidRPr="00C930DE">
        <w:rPr>
          <w:rFonts w:ascii="Times New Roman" w:hAnsi="Times New Roman"/>
          <w:i/>
          <w:sz w:val="24"/>
          <w:szCs w:val="24"/>
        </w:rPr>
        <w:t>p</w:t>
      </w:r>
      <w:r w:rsidRPr="00300A19">
        <w:rPr>
          <w:rFonts w:ascii="Times New Roman" w:hAnsi="Times New Roman"/>
          <w:sz w:val="24"/>
          <w:szCs w:val="24"/>
        </w:rPr>
        <w:t xml:space="preserve"> &lt; 0.0001 compared to control cells by two-way ANOVA.</w:t>
      </w:r>
    </w:p>
    <w:p w14:paraId="0E062568" w14:textId="77777777" w:rsidR="004310BA" w:rsidRPr="00300A19" w:rsidRDefault="004310BA" w:rsidP="004310B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CD5D23D" w14:textId="77777777" w:rsidR="0054675C" w:rsidRDefault="0054675C"/>
    <w:sectPr w:rsidR="005467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0BA"/>
    <w:rsid w:val="004310BA"/>
    <w:rsid w:val="0054675C"/>
    <w:rsid w:val="00D5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270F08"/>
  <w15:chartTrackingRefBased/>
  <w15:docId w15:val="{3DF50114-B39D-4617-8378-8232D7848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0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18E6C84068ED4D80E3D88D7BB14D1D" ma:contentTypeVersion="18" ma:contentTypeDescription="Create a new document." ma:contentTypeScope="" ma:versionID="9c50f635f057f8d0d4405e46b2533e1a">
  <xsd:schema xmlns:xsd="http://www.w3.org/2001/XMLSchema" xmlns:xs="http://www.w3.org/2001/XMLSchema" xmlns:p="http://schemas.microsoft.com/office/2006/metadata/properties" xmlns:ns1="http://schemas.microsoft.com/sharepoint/v3" xmlns:ns3="70e7e78b-6948-4ff1-ad20-9158568549ad" targetNamespace="http://schemas.microsoft.com/office/2006/metadata/properties" ma:root="true" ma:fieldsID="45566d4b8e14f9d74df42c48b197dd22" ns1:_="" ns3:_="">
    <xsd:import namespace="http://schemas.microsoft.com/sharepoint/v3"/>
    <xsd:import namespace="70e7e78b-6948-4ff1-ad20-9158568549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e7e78b-6948-4ff1-ad20-915856854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70e7e78b-6948-4ff1-ad20-9158568549a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11B6A3-EA98-4275-AEFB-23BA0F3C6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0e7e78b-6948-4ff1-ad20-9158568549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65D68-9DAA-43C5-B030-7828ED037135}">
  <ds:schemaRefs>
    <ds:schemaRef ds:uri="http://purl.org/dc/elements/1.1/"/>
    <ds:schemaRef ds:uri="http://schemas.microsoft.com/sharepoint/v3"/>
    <ds:schemaRef ds:uri="70e7e78b-6948-4ff1-ad20-9158568549ad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54AE8A3-BAB2-4616-801D-D38141ECE6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1621</Characters>
  <Application>Microsoft Office Word</Application>
  <DocSecurity>0</DocSecurity>
  <Lines>27</Lines>
  <Paragraphs>5</Paragraphs>
  <ScaleCrop>false</ScaleCrop>
  <Company>University of Alabama at Birmingham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Bandi, Dhana Sekhar Reddy (Campus)</dc:creator>
  <cp:keywords/>
  <dc:description/>
  <cp:lastModifiedBy>Bandi, Dhana Sekhar Reddy (Campus)</cp:lastModifiedBy>
  <cp:revision>2</cp:revision>
  <dcterms:created xsi:type="dcterms:W3CDTF">2025-09-12T14:53:00Z</dcterms:created>
  <dcterms:modified xsi:type="dcterms:W3CDTF">2025-09-12T14:59:00Z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6968c9a1-0f0a-4260-8e7f-c31ba2fb8129</vt:lpwstr>
  </property>
  <property fmtid="{D5CDD505-2E9C-101B-9397-08002B2CF9AE}" pid="3" name="ContentTypeId">
    <vt:lpwstr>0x010100E918E6C84068ED4D80E3D88D7BB14D1D</vt:lpwstr>
  </property>
</Properties>
</file>