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7918" w:rsidRDefault="00C27918" w:rsidP="003D16DB">
      <w:pPr>
        <w:spacing w:after="120" w:line="480" w:lineRule="auto"/>
        <w:jc w:val="both"/>
        <w:rPr>
          <w:rFonts w:ascii="Arial" w:hAnsi="Arial" w:cs="Arial"/>
          <w:b/>
          <w:sz w:val="24"/>
        </w:rPr>
      </w:pPr>
      <w:r w:rsidRPr="00AD1F05">
        <w:rPr>
          <w:rFonts w:ascii="Arial" w:hAnsi="Arial" w:cs="Arial"/>
          <w:b/>
          <w:sz w:val="24"/>
        </w:rPr>
        <w:t>A complex of the ubiquitin ligase TRIM32 and the deubiquitinase USP7 balances the level of c-Myc ubiquitination and thereby determines neural stem cell fate specification</w:t>
      </w:r>
    </w:p>
    <w:p w:rsidR="00860CD9" w:rsidRDefault="00860CD9" w:rsidP="003D16DB">
      <w:pPr>
        <w:spacing w:after="120" w:line="480" w:lineRule="auto"/>
        <w:jc w:val="both"/>
        <w:rPr>
          <w:rFonts w:ascii="Arial" w:hAnsi="Arial" w:cs="Arial"/>
          <w:b/>
          <w:sz w:val="24"/>
        </w:rPr>
      </w:pPr>
    </w:p>
    <w:p w:rsidR="00860CD9" w:rsidRDefault="00860CD9" w:rsidP="003D16DB">
      <w:pPr>
        <w:spacing w:after="120" w:line="48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Running title: </w:t>
      </w:r>
      <w:r w:rsidR="00E5046E">
        <w:rPr>
          <w:rFonts w:ascii="Arial" w:hAnsi="Arial" w:cs="Arial"/>
          <w:b/>
        </w:rPr>
        <w:t>TRIM32 and USP7 determine neural stem cell fate</w:t>
      </w:r>
    </w:p>
    <w:p w:rsidR="00D838BA" w:rsidRDefault="00D838BA" w:rsidP="003D16DB">
      <w:pPr>
        <w:spacing w:after="120" w:line="480" w:lineRule="auto"/>
        <w:jc w:val="both"/>
        <w:rPr>
          <w:rFonts w:ascii="Arial" w:hAnsi="Arial" w:cs="Arial"/>
        </w:rPr>
      </w:pPr>
    </w:p>
    <w:p w:rsidR="00D838BA" w:rsidRPr="00D838BA" w:rsidRDefault="00D838BA" w:rsidP="00EC2A65">
      <w:pPr>
        <w:spacing w:after="120" w:line="480" w:lineRule="auto"/>
        <w:jc w:val="both"/>
        <w:rPr>
          <w:rFonts w:ascii="Arial" w:hAnsi="Arial" w:cs="Arial"/>
          <w:b/>
          <w:sz w:val="28"/>
        </w:rPr>
      </w:pPr>
      <w:r w:rsidRPr="00D838BA">
        <w:rPr>
          <w:rFonts w:ascii="Arial" w:hAnsi="Arial" w:cs="Arial"/>
          <w:b/>
          <w:sz w:val="28"/>
        </w:rPr>
        <w:t>- Supplementary information -</w:t>
      </w:r>
    </w:p>
    <w:p w:rsidR="00D838BA" w:rsidRDefault="00D838BA" w:rsidP="003D16DB">
      <w:pPr>
        <w:spacing w:after="120" w:line="480" w:lineRule="auto"/>
        <w:jc w:val="both"/>
        <w:rPr>
          <w:rFonts w:ascii="Arial" w:hAnsi="Arial" w:cs="Arial"/>
        </w:rPr>
      </w:pPr>
    </w:p>
    <w:p w:rsidR="00D838BA" w:rsidRDefault="00D838BA">
      <w:pPr>
        <w:spacing w:after="120" w:line="480" w:lineRule="auto"/>
        <w:jc w:val="both"/>
        <w:rPr>
          <w:rFonts w:ascii="Arial" w:hAnsi="Arial" w:cs="Arial"/>
          <w:vertAlign w:val="superscript"/>
        </w:rPr>
      </w:pPr>
      <w:r>
        <w:rPr>
          <w:rFonts w:ascii="Arial" w:hAnsi="Arial" w:cs="Arial"/>
        </w:rPr>
        <w:t>Sarah Nicklas</w:t>
      </w:r>
      <w:r>
        <w:rPr>
          <w:rFonts w:ascii="Arial" w:hAnsi="Arial" w:cs="Arial"/>
          <w:vertAlign w:val="superscript"/>
        </w:rPr>
        <w:t>1</w:t>
      </w:r>
      <w:r w:rsidR="009745D4">
        <w:rPr>
          <w:rFonts w:ascii="Arial" w:hAnsi="Arial" w:cs="Arial"/>
          <w:vertAlign w:val="superscript"/>
        </w:rPr>
        <w:t>,2</w:t>
      </w:r>
      <w:r>
        <w:rPr>
          <w:rFonts w:ascii="Arial" w:hAnsi="Arial" w:cs="Arial"/>
        </w:rPr>
        <w:t>, Anna-Lena Hillje</w:t>
      </w:r>
      <w:r>
        <w:rPr>
          <w:rFonts w:ascii="Arial" w:hAnsi="Arial" w:cs="Arial"/>
          <w:vertAlign w:val="superscript"/>
        </w:rPr>
        <w:t>1,2</w:t>
      </w:r>
      <w:r>
        <w:rPr>
          <w:rFonts w:ascii="Arial" w:hAnsi="Arial" w:cs="Arial"/>
        </w:rPr>
        <w:t>, Satoshi Okawa</w:t>
      </w:r>
      <w:r>
        <w:rPr>
          <w:rFonts w:ascii="Arial" w:hAnsi="Arial" w:cs="Arial"/>
          <w:vertAlign w:val="superscript"/>
        </w:rPr>
        <w:t>3</w:t>
      </w:r>
      <w:r>
        <w:rPr>
          <w:rFonts w:ascii="Arial" w:hAnsi="Arial" w:cs="Arial"/>
        </w:rPr>
        <w:t>, Ina-Maria Rudolph</w:t>
      </w:r>
      <w:r>
        <w:rPr>
          <w:rFonts w:ascii="Arial" w:hAnsi="Arial" w:cs="Arial"/>
          <w:vertAlign w:val="superscript"/>
        </w:rPr>
        <w:t>2</w:t>
      </w:r>
      <w:r>
        <w:rPr>
          <w:rFonts w:ascii="Arial" w:hAnsi="Arial" w:cs="Arial"/>
        </w:rPr>
        <w:t>, Franziska Melanie Collmann</w:t>
      </w:r>
      <w:r>
        <w:rPr>
          <w:rFonts w:ascii="Arial" w:hAnsi="Arial" w:cs="Arial"/>
          <w:vertAlign w:val="superscript"/>
        </w:rPr>
        <w:t>2</w:t>
      </w:r>
      <w:r>
        <w:rPr>
          <w:rFonts w:ascii="Arial" w:hAnsi="Arial" w:cs="Arial"/>
        </w:rPr>
        <w:t xml:space="preserve">, </w:t>
      </w:r>
      <w:r w:rsidR="009745D4">
        <w:rPr>
          <w:rFonts w:ascii="Arial" w:hAnsi="Arial" w:cs="Arial"/>
        </w:rPr>
        <w:t>Thea van Wüllen</w:t>
      </w:r>
      <w:r w:rsidR="009745D4">
        <w:rPr>
          <w:rFonts w:ascii="Arial" w:hAnsi="Arial" w:cs="Arial"/>
          <w:vertAlign w:val="superscript"/>
        </w:rPr>
        <w:t>1,2</w:t>
      </w:r>
      <w:r w:rsidR="009745D4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>Antonio del Sol</w:t>
      </w:r>
      <w:r>
        <w:rPr>
          <w:rFonts w:ascii="Arial" w:hAnsi="Arial" w:cs="Arial"/>
          <w:vertAlign w:val="superscript"/>
        </w:rPr>
        <w:t>3</w:t>
      </w:r>
      <w:r>
        <w:rPr>
          <w:rFonts w:ascii="Arial" w:hAnsi="Arial" w:cs="Arial"/>
        </w:rPr>
        <w:t>, Jens C. Schwamborn</w:t>
      </w:r>
      <w:r>
        <w:rPr>
          <w:rFonts w:ascii="Arial" w:hAnsi="Arial" w:cs="Arial"/>
          <w:vertAlign w:val="superscript"/>
        </w:rPr>
        <w:t>1,2</w:t>
      </w:r>
      <w:r>
        <w:rPr>
          <w:rFonts w:ascii="Arial" w:hAnsi="Arial" w:cs="Arial"/>
        </w:rPr>
        <w:t>*</w:t>
      </w:r>
    </w:p>
    <w:p w:rsidR="00B16A62" w:rsidRDefault="00B16A62" w:rsidP="00EC2A65">
      <w:pPr>
        <w:keepLines/>
        <w:spacing w:after="120" w:line="480" w:lineRule="auto"/>
        <w:jc w:val="both"/>
        <w:rPr>
          <w:rFonts w:ascii="Arial" w:hAnsi="Arial" w:cs="Arial"/>
          <w:b/>
        </w:rPr>
      </w:pPr>
    </w:p>
    <w:p w:rsidR="00D838BA" w:rsidRDefault="00D838BA" w:rsidP="00EC2A65">
      <w:pPr>
        <w:keepLines/>
        <w:spacing w:after="120" w:line="480" w:lineRule="auto"/>
        <w:jc w:val="both"/>
        <w:rPr>
          <w:rFonts w:ascii="Arial" w:hAnsi="Arial" w:cs="Arial"/>
          <w:b/>
        </w:rPr>
      </w:pPr>
    </w:p>
    <w:p w:rsidR="00D838BA" w:rsidRDefault="00D838BA" w:rsidP="00EC2A65">
      <w:pPr>
        <w:keepLines/>
        <w:spacing w:after="120" w:line="480" w:lineRule="auto"/>
        <w:jc w:val="both"/>
        <w:rPr>
          <w:rFonts w:ascii="Arial" w:hAnsi="Arial" w:cs="Arial"/>
          <w:b/>
        </w:rPr>
      </w:pPr>
    </w:p>
    <w:p w:rsidR="00D838BA" w:rsidRDefault="00D838BA" w:rsidP="00EC2A65">
      <w:pPr>
        <w:keepLines/>
        <w:spacing w:after="120" w:line="480" w:lineRule="auto"/>
        <w:jc w:val="both"/>
        <w:rPr>
          <w:rFonts w:ascii="Arial" w:hAnsi="Arial" w:cs="Arial"/>
          <w:b/>
        </w:rPr>
      </w:pPr>
    </w:p>
    <w:p w:rsidR="00D838BA" w:rsidRDefault="00D838BA" w:rsidP="00EC2A65">
      <w:pPr>
        <w:keepLines/>
        <w:spacing w:after="120" w:line="480" w:lineRule="auto"/>
        <w:jc w:val="both"/>
        <w:rPr>
          <w:rFonts w:ascii="Arial" w:hAnsi="Arial" w:cs="Arial"/>
          <w:b/>
        </w:rPr>
      </w:pPr>
    </w:p>
    <w:p w:rsidR="00D838BA" w:rsidRDefault="00D838BA" w:rsidP="00EC2A65">
      <w:pPr>
        <w:keepLines/>
        <w:spacing w:after="120" w:line="480" w:lineRule="auto"/>
        <w:jc w:val="both"/>
        <w:rPr>
          <w:rFonts w:ascii="Arial" w:hAnsi="Arial" w:cs="Arial"/>
          <w:b/>
        </w:rPr>
      </w:pPr>
    </w:p>
    <w:p w:rsidR="00D838BA" w:rsidRDefault="00D838BA" w:rsidP="00EC2A65">
      <w:pPr>
        <w:keepLines/>
        <w:spacing w:after="120" w:line="480" w:lineRule="auto"/>
        <w:jc w:val="both"/>
        <w:rPr>
          <w:rFonts w:ascii="Arial" w:hAnsi="Arial" w:cs="Arial"/>
          <w:b/>
        </w:rPr>
      </w:pPr>
    </w:p>
    <w:p w:rsidR="00D838BA" w:rsidRDefault="00D838BA" w:rsidP="00EC2A65">
      <w:pPr>
        <w:keepLines/>
        <w:spacing w:after="120" w:line="480" w:lineRule="auto"/>
        <w:jc w:val="both"/>
        <w:rPr>
          <w:rFonts w:ascii="Arial" w:hAnsi="Arial" w:cs="Arial"/>
          <w:b/>
        </w:rPr>
      </w:pPr>
    </w:p>
    <w:p w:rsidR="00D838BA" w:rsidRDefault="00D838BA" w:rsidP="00EC2A65">
      <w:pPr>
        <w:keepLines/>
        <w:spacing w:after="120" w:line="480" w:lineRule="auto"/>
        <w:jc w:val="both"/>
        <w:rPr>
          <w:rFonts w:ascii="Arial" w:hAnsi="Arial" w:cs="Arial"/>
          <w:b/>
        </w:rPr>
      </w:pPr>
    </w:p>
    <w:p w:rsidR="00D838BA" w:rsidRDefault="00D838BA" w:rsidP="00EC2A65">
      <w:pPr>
        <w:keepLines/>
        <w:spacing w:after="120" w:line="480" w:lineRule="auto"/>
        <w:jc w:val="both"/>
        <w:rPr>
          <w:rFonts w:ascii="Arial" w:hAnsi="Arial" w:cs="Arial"/>
          <w:b/>
        </w:rPr>
      </w:pPr>
    </w:p>
    <w:p w:rsidR="00D838BA" w:rsidRDefault="00D838BA" w:rsidP="00EC2A65">
      <w:pPr>
        <w:keepLines/>
        <w:spacing w:after="120" w:line="480" w:lineRule="auto"/>
        <w:jc w:val="both"/>
        <w:rPr>
          <w:rFonts w:ascii="Arial" w:hAnsi="Arial" w:cs="Arial"/>
          <w:b/>
        </w:rPr>
      </w:pPr>
    </w:p>
    <w:p w:rsidR="00D838BA" w:rsidRDefault="00D838BA" w:rsidP="00EC2A65">
      <w:pPr>
        <w:keepLines/>
        <w:spacing w:after="120" w:line="480" w:lineRule="auto"/>
        <w:jc w:val="both"/>
        <w:rPr>
          <w:rFonts w:ascii="Arial" w:hAnsi="Arial" w:cs="Arial"/>
          <w:b/>
        </w:rPr>
      </w:pPr>
    </w:p>
    <w:p w:rsidR="00D838BA" w:rsidRPr="001F7EC6" w:rsidRDefault="00D838BA" w:rsidP="00EC2A65">
      <w:pPr>
        <w:keepLines/>
        <w:spacing w:after="120" w:line="480" w:lineRule="auto"/>
        <w:jc w:val="both"/>
        <w:rPr>
          <w:rFonts w:ascii="Arial" w:hAnsi="Arial" w:cs="Arial"/>
          <w:b/>
        </w:rPr>
      </w:pPr>
      <w:r w:rsidRPr="001F7EC6">
        <w:rPr>
          <w:rFonts w:ascii="Arial" w:hAnsi="Arial" w:cs="Arial"/>
          <w:b/>
        </w:rPr>
        <w:lastRenderedPageBreak/>
        <w:t>Supplementary Figure</w:t>
      </w:r>
      <w:r>
        <w:rPr>
          <w:rFonts w:ascii="Arial" w:hAnsi="Arial" w:cs="Arial"/>
          <w:b/>
        </w:rPr>
        <w:t xml:space="preserve"> Legend</w:t>
      </w:r>
    </w:p>
    <w:p w:rsidR="00D838BA" w:rsidRDefault="00D838BA" w:rsidP="00EC2A65">
      <w:pPr>
        <w:keepLines/>
        <w:spacing w:after="120" w:line="480" w:lineRule="auto"/>
        <w:jc w:val="both"/>
        <w:rPr>
          <w:rFonts w:ascii="Arial" w:hAnsi="Arial" w:cs="Arial"/>
          <w:b/>
        </w:rPr>
      </w:pPr>
    </w:p>
    <w:p w:rsidR="00D62D7D" w:rsidRDefault="00D62D7D" w:rsidP="00EC2A65">
      <w:pPr>
        <w:keepLines/>
        <w:spacing w:after="120" w:line="480" w:lineRule="auto"/>
        <w:jc w:val="both"/>
        <w:rPr>
          <w:rFonts w:ascii="Arial" w:hAnsi="Arial" w:cs="Arial"/>
          <w:b/>
        </w:rPr>
      </w:pPr>
      <w:r w:rsidRPr="001F7EC6">
        <w:rPr>
          <w:rFonts w:ascii="Arial" w:hAnsi="Arial" w:cs="Arial"/>
          <w:b/>
        </w:rPr>
        <w:t>Supplementary Figure</w:t>
      </w:r>
      <w:r>
        <w:rPr>
          <w:rFonts w:ascii="Arial" w:hAnsi="Arial" w:cs="Arial"/>
          <w:b/>
        </w:rPr>
        <w:t xml:space="preserve"> 1</w:t>
      </w:r>
      <w:r w:rsidRPr="001F7EC6">
        <w:rPr>
          <w:rFonts w:ascii="Arial" w:hAnsi="Arial" w:cs="Arial"/>
          <w:b/>
        </w:rPr>
        <w:t>:</w:t>
      </w:r>
      <w:r>
        <w:rPr>
          <w:rFonts w:ascii="Arial" w:hAnsi="Arial" w:cs="Arial"/>
          <w:b/>
        </w:rPr>
        <w:t xml:space="preserve"> TRIM32 translocates to the nucleus upon neuronal differentiation</w:t>
      </w:r>
      <w:r w:rsidR="00A765AD">
        <w:rPr>
          <w:rFonts w:ascii="Arial" w:hAnsi="Arial" w:cs="Arial"/>
          <w:b/>
        </w:rPr>
        <w:t xml:space="preserve"> and destabilizes c-Myc</w:t>
      </w:r>
      <w:r>
        <w:rPr>
          <w:rFonts w:ascii="Arial" w:hAnsi="Arial" w:cs="Arial"/>
          <w:b/>
        </w:rPr>
        <w:t>.</w:t>
      </w:r>
    </w:p>
    <w:p w:rsidR="00E66A26" w:rsidRDefault="00A765AD" w:rsidP="00E66A26">
      <w:pPr>
        <w:spacing w:after="120"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(</w:t>
      </w:r>
      <w:r w:rsidRPr="00EC2A65">
        <w:rPr>
          <w:rFonts w:ascii="Arial" w:hAnsi="Arial" w:cs="Arial"/>
          <w:b/>
        </w:rPr>
        <w:t>a</w:t>
      </w:r>
      <w:r>
        <w:rPr>
          <w:rFonts w:ascii="Arial" w:hAnsi="Arial" w:cs="Arial"/>
        </w:rPr>
        <w:t xml:space="preserve">) </w:t>
      </w:r>
      <w:r w:rsidR="00D62D7D" w:rsidRPr="00EC2A65">
        <w:rPr>
          <w:rFonts w:ascii="Arial" w:hAnsi="Arial" w:cs="Arial"/>
        </w:rPr>
        <w:t xml:space="preserve">Subcellular fractionation of neurospheres under maintenance conditions and 3 days after the induction of neuronal differentiation. Cytosolic and nuclear TRIM32 was detected with a specific anti-TRIM32 antibody. Antibodies against GAPDH and Histone H1 were used as markers for the cytosolic and nuclear fraction, respectively. </w:t>
      </w:r>
      <w:r w:rsidR="00D62D7D" w:rsidRPr="00D62D7D">
        <w:rPr>
          <w:rFonts w:ascii="Arial" w:hAnsi="Arial" w:cs="Arial"/>
        </w:rPr>
        <w:t xml:space="preserve">N = </w:t>
      </w:r>
      <w:r w:rsidR="00F961EE">
        <w:rPr>
          <w:rFonts w:ascii="Arial" w:hAnsi="Arial" w:cs="Arial"/>
        </w:rPr>
        <w:t>4</w:t>
      </w:r>
      <w:r w:rsidR="00D62D7D" w:rsidRPr="00D62D7D">
        <w:rPr>
          <w:rFonts w:ascii="Arial" w:hAnsi="Arial" w:cs="Arial"/>
        </w:rPr>
        <w:t xml:space="preserve">. Abbreviations: cyt, cytosolic; nuc, nuclear; WB, Western </w:t>
      </w:r>
      <w:r w:rsidR="00765CC9">
        <w:rPr>
          <w:rFonts w:ascii="Arial" w:hAnsi="Arial" w:cs="Arial"/>
        </w:rPr>
        <w:t>b</w:t>
      </w:r>
      <w:r w:rsidR="00D62D7D" w:rsidRPr="00D62D7D">
        <w:rPr>
          <w:rFonts w:ascii="Arial" w:hAnsi="Arial" w:cs="Arial"/>
        </w:rPr>
        <w:t>lot.</w:t>
      </w:r>
      <w:r>
        <w:rPr>
          <w:rFonts w:ascii="Arial" w:hAnsi="Arial" w:cs="Arial"/>
        </w:rPr>
        <w:t xml:space="preserve"> (</w:t>
      </w:r>
      <w:r w:rsidRPr="00EC2A65">
        <w:rPr>
          <w:rFonts w:ascii="Arial" w:hAnsi="Arial" w:cs="Arial"/>
          <w:b/>
        </w:rPr>
        <w:t>b</w:t>
      </w:r>
      <w:r>
        <w:rPr>
          <w:rFonts w:ascii="Arial" w:hAnsi="Arial" w:cs="Arial"/>
        </w:rPr>
        <w:t xml:space="preserve">) Western blot analysis of c-Myc expression levels in HEK293T cells transfected for 72 h with plasmids expressing c-Myc, HA-Ubiquitin and GFP-TRIM32 as indicated. An α-GAPDH Western blot was used as loading control. </w:t>
      </w:r>
      <w:r w:rsidRPr="00D62D7D">
        <w:rPr>
          <w:rFonts w:ascii="Arial" w:hAnsi="Arial" w:cs="Arial"/>
        </w:rPr>
        <w:t xml:space="preserve">N = </w:t>
      </w:r>
      <w:r>
        <w:rPr>
          <w:rFonts w:ascii="Arial" w:hAnsi="Arial" w:cs="Arial"/>
        </w:rPr>
        <w:t>4</w:t>
      </w:r>
      <w:r w:rsidRPr="00D62D7D">
        <w:rPr>
          <w:rFonts w:ascii="Arial" w:hAnsi="Arial" w:cs="Arial"/>
        </w:rPr>
        <w:t xml:space="preserve">. Abbreviations: WB, Western </w:t>
      </w:r>
      <w:r w:rsidR="00765CC9">
        <w:rPr>
          <w:rFonts w:ascii="Arial" w:hAnsi="Arial" w:cs="Arial"/>
        </w:rPr>
        <w:t>b</w:t>
      </w:r>
      <w:r w:rsidRPr="00D62D7D">
        <w:rPr>
          <w:rFonts w:ascii="Arial" w:hAnsi="Arial" w:cs="Arial"/>
        </w:rPr>
        <w:t>lot.</w:t>
      </w:r>
      <w:r>
        <w:rPr>
          <w:rFonts w:ascii="Arial" w:hAnsi="Arial" w:cs="Arial"/>
        </w:rPr>
        <w:t xml:space="preserve"> (</w:t>
      </w:r>
      <w:r w:rsidRPr="00EC2A65">
        <w:rPr>
          <w:rFonts w:ascii="Arial" w:hAnsi="Arial" w:cs="Arial"/>
          <w:b/>
        </w:rPr>
        <w:t>c</w:t>
      </w:r>
      <w:r>
        <w:rPr>
          <w:rFonts w:ascii="Arial" w:hAnsi="Arial" w:cs="Arial"/>
        </w:rPr>
        <w:t>)</w:t>
      </w:r>
      <w:r w:rsidR="00E66A26">
        <w:rPr>
          <w:rFonts w:ascii="Arial" w:hAnsi="Arial" w:cs="Arial"/>
        </w:rPr>
        <w:t xml:space="preserve"> Quantification of c-Myc levels in the presence or absence of overexpressed GFP-TRIM32 as shown in (</w:t>
      </w:r>
      <w:r w:rsidR="00E66A26">
        <w:rPr>
          <w:rFonts w:ascii="Arial" w:hAnsi="Arial" w:cs="Arial"/>
          <w:b/>
        </w:rPr>
        <w:t>b</w:t>
      </w:r>
      <w:r w:rsidR="00E66A26">
        <w:rPr>
          <w:rFonts w:ascii="Arial" w:hAnsi="Arial" w:cs="Arial"/>
        </w:rPr>
        <w:t>), normalized to the control (mean ± SEM; N = 4</w:t>
      </w:r>
      <w:r w:rsidR="00E66A26">
        <w:rPr>
          <w:rFonts w:ascii="Arial" w:eastAsia="Times New Roman" w:hAnsi="Arial" w:cs="Arial"/>
          <w:lang w:eastAsia="en-GB"/>
        </w:rPr>
        <w:t xml:space="preserve"> independent experiments; Mann-Whitney U test, </w:t>
      </w:r>
      <w:r w:rsidR="00E66A26">
        <w:rPr>
          <w:rFonts w:ascii="Arial" w:eastAsia="Times New Roman" w:hAnsi="Arial" w:cs="Arial"/>
        </w:rPr>
        <w:t>*p &lt; 0.05</w:t>
      </w:r>
      <w:r w:rsidR="00E66A26">
        <w:rPr>
          <w:rFonts w:ascii="Arial" w:eastAsia="Times New Roman" w:hAnsi="Arial" w:cs="Arial"/>
          <w:lang w:eastAsia="en-GB"/>
        </w:rPr>
        <w:t>)</w:t>
      </w:r>
      <w:r w:rsidR="00E66A26">
        <w:rPr>
          <w:rFonts w:ascii="Arial" w:hAnsi="Arial" w:cs="Arial"/>
        </w:rPr>
        <w:t>.</w:t>
      </w:r>
    </w:p>
    <w:p w:rsidR="00D62D7D" w:rsidRPr="001F7EC6" w:rsidRDefault="00D62D7D" w:rsidP="00EC2A65">
      <w:pPr>
        <w:keepLines/>
        <w:spacing w:after="120" w:line="480" w:lineRule="auto"/>
        <w:jc w:val="both"/>
        <w:rPr>
          <w:rFonts w:ascii="Arial" w:hAnsi="Arial" w:cs="Arial"/>
          <w:b/>
        </w:rPr>
      </w:pPr>
    </w:p>
    <w:p w:rsidR="00B16A62" w:rsidRPr="001F7EC6" w:rsidRDefault="00B16A62" w:rsidP="00EC2A65">
      <w:pPr>
        <w:keepLines/>
        <w:spacing w:after="120" w:line="480" w:lineRule="auto"/>
        <w:jc w:val="both"/>
        <w:rPr>
          <w:rFonts w:ascii="Arial" w:hAnsi="Arial" w:cs="Arial"/>
          <w:b/>
        </w:rPr>
      </w:pPr>
      <w:r w:rsidRPr="001F7EC6">
        <w:rPr>
          <w:rFonts w:ascii="Arial" w:hAnsi="Arial" w:cs="Arial"/>
          <w:b/>
        </w:rPr>
        <w:t>Supplementary Figure</w:t>
      </w:r>
      <w:r>
        <w:rPr>
          <w:rFonts w:ascii="Arial" w:hAnsi="Arial" w:cs="Arial"/>
          <w:b/>
        </w:rPr>
        <w:t xml:space="preserve"> </w:t>
      </w:r>
      <w:r w:rsidR="00D62D7D">
        <w:rPr>
          <w:rFonts w:ascii="Arial" w:hAnsi="Arial" w:cs="Arial"/>
          <w:b/>
        </w:rPr>
        <w:t>2</w:t>
      </w:r>
      <w:r w:rsidRPr="001F7EC6">
        <w:rPr>
          <w:rFonts w:ascii="Arial" w:hAnsi="Arial" w:cs="Arial"/>
          <w:b/>
        </w:rPr>
        <w:t xml:space="preserve">: USP7 is expressed in astrocytic fibres </w:t>
      </w:r>
      <w:r w:rsidRPr="001F7EC6">
        <w:rPr>
          <w:rFonts w:ascii="Arial" w:hAnsi="Arial" w:cs="Arial"/>
          <w:b/>
          <w:i/>
        </w:rPr>
        <w:t>in vivo</w:t>
      </w:r>
      <w:r w:rsidRPr="001F7EC6">
        <w:rPr>
          <w:rFonts w:ascii="Arial" w:hAnsi="Arial" w:cs="Arial"/>
          <w:b/>
        </w:rPr>
        <w:t>.</w:t>
      </w:r>
    </w:p>
    <w:p w:rsidR="00B16A62" w:rsidRPr="001F7EC6" w:rsidRDefault="00B16A62" w:rsidP="00EC2A65">
      <w:pPr>
        <w:keepLines/>
        <w:spacing w:after="120" w:line="480" w:lineRule="auto"/>
        <w:jc w:val="both"/>
        <w:rPr>
          <w:rFonts w:ascii="Arial" w:hAnsi="Arial" w:cs="Arial"/>
          <w:b/>
        </w:rPr>
      </w:pPr>
      <w:r w:rsidRPr="001F7EC6">
        <w:rPr>
          <w:rFonts w:ascii="Arial" w:hAnsi="Arial" w:cs="Arial"/>
        </w:rPr>
        <w:t xml:space="preserve"> (</w:t>
      </w:r>
      <w:r w:rsidRPr="001F7EC6">
        <w:rPr>
          <w:rFonts w:ascii="Arial" w:hAnsi="Arial" w:cs="Arial"/>
          <w:b/>
        </w:rPr>
        <w:t>a</w:t>
      </w:r>
      <w:r w:rsidRPr="001F7EC6">
        <w:rPr>
          <w:rFonts w:ascii="Arial" w:hAnsi="Arial" w:cs="Arial"/>
        </w:rPr>
        <w:t>)</w:t>
      </w:r>
      <w:r w:rsidRPr="001F7EC6">
        <w:rPr>
          <w:rFonts w:ascii="Arial" w:hAnsi="Arial" w:cs="Arial"/>
          <w:color w:val="000000"/>
        </w:rPr>
        <w:t xml:space="preserve"> + (</w:t>
      </w:r>
      <w:r w:rsidRPr="001F7EC6">
        <w:rPr>
          <w:rFonts w:ascii="Arial" w:hAnsi="Arial" w:cs="Arial"/>
          <w:b/>
          <w:color w:val="000000"/>
        </w:rPr>
        <w:t>b</w:t>
      </w:r>
      <w:r w:rsidRPr="001F7EC6">
        <w:rPr>
          <w:rFonts w:ascii="Arial" w:hAnsi="Arial" w:cs="Arial"/>
          <w:color w:val="000000"/>
        </w:rPr>
        <w:t>)</w:t>
      </w:r>
      <w:r w:rsidRPr="001F7EC6">
        <w:rPr>
          <w:rFonts w:ascii="Arial" w:hAnsi="Arial" w:cs="Arial"/>
        </w:rPr>
        <w:t xml:space="preserve"> Immunostainings of adult mouse brain sections with the indicated antibodies. Images were taken from the SVZ and p</w:t>
      </w:r>
      <w:r w:rsidR="003C2DDF">
        <w:rPr>
          <w:rFonts w:ascii="Arial" w:hAnsi="Arial" w:cs="Arial"/>
        </w:rPr>
        <w:t xml:space="preserve">roximal </w:t>
      </w:r>
      <w:r w:rsidRPr="001F7EC6">
        <w:rPr>
          <w:rFonts w:ascii="Arial" w:hAnsi="Arial" w:cs="Arial"/>
        </w:rPr>
        <w:t xml:space="preserve">RMS region. </w:t>
      </w:r>
      <w:r w:rsidRPr="001F7EC6">
        <w:rPr>
          <w:rFonts w:ascii="Arial" w:hAnsi="Arial" w:cs="Arial"/>
          <w:color w:val="000000"/>
        </w:rPr>
        <w:t>Scale bars = 20 µm</w:t>
      </w:r>
      <w:r w:rsidR="001F0B78">
        <w:rPr>
          <w:rFonts w:ascii="Arial" w:hAnsi="Arial" w:cs="Arial"/>
          <w:color w:val="000000"/>
        </w:rPr>
        <w:t>; N = 3</w:t>
      </w:r>
      <w:r w:rsidRPr="001F7EC6">
        <w:rPr>
          <w:rFonts w:ascii="Arial" w:hAnsi="Arial" w:cs="Arial"/>
          <w:color w:val="000000"/>
        </w:rPr>
        <w:t>.</w:t>
      </w:r>
      <w:r w:rsidR="003C2DDF">
        <w:rPr>
          <w:rFonts w:ascii="Arial" w:hAnsi="Arial" w:cs="Arial"/>
          <w:color w:val="000000"/>
        </w:rPr>
        <w:t xml:space="preserve"> </w:t>
      </w:r>
      <w:r w:rsidR="003C2DDF">
        <w:rPr>
          <w:rFonts w:ascii="Arial" w:hAnsi="Arial" w:cs="Arial"/>
        </w:rPr>
        <w:t>Abbreviations: pRMS, proximal RMS.</w:t>
      </w:r>
    </w:p>
    <w:p w:rsidR="00115C3B" w:rsidRDefault="00A96C95" w:rsidP="00EC2A65">
      <w:pPr>
        <w:spacing w:line="480" w:lineRule="auto"/>
        <w:jc w:val="both"/>
      </w:pPr>
    </w:p>
    <w:p w:rsidR="00D62D7D" w:rsidRPr="008F53F3" w:rsidRDefault="00D62D7D" w:rsidP="00EC2A65">
      <w:pPr>
        <w:spacing w:line="480" w:lineRule="auto"/>
        <w:jc w:val="both"/>
        <w:rPr>
          <w:rFonts w:ascii="Arial" w:hAnsi="Arial" w:cs="Arial"/>
          <w:b/>
        </w:rPr>
      </w:pPr>
      <w:r w:rsidRPr="001F7EC6">
        <w:rPr>
          <w:rFonts w:ascii="Arial" w:hAnsi="Arial" w:cs="Arial"/>
          <w:b/>
        </w:rPr>
        <w:t>Supplementary Figure</w:t>
      </w:r>
      <w:r>
        <w:rPr>
          <w:rFonts w:ascii="Arial" w:hAnsi="Arial" w:cs="Arial"/>
          <w:b/>
        </w:rPr>
        <w:t xml:space="preserve"> 3</w:t>
      </w:r>
      <w:r w:rsidRPr="001F7EC6">
        <w:rPr>
          <w:rFonts w:ascii="Arial" w:hAnsi="Arial" w:cs="Arial"/>
          <w:b/>
        </w:rPr>
        <w:t>:</w:t>
      </w:r>
      <w:r w:rsidR="008F53F3">
        <w:rPr>
          <w:rFonts w:ascii="Arial" w:hAnsi="Arial" w:cs="Arial"/>
          <w:b/>
        </w:rPr>
        <w:t xml:space="preserve"> USP7 antagonizes TRIM32 ubiquitination activity towards c-Myc </w:t>
      </w:r>
      <w:r w:rsidR="008F53F3" w:rsidRPr="00EC2A65">
        <w:rPr>
          <w:rFonts w:ascii="Arial" w:hAnsi="Arial" w:cs="Arial"/>
          <w:b/>
          <w:i/>
        </w:rPr>
        <w:t>in vivo</w:t>
      </w:r>
      <w:r w:rsidR="008F53F3">
        <w:rPr>
          <w:rFonts w:ascii="Arial" w:hAnsi="Arial" w:cs="Arial"/>
          <w:b/>
        </w:rPr>
        <w:t xml:space="preserve">, but not the autoubiquitination of TRIM32 </w:t>
      </w:r>
      <w:r w:rsidR="008F53F3" w:rsidRPr="00EC2A65">
        <w:rPr>
          <w:rFonts w:ascii="Arial" w:hAnsi="Arial" w:cs="Arial"/>
          <w:b/>
          <w:i/>
        </w:rPr>
        <w:t>in vitro</w:t>
      </w:r>
      <w:r w:rsidR="008F53F3" w:rsidRPr="008F53F3">
        <w:rPr>
          <w:rFonts w:ascii="Arial" w:hAnsi="Arial" w:cs="Arial"/>
          <w:b/>
        </w:rPr>
        <w:t>.</w:t>
      </w:r>
    </w:p>
    <w:p w:rsidR="00093E15" w:rsidRDefault="00D62D7D" w:rsidP="00093E15">
      <w:pPr>
        <w:spacing w:after="120"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(</w:t>
      </w:r>
      <w:r>
        <w:rPr>
          <w:rFonts w:ascii="Arial" w:hAnsi="Arial" w:cs="Arial"/>
          <w:b/>
        </w:rPr>
        <w:t>a</w:t>
      </w:r>
      <w:r>
        <w:rPr>
          <w:rFonts w:ascii="Arial" w:hAnsi="Arial" w:cs="Arial"/>
        </w:rPr>
        <w:t>) c-Myc</w:t>
      </w:r>
      <w:r>
        <w:rPr>
          <w:rFonts w:ascii="Arial" w:hAnsi="Arial" w:cs="Arial"/>
          <w:i/>
        </w:rPr>
        <w:t xml:space="preserve"> in vivo </w:t>
      </w:r>
      <w:r>
        <w:rPr>
          <w:rFonts w:ascii="Arial" w:hAnsi="Arial" w:cs="Arial"/>
        </w:rPr>
        <w:t>deubiquitination assay</w:t>
      </w:r>
      <w:r w:rsidR="008F53F3">
        <w:rPr>
          <w:rFonts w:ascii="Arial" w:hAnsi="Arial" w:cs="Arial"/>
        </w:rPr>
        <w:t xml:space="preserve"> in HEK293T cells transfected with the indicated constructs. c-Myc was immunoprecipitated twice (2x IP) with an anti-c-Myc antibody. Ubiquitination of c-Myc was detected by immunoblotting with an anti-HA antibody, directed </w:t>
      </w:r>
      <w:r w:rsidR="008F53F3">
        <w:rPr>
          <w:rFonts w:ascii="Arial" w:hAnsi="Arial" w:cs="Arial"/>
        </w:rPr>
        <w:lastRenderedPageBreak/>
        <w:t xml:space="preserve">against the HA-tag of ubiquitin, as well as with an antibody directed against </w:t>
      </w:r>
      <w:r w:rsidR="008F53F3">
        <w:rPr>
          <w:rFonts w:ascii="Arial" w:hAnsi="Arial" w:cs="Arial"/>
          <w:color w:val="000000"/>
        </w:rPr>
        <w:t>mono-</w:t>
      </w:r>
      <w:r w:rsidR="006E670A">
        <w:rPr>
          <w:rFonts w:ascii="Arial" w:hAnsi="Arial" w:cs="Arial"/>
          <w:color w:val="000000"/>
        </w:rPr>
        <w:t xml:space="preserve"> </w:t>
      </w:r>
      <w:r w:rsidR="008F53F3">
        <w:rPr>
          <w:rFonts w:ascii="Arial" w:hAnsi="Arial" w:cs="Arial"/>
          <w:color w:val="000000"/>
        </w:rPr>
        <w:t xml:space="preserve">and-polyubiquitinylated </w:t>
      </w:r>
      <w:r w:rsidR="008F53F3">
        <w:rPr>
          <w:rFonts w:ascii="Arial" w:hAnsi="Arial" w:cs="Arial"/>
        </w:rPr>
        <w:t>conjugates (anti-(Ub)</w:t>
      </w:r>
      <w:r w:rsidR="008F53F3">
        <w:rPr>
          <w:rFonts w:ascii="Arial" w:hAnsi="Arial" w:cs="Arial"/>
          <w:vertAlign w:val="subscript"/>
        </w:rPr>
        <w:t>n</w:t>
      </w:r>
      <w:r w:rsidR="008F53F3">
        <w:rPr>
          <w:rFonts w:ascii="Arial" w:hAnsi="Arial" w:cs="Arial"/>
        </w:rPr>
        <w:t xml:space="preserve">). </w:t>
      </w:r>
      <w:r w:rsidR="008F53F3">
        <w:rPr>
          <w:rFonts w:ascii="Arial" w:hAnsi="Arial" w:cs="Arial"/>
          <w:color w:val="000000" w:themeColor="text1"/>
        </w:rPr>
        <w:t xml:space="preserve">N </w:t>
      </w:r>
      <w:r w:rsidR="008F53F3">
        <w:rPr>
          <w:rFonts w:ascii="Arial" w:hAnsi="Arial" w:cs="Arial"/>
        </w:rPr>
        <w:t xml:space="preserve">≥ </w:t>
      </w:r>
      <w:r w:rsidR="00093E15">
        <w:rPr>
          <w:rFonts w:ascii="Arial" w:hAnsi="Arial" w:cs="Arial"/>
        </w:rPr>
        <w:t>5</w:t>
      </w:r>
      <w:r w:rsidR="008F53F3">
        <w:rPr>
          <w:rFonts w:ascii="Arial" w:hAnsi="Arial" w:cs="Arial"/>
        </w:rPr>
        <w:t xml:space="preserve">. </w:t>
      </w:r>
      <w:r w:rsidR="00093E15" w:rsidRPr="00093E15">
        <w:rPr>
          <w:rFonts w:ascii="Arial" w:hAnsi="Arial" w:cs="Arial"/>
        </w:rPr>
        <w:t>(</w:t>
      </w:r>
      <w:r w:rsidR="00093E15" w:rsidRPr="00EC2A65">
        <w:rPr>
          <w:rFonts w:ascii="Arial" w:hAnsi="Arial" w:cs="Arial"/>
          <w:b/>
        </w:rPr>
        <w:t>b</w:t>
      </w:r>
      <w:r w:rsidR="00093E15" w:rsidRPr="00093E15">
        <w:rPr>
          <w:rFonts w:ascii="Arial" w:hAnsi="Arial" w:cs="Arial"/>
        </w:rPr>
        <w:t xml:space="preserve">) Quantification of polyubiquitinated c-Myc levels in </w:t>
      </w:r>
      <w:r w:rsidR="00093E15" w:rsidRPr="00EC2A65">
        <w:rPr>
          <w:rFonts w:ascii="Arial" w:hAnsi="Arial" w:cs="Arial"/>
        </w:rPr>
        <w:t>HA</w:t>
      </w:r>
      <w:r w:rsidR="00093E15" w:rsidRPr="00093E15">
        <w:rPr>
          <w:rFonts w:ascii="Arial" w:hAnsi="Arial" w:cs="Arial"/>
        </w:rPr>
        <w:t xml:space="preserve"> and (Ub)</w:t>
      </w:r>
      <w:r w:rsidR="00093E15" w:rsidRPr="00093E15">
        <w:rPr>
          <w:rFonts w:ascii="Arial" w:hAnsi="Arial" w:cs="Arial"/>
          <w:vertAlign w:val="subscript"/>
        </w:rPr>
        <w:t>n</w:t>
      </w:r>
      <w:r w:rsidR="00093E15" w:rsidRPr="00093E15">
        <w:rPr>
          <w:rFonts w:ascii="Arial" w:hAnsi="Arial" w:cs="Arial"/>
        </w:rPr>
        <w:t xml:space="preserve"> blots shown in (</w:t>
      </w:r>
      <w:r w:rsidR="00093E15" w:rsidRPr="00EC2A65">
        <w:rPr>
          <w:rFonts w:ascii="Arial" w:hAnsi="Arial" w:cs="Arial"/>
          <w:b/>
        </w:rPr>
        <w:t>a</w:t>
      </w:r>
      <w:r w:rsidR="00093E15" w:rsidRPr="00093E15">
        <w:rPr>
          <w:rFonts w:ascii="Arial" w:hAnsi="Arial" w:cs="Arial"/>
        </w:rPr>
        <w:t xml:space="preserve">), normalized to the control (mean ± SEM; N ≥ </w:t>
      </w:r>
      <w:r w:rsidR="00093E15" w:rsidRPr="00EC2A65">
        <w:rPr>
          <w:rFonts w:ascii="Arial" w:hAnsi="Arial" w:cs="Arial"/>
        </w:rPr>
        <w:t>5</w:t>
      </w:r>
      <w:r w:rsidR="00093E15" w:rsidRPr="00093E15">
        <w:rPr>
          <w:rFonts w:ascii="Arial" w:eastAsia="Times New Roman" w:hAnsi="Arial" w:cs="Arial"/>
          <w:lang w:eastAsia="en-GB"/>
        </w:rPr>
        <w:t xml:space="preserve"> independent experiments; Mann-Whitney U test or t-test, </w:t>
      </w:r>
      <w:r w:rsidR="00093E15" w:rsidRPr="00093E15">
        <w:rPr>
          <w:rFonts w:ascii="Arial" w:eastAsia="Times New Roman" w:hAnsi="Arial" w:cs="Arial"/>
        </w:rPr>
        <w:t>***p &lt; 0.005</w:t>
      </w:r>
      <w:r w:rsidR="00093E15" w:rsidRPr="00093E15">
        <w:rPr>
          <w:rFonts w:ascii="Arial" w:eastAsia="Times New Roman" w:hAnsi="Arial" w:cs="Arial"/>
          <w:lang w:eastAsia="en-GB"/>
        </w:rPr>
        <w:t>)</w:t>
      </w:r>
      <w:r w:rsidR="00093E15" w:rsidRPr="00093E15">
        <w:rPr>
          <w:rFonts w:ascii="Arial" w:hAnsi="Arial" w:cs="Arial"/>
        </w:rPr>
        <w:t>.</w:t>
      </w:r>
      <w:r w:rsidR="00093E15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(</w:t>
      </w:r>
      <w:r w:rsidR="00093E15">
        <w:rPr>
          <w:rFonts w:ascii="Arial" w:hAnsi="Arial" w:cs="Arial"/>
          <w:b/>
        </w:rPr>
        <w:t>c</w:t>
      </w:r>
      <w:r>
        <w:rPr>
          <w:rFonts w:ascii="Arial" w:hAnsi="Arial" w:cs="Arial"/>
        </w:rPr>
        <w:t xml:space="preserve">) TRIM32 </w:t>
      </w:r>
      <w:r>
        <w:rPr>
          <w:rFonts w:ascii="Arial" w:hAnsi="Arial" w:cs="Arial"/>
          <w:i/>
        </w:rPr>
        <w:t>in vitro</w:t>
      </w:r>
      <w:r>
        <w:rPr>
          <w:rFonts w:ascii="Arial" w:hAnsi="Arial" w:cs="Arial"/>
        </w:rPr>
        <w:t xml:space="preserve"> deubiquitination assay using recombinant proteins. E1 and E2 (UbcH5a) enzymes were incubated with the indicated components followed by 2x IP of TRIM32 with an anti-TRIM32 antibody. Ubiquitination of TRIM32 was detected by immunoblotting with an anti-FLAG antibody, directed against the FLAG-tag of ubiquitin, as well as with an antibody directed against </w:t>
      </w:r>
      <w:r>
        <w:rPr>
          <w:rFonts w:ascii="Arial" w:hAnsi="Arial" w:cs="Arial"/>
          <w:color w:val="000000"/>
        </w:rPr>
        <w:t>mono-and-polyubiquitinylated conjugates</w:t>
      </w:r>
      <w:r>
        <w:rPr>
          <w:rFonts w:ascii="Arial" w:hAnsi="Arial" w:cs="Arial"/>
        </w:rPr>
        <w:t xml:space="preserve"> (anti-(Ub)</w:t>
      </w:r>
      <w:r>
        <w:rPr>
          <w:rFonts w:ascii="Arial" w:hAnsi="Arial" w:cs="Arial"/>
          <w:vertAlign w:val="subscript"/>
        </w:rPr>
        <w:t>n</w:t>
      </w:r>
      <w:r>
        <w:rPr>
          <w:rFonts w:ascii="Arial" w:hAnsi="Arial" w:cs="Arial"/>
        </w:rPr>
        <w:t>).</w:t>
      </w:r>
      <w:r w:rsidR="00222340">
        <w:rPr>
          <w:rFonts w:ascii="Arial" w:hAnsi="Arial" w:cs="Arial"/>
        </w:rPr>
        <w:t xml:space="preserve"> </w:t>
      </w:r>
      <w:r w:rsidR="00222340">
        <w:rPr>
          <w:rFonts w:ascii="Arial" w:hAnsi="Arial" w:cs="Arial"/>
          <w:color w:val="000000" w:themeColor="text1"/>
        </w:rPr>
        <w:t xml:space="preserve">N </w:t>
      </w:r>
      <w:r w:rsidR="00222340">
        <w:rPr>
          <w:rFonts w:ascii="Arial" w:hAnsi="Arial" w:cs="Arial"/>
        </w:rPr>
        <w:t xml:space="preserve">≥ 3. </w:t>
      </w:r>
      <w:r>
        <w:rPr>
          <w:rFonts w:ascii="Arial" w:hAnsi="Arial" w:cs="Arial"/>
        </w:rPr>
        <w:t xml:space="preserve"> Abbreviations: IP, immunoprecipitation; WB, Western Blot.</w:t>
      </w:r>
      <w:r w:rsidR="00093E15">
        <w:rPr>
          <w:rFonts w:ascii="Arial" w:hAnsi="Arial" w:cs="Arial"/>
        </w:rPr>
        <w:t xml:space="preserve"> (</w:t>
      </w:r>
      <w:r w:rsidR="00093E15">
        <w:rPr>
          <w:rFonts w:ascii="Arial" w:hAnsi="Arial" w:cs="Arial"/>
          <w:b/>
        </w:rPr>
        <w:t>d</w:t>
      </w:r>
      <w:r w:rsidR="00093E15">
        <w:rPr>
          <w:rFonts w:ascii="Arial" w:hAnsi="Arial" w:cs="Arial"/>
        </w:rPr>
        <w:t>) Quantification of polyubiquitinated c-Myc le</w:t>
      </w:r>
      <w:bookmarkStart w:id="0" w:name="_GoBack"/>
      <w:bookmarkEnd w:id="0"/>
      <w:r w:rsidR="00093E15">
        <w:rPr>
          <w:rFonts w:ascii="Arial" w:hAnsi="Arial" w:cs="Arial"/>
        </w:rPr>
        <w:t>vels in FLAG and (Ub)</w:t>
      </w:r>
      <w:r w:rsidR="00093E15">
        <w:rPr>
          <w:rFonts w:ascii="Arial" w:hAnsi="Arial" w:cs="Arial"/>
          <w:vertAlign w:val="subscript"/>
        </w:rPr>
        <w:t>n</w:t>
      </w:r>
      <w:r w:rsidR="00093E15">
        <w:rPr>
          <w:rFonts w:ascii="Arial" w:hAnsi="Arial" w:cs="Arial"/>
        </w:rPr>
        <w:t xml:space="preserve"> blots shown in (</w:t>
      </w:r>
      <w:r w:rsidR="00093E15">
        <w:rPr>
          <w:rFonts w:ascii="Arial" w:hAnsi="Arial" w:cs="Arial"/>
          <w:b/>
        </w:rPr>
        <w:t>c</w:t>
      </w:r>
      <w:r w:rsidR="00093E15">
        <w:rPr>
          <w:rFonts w:ascii="Arial" w:hAnsi="Arial" w:cs="Arial"/>
        </w:rPr>
        <w:t>), normalized to the control (mean ± SEM; N ≥ 3</w:t>
      </w:r>
      <w:r w:rsidR="00093E15">
        <w:rPr>
          <w:rFonts w:ascii="Arial" w:eastAsia="Times New Roman" w:hAnsi="Arial" w:cs="Arial"/>
          <w:lang w:eastAsia="en-GB"/>
        </w:rPr>
        <w:t xml:space="preserve"> independent experiments)</w:t>
      </w:r>
      <w:r w:rsidR="00093E15">
        <w:rPr>
          <w:rFonts w:ascii="Arial" w:hAnsi="Arial" w:cs="Arial"/>
        </w:rPr>
        <w:t>.</w:t>
      </w:r>
    </w:p>
    <w:p w:rsidR="00D62D7D" w:rsidRDefault="00D62D7D" w:rsidP="00EC2A65">
      <w:pPr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D62D7D" w:rsidRDefault="00D62D7D" w:rsidP="00EC2A65">
      <w:pPr>
        <w:spacing w:line="480" w:lineRule="auto"/>
        <w:jc w:val="both"/>
      </w:pPr>
    </w:p>
    <w:sectPr w:rsidR="00D62D7D">
      <w:footerReference w:type="default" r:id="rId6"/>
      <w:pgSz w:w="11906" w:h="16838"/>
      <w:pgMar w:top="1440" w:right="1440" w:bottom="1440" w:left="1440" w:header="720" w:footer="708" w:gutter="0"/>
      <w:cols w:space="720"/>
      <w:docGrid w:linePitch="600" w:charSpace="3686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35DC5" w:rsidRDefault="00D35DC5">
      <w:pPr>
        <w:spacing w:after="0" w:line="240" w:lineRule="auto"/>
      </w:pPr>
      <w:r>
        <w:separator/>
      </w:r>
    </w:p>
  </w:endnote>
  <w:endnote w:type="continuationSeparator" w:id="0">
    <w:p w:rsidR="00D35DC5" w:rsidRDefault="00D35D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ejaVu Sans">
    <w:altName w:val="MS Mincho"/>
    <w:charset w:val="80"/>
    <w:family w:val="auto"/>
    <w:pitch w:val="variable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84E52" w:rsidRDefault="00B16A62">
    <w:pPr>
      <w:pStyle w:val="Footer"/>
    </w:pPr>
    <w:r>
      <w:fldChar w:fldCharType="begin"/>
    </w:r>
    <w:r>
      <w:instrText xml:space="preserve"> PAGE </w:instrText>
    </w:r>
    <w:r>
      <w:fldChar w:fldCharType="separate"/>
    </w:r>
    <w:r w:rsidR="00A96C95">
      <w:rPr>
        <w:noProof/>
      </w:rPr>
      <w:t>3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35DC5" w:rsidRDefault="00D35DC5">
      <w:pPr>
        <w:spacing w:after="0" w:line="240" w:lineRule="auto"/>
      </w:pPr>
      <w:r>
        <w:separator/>
      </w:r>
    </w:p>
  </w:footnote>
  <w:footnote w:type="continuationSeparator" w:id="0">
    <w:p w:rsidR="00D35DC5" w:rsidRDefault="00D35DC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6A62"/>
    <w:rsid w:val="00015FDA"/>
    <w:rsid w:val="00074C9D"/>
    <w:rsid w:val="00093E15"/>
    <w:rsid w:val="000A0399"/>
    <w:rsid w:val="00113F8A"/>
    <w:rsid w:val="00181F29"/>
    <w:rsid w:val="001F0B78"/>
    <w:rsid w:val="00200FAF"/>
    <w:rsid w:val="0021397D"/>
    <w:rsid w:val="00222340"/>
    <w:rsid w:val="002A1FE3"/>
    <w:rsid w:val="0036267B"/>
    <w:rsid w:val="003C2DDF"/>
    <w:rsid w:val="003D16DB"/>
    <w:rsid w:val="004A4CAD"/>
    <w:rsid w:val="005972E2"/>
    <w:rsid w:val="006E239C"/>
    <w:rsid w:val="006E670A"/>
    <w:rsid w:val="006F6234"/>
    <w:rsid w:val="00722519"/>
    <w:rsid w:val="00765CC9"/>
    <w:rsid w:val="00840142"/>
    <w:rsid w:val="00860CD9"/>
    <w:rsid w:val="008C52E2"/>
    <w:rsid w:val="008F072C"/>
    <w:rsid w:val="008F53F3"/>
    <w:rsid w:val="009021C2"/>
    <w:rsid w:val="009745D4"/>
    <w:rsid w:val="00A07C16"/>
    <w:rsid w:val="00A60FD7"/>
    <w:rsid w:val="00A765AD"/>
    <w:rsid w:val="00A91781"/>
    <w:rsid w:val="00A96C95"/>
    <w:rsid w:val="00AA3C3F"/>
    <w:rsid w:val="00B16A62"/>
    <w:rsid w:val="00C27918"/>
    <w:rsid w:val="00D35DC5"/>
    <w:rsid w:val="00D432AE"/>
    <w:rsid w:val="00D62D7D"/>
    <w:rsid w:val="00D838BA"/>
    <w:rsid w:val="00DA771D"/>
    <w:rsid w:val="00E5046E"/>
    <w:rsid w:val="00E66A26"/>
    <w:rsid w:val="00EC2A65"/>
    <w:rsid w:val="00EC68F3"/>
    <w:rsid w:val="00F961EE"/>
    <w:rsid w:val="00FD06C8"/>
    <w:rsid w:val="00FF7D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F0C9DE57-4CCB-434E-B07D-F26D70079D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16A62"/>
    <w:pPr>
      <w:suppressAutoHyphens/>
      <w:spacing w:line="252" w:lineRule="auto"/>
    </w:pPr>
    <w:rPr>
      <w:rFonts w:ascii="Calibri" w:eastAsia="DejaVu Sans" w:hAnsi="Calibri" w:cs="Calibri"/>
      <w:kern w:val="1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rsid w:val="00B16A62"/>
    <w:pPr>
      <w:suppressLineNumbers/>
      <w:tabs>
        <w:tab w:val="center" w:pos="4513"/>
        <w:tab w:val="right" w:pos="9026"/>
      </w:tabs>
      <w:spacing w:after="0" w:line="100" w:lineRule="atLeast"/>
    </w:pPr>
  </w:style>
  <w:style w:type="character" w:customStyle="1" w:styleId="FooterChar">
    <w:name w:val="Footer Char"/>
    <w:basedOn w:val="DefaultParagraphFont"/>
    <w:link w:val="Footer"/>
    <w:rsid w:val="00B16A62"/>
    <w:rPr>
      <w:rFonts w:ascii="Calibri" w:eastAsia="DejaVu Sans" w:hAnsi="Calibri" w:cs="Calibri"/>
      <w:kern w:val="1"/>
      <w:lang w:eastAsia="ar-SA"/>
    </w:rPr>
  </w:style>
  <w:style w:type="paragraph" w:styleId="ListParagraph">
    <w:name w:val="List Paragraph"/>
    <w:basedOn w:val="Normal"/>
    <w:uiPriority w:val="34"/>
    <w:qFormat/>
    <w:rsid w:val="00D838B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62D7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62D7D"/>
    <w:rPr>
      <w:rFonts w:ascii="Segoe UI" w:eastAsia="DejaVu Sans" w:hAnsi="Segoe UI" w:cs="Segoe UI"/>
      <w:kern w:val="1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431</Words>
  <Characters>2716</Characters>
  <Application>Microsoft Office Word</Application>
  <DocSecurity>4</DocSecurity>
  <Lines>22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3141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Sarah NICKLAS</dc:creator>
  <cp:lastModifiedBy>Jens Christian SCHWAMBORN</cp:lastModifiedBy>
  <cp:revision>2</cp:revision>
  <dcterms:created xsi:type="dcterms:W3CDTF">2018-04-27T09:22:00Z</dcterms:created>
  <dcterms:modified xsi:type="dcterms:W3CDTF">2018-04-27T09:22:00Z</dcterms:modified>
</cp:coreProperties>
</file>