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895" w:rsidRPr="006C68E4" w:rsidRDefault="002F6895" w:rsidP="00D24F4D">
      <w:pPr>
        <w:spacing w:line="480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bookmarkStart w:id="0" w:name="_GoBack"/>
      <w:bookmarkEnd w:id="0"/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SUPPLEMENTAL INFORMATION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Loss of Bcl-G</w:t>
      </w: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softHyphen/>
      </w: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softHyphen/>
      </w: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softHyphen/>
        <w:t xml:space="preserve">, a Bcl-2 family member, augments the development of inflammation-associated colorectal cancer 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Paul M. Nguyen, Laura F. Dagley, Adele Preaudet, Nga Lam, Maybelline Giam, Ka Yee Fung, Kaheina Aizel, </w:t>
      </w:r>
      <w:r w:rsidR="005E35E9"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Gemma van Duijneveldt,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Chin Wee Tan, Yumiko Hirokawa, Hon Yan K. Yip, Chris</w:t>
      </w:r>
      <w:r w:rsidR="005E65A4">
        <w:rPr>
          <w:rFonts w:ascii="Arial" w:hAnsi="Arial" w:cs="Arial"/>
          <w:color w:val="000000" w:themeColor="text1"/>
          <w:sz w:val="20"/>
          <w:szCs w:val="20"/>
          <w:lang w:val="en-US"/>
        </w:rPr>
        <w:t>t</w:t>
      </w:r>
      <w:r w:rsidR="001F727E">
        <w:rPr>
          <w:rFonts w:ascii="Arial" w:hAnsi="Arial" w:cs="Arial"/>
          <w:color w:val="000000" w:themeColor="text1"/>
          <w:sz w:val="20"/>
          <w:szCs w:val="20"/>
          <w:lang w:val="en-US"/>
        </w:rPr>
        <w:t>o</w:t>
      </w:r>
      <w:r w:rsidR="005E65A4">
        <w:rPr>
          <w:rFonts w:ascii="Arial" w:hAnsi="Arial" w:cs="Arial"/>
          <w:color w:val="000000" w:themeColor="text1"/>
          <w:sz w:val="20"/>
          <w:szCs w:val="20"/>
          <w:lang w:val="en-US"/>
        </w:rPr>
        <w:t>pher G.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Love, Ashleigh Poh, Akshay D’Cruz, </w:t>
      </w:r>
      <w:r w:rsidR="005E65A4">
        <w:rPr>
          <w:rFonts w:ascii="Arial" w:hAnsi="Arial" w:cs="Arial"/>
          <w:color w:val="000000" w:themeColor="text1"/>
          <w:sz w:val="20"/>
          <w:szCs w:val="20"/>
          <w:lang w:val="en-US"/>
        </w:rPr>
        <w:t>Charlotte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Burstroem, Rebecca Feltham, Suad Abdirahman, Kristy Meiselbach, </w:t>
      </w:r>
      <w:r w:rsidR="005E35E9"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Ronnie </w:t>
      </w:r>
      <w:r w:rsidR="005E65A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R.J. </w:t>
      </w:r>
      <w:r w:rsidR="005E35E9"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Low, Michelle Palmieri,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Matthias Ernst, Andrew I. Webb, Tony Burgess, Oliver M. Sieber, Philippe Bouillet, Tracy L. Putoczki</w:t>
      </w:r>
      <w:r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 xml:space="preserve"> 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Supplemental Methods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Supplemental Table 1. Table of key reagents used.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Supplemental Figures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Supplemental Figure 1,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ab/>
        <w:t>relates to Figure 1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Supplemental Figure 2,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ab/>
        <w:t>relates to Figure 3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highlight w:val="yellow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Supplemental Figure 3,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ab/>
        <w:t>relates to Figure 2 and Figure 3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Supplemental Figure 4,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ab/>
        <w:t>relates to Figure 2 and Figure 3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Supplemental Figure 5, relates to Figure 4 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Supplemental Figure 6, relates to Figure 5</w:t>
      </w:r>
    </w:p>
    <w:p w:rsidR="00DA1317" w:rsidRPr="006C68E4" w:rsidRDefault="00DA1317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Supplemental Figure 7, relates to Figure 7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Supplemental Table 2, relates to Figure 7 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Supplemental Table 3, relates to Figure 7 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A94050">
      <w:pPr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A94050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A94050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A94050">
      <w:pPr>
        <w:spacing w:line="36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496173">
      <w:pPr>
        <w:spacing w:line="36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lastRenderedPageBreak/>
        <w:t>Supplemental Methods</w:t>
      </w:r>
    </w:p>
    <w:p w:rsidR="002F6895" w:rsidRPr="006C68E4" w:rsidRDefault="002F6895" w:rsidP="009D5FAA">
      <w:pPr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Supplemental Table 1</w:t>
      </w:r>
      <w:r w:rsidRPr="006C68E4">
        <w:rPr>
          <w:rFonts w:ascii="Arial" w:hAnsi="Arial" w:cs="Arial"/>
          <w:b/>
          <w:i/>
          <w:color w:val="000000" w:themeColor="text1"/>
          <w:sz w:val="20"/>
          <w:szCs w:val="20"/>
          <w:lang w:val="en-US"/>
        </w:rPr>
        <w:t xml:space="preserve"> </w:t>
      </w: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Table of key reagents used.</w:t>
      </w:r>
    </w:p>
    <w:tbl>
      <w:tblPr>
        <w:tblW w:w="957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38"/>
        <w:gridCol w:w="2250"/>
        <w:gridCol w:w="2088"/>
      </w:tblGrid>
      <w:tr w:rsidR="006C68E4" w:rsidRPr="006C68E4" w:rsidTr="000C24CF">
        <w:trPr>
          <w:cantSplit/>
          <w:trHeight w:hRule="exact" w:val="288"/>
        </w:trPr>
        <w:tc>
          <w:tcPr>
            <w:tcW w:w="523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2F6895" w:rsidRPr="006C68E4" w:rsidRDefault="002F6895" w:rsidP="009D5FA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REAGENT or RESOURCE</w:t>
            </w:r>
          </w:p>
        </w:tc>
        <w:tc>
          <w:tcPr>
            <w:tcW w:w="225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2F6895" w:rsidRPr="006C68E4" w:rsidRDefault="002F6895" w:rsidP="009D5FA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SOURCE</w:t>
            </w:r>
          </w:p>
        </w:tc>
        <w:tc>
          <w:tcPr>
            <w:tcW w:w="208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2F6895" w:rsidRPr="006C68E4" w:rsidRDefault="002F6895" w:rsidP="009D5FA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IDENTIFIER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Antibodies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Rat anti-mouse Bcl-G (clone 2E11)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Ref</w:t>
            </w:r>
            <w:r w:rsidR="00871392"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.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871392" w:rsidRPr="006C68E4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N/A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Rabbit anti-mouse P53 (clone CM5)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Leica Biosystems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Cat#P53-CM5P-L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7A7B8B" w:rsidRPr="006C68E4" w:rsidRDefault="001D7FDE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P53 (DO-1)</w:t>
            </w:r>
          </w:p>
        </w:tc>
        <w:tc>
          <w:tcPr>
            <w:tcW w:w="2250" w:type="dxa"/>
            <w:shd w:val="clear" w:color="auto" w:fill="auto"/>
          </w:tcPr>
          <w:p w:rsidR="007A7B8B" w:rsidRPr="006C68E4" w:rsidRDefault="001D7FDE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Santa Cruz</w:t>
            </w:r>
          </w:p>
        </w:tc>
        <w:tc>
          <w:tcPr>
            <w:tcW w:w="2088" w:type="dxa"/>
            <w:shd w:val="clear" w:color="auto" w:fill="auto"/>
          </w:tcPr>
          <w:p w:rsidR="007A7B8B" w:rsidRPr="006C68E4" w:rsidRDefault="001D7FDE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SC-126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Rabbit anti-mouse Cleaved caspase 3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Cell Signaling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Cat#CST 9664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Rat anti-mouse CD45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Cat#BD553076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Rabbit anti-mouse Ki67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Cell Signaling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Cat#CST 9129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Rabbit or mouse anti-mouse Actin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Sigma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Cat#A2066, A4700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Mouse anti-mouse BrdU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Cat#BD555627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Mouse anti-mouse CD45.2 (clone 104, Alexa Fluor 700)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Cat#BD560693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Rat anti-mouse MHCII (clone M5/114.15.2, BV605)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Cat#BD563413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Mouse anti-mouse CD64 (clone X54-5/7.1, Alexa Fluor 647)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Cat#BD558539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Rat anti-mouse CD11b (Clone M1/70, PE-CF594)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 Biosciences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Cat#BD562317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Rat anti-mouse CD4 (clone GK1.5, APC)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Cat#17-0041-81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CD3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sym w:font="Symbol" w:char="F065"/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(clone 145-2C11, PE-Cy7)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Cat#25-0031-81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IRDye Goat anti-rabbit secondary antibody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LI-COR Biosciences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Cat#926-32221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IRDye Goat anti-mouse secondary antibody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LI-COR Biosciences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Cat#926-68072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IRDye Goat anti-rat secondary antibody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LI-COR Biosciences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Cat#926-68076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 xml:space="preserve">Bacterial and Virus Strains 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Biological Samples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8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tabs>
                <w:tab w:val="left" w:pos="1525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Chemicals, Peptides, and Recombinant Proteins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bottom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Azoxymethane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Cat#A5486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Bromodeoxyuridine (BrdU)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Cat#RPN201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Collagenase/Dispase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Cat#11097113001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cOmplete Protease Inhibitor Cocktail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Cat#11697498001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Lab Vision citrate buffer (10x)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Cat#AP-9003-500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Dextran Sulfate Sodium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MP Biomedicals</w:t>
            </w:r>
          </w:p>
        </w:tc>
        <w:tc>
          <w:tcPr>
            <w:tcW w:w="2088" w:type="dxa"/>
            <w:tcBorders>
              <w:top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Cat#0216110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bottom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Diaminobenzine (DAB)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Dako (Agilent)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</w:t>
            </w:r>
            <w:r w:rsidRPr="006C68E4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K346811-2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Fixable Viability Dye (eFluor 506)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Cat#65-0866-18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Odyssey Blocking Buffer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LI-COR Biosciences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Cat#927-40000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PhosSTOP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Cat#04906845001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Trizol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Cat#15596026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Trypsin Gold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Promega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Cat#V5280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Percoll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Cat#17-0891-01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DNase I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Cat#DN25-1G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RPMI 1640 Medium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Cat#11875-093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Hank’s Balanced Salt Solution (HBSS)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Cat#14170112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DMEM-F12, GlutaMAX Supplement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Cat#10565018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Penicillin-Streptomycin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Cat#15140-122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N-2 Supplement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Cat#17502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B-27 Supplement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Cat#17504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Recombinant human Noggin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PeproTech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Cat#120-10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Recombinant mouse EGF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PeproTech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Cat#315-09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Y27632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Cat#Y0503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Matrigel matrix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BD Bioscience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Cat#356237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Iodoacetamide Bioultra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 I1149</w:t>
            </w:r>
          </w:p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eastAsia="Calibri" w:hAnsi="Arial" w:cs="Arial"/>
                <w:color w:val="000000" w:themeColor="text1"/>
                <w:sz w:val="20"/>
                <w:szCs w:val="20"/>
                <w:lang w:val="en-US" w:bidi="th-TH"/>
              </w:rPr>
              <w:t>Tris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 w:bidi="th-TH"/>
              </w:rPr>
              <w:t>-(2-</w:t>
            </w:r>
            <w:r w:rsidRPr="006C68E4">
              <w:rPr>
                <w:rFonts w:ascii="Arial" w:eastAsia="Calibri" w:hAnsi="Arial" w:cs="Arial"/>
                <w:color w:val="000000" w:themeColor="text1"/>
                <w:sz w:val="20"/>
                <w:szCs w:val="20"/>
                <w:lang w:val="en-US" w:bidi="th-TH"/>
              </w:rPr>
              <w:t>carboxyethyl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 w:bidi="th-TH"/>
              </w:rPr>
              <w:t>)</w:t>
            </w:r>
            <w:r w:rsidRPr="006C68E4">
              <w:rPr>
                <w:rFonts w:ascii="Arial" w:eastAsia="Calibri" w:hAnsi="Arial" w:cs="Arial"/>
                <w:color w:val="000000" w:themeColor="text1"/>
                <w:sz w:val="20"/>
                <w:szCs w:val="20"/>
                <w:lang w:val="en-US" w:bidi="th-TH"/>
              </w:rPr>
              <w:t>phosphine (TCEP)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Pierce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 20490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Ammonium Bicarbonate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Sigma-Aldrich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Cat#09830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Formic acid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Merck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Cat#1.00264.2500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Critical Commercial Assays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Avidin Biotin Complex ABC-kit with biotinylated secondary antibodies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Vector Laboratories</w:t>
            </w:r>
          </w:p>
        </w:tc>
        <w:tc>
          <w:tcPr>
            <w:tcW w:w="2088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Cat#PK6101, 6102, 6104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Bicinchoninic acid (BCA) Protein Assay Kit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Cat#23225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High Capacity cDNA Reverse Transcription kit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Cat#4368813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RNEasy Plus Mini Kit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QIAGEN</w:t>
            </w:r>
          </w:p>
        </w:tc>
        <w:tc>
          <w:tcPr>
            <w:tcW w:w="2088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Cat#74136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bottom w:val="single" w:sz="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Sensimix II Probe No-rox</w:t>
            </w:r>
          </w:p>
        </w:tc>
        <w:tc>
          <w:tcPr>
            <w:tcW w:w="2250" w:type="dxa"/>
            <w:tcBorders>
              <w:bottom w:val="single" w:sz="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Bioline</w:t>
            </w:r>
          </w:p>
        </w:tc>
        <w:tc>
          <w:tcPr>
            <w:tcW w:w="2088" w:type="dxa"/>
            <w:tcBorders>
              <w:bottom w:val="single" w:sz="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Cat#BIO-83020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SensiMix SYBR kit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Bioline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Cat#QT605-20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de-DE"/>
              </w:rPr>
              <w:t>4-12% Bis-Tris NuPAGE gel system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Cat#NP0321BOX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Deposited Data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Experimental Models: Cell Lines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Mouse: Wnt3A-expressing L cell line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ATCC</w:t>
            </w: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CRL-2647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Human: FreeStyle 293-F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Cat#R79007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Experimental Models: Organisms/Strains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Wild-type C57BL/6 mice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WEHI</w:t>
            </w: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 Jackson Laboratory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Bcl-g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-/-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871392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Ref. </w:t>
            </w:r>
            <w:r w:rsidRPr="006C68E4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Apc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>Min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871392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Ref. </w:t>
            </w:r>
            <w:r w:rsidRPr="006C68E4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</w:pP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Lgr5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-EGFP-IRES-creERT2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871392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Ref. </w:t>
            </w:r>
            <w:r w:rsidRPr="006C68E4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2088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Oligonucleotides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Clca1 (F: AACAACGGCTATGAGGGCAT, </w:t>
            </w:r>
          </w:p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R: TGAGTCACCATGTCCTTTATGTGT)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This paper</w:t>
            </w: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Fcgbp (F: GGCCTGGGGTAATGGGAAAG, 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br/>
              <w:t>R: GTCCACACCGTTCACCTTGA)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This paper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Gapdh (F: CAACTCACTCAAGATTGTCAGCAA,</w:t>
            </w:r>
          </w:p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R: TACTTGGCAGGTTTCTCCAGGC)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This paper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Mptx1 (F: GAGGGTTGCTGATCTCCCA,</w:t>
            </w:r>
          </w:p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R: GCCTTTCCCTTCATGTCTGTTT)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This paper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BCL-G (short specific, F:CCAAAATTGTTGAGCTGCTG,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br/>
              <w:t>R:</w:t>
            </w:r>
            <w:r w:rsidRPr="006C68E4">
              <w:rPr>
                <w:color w:val="000000" w:themeColor="text1"/>
                <w:lang w:val="en-US"/>
              </w:rPr>
              <w:t xml:space="preserve"> 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CATCAAACCATCCTGTGGAA)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This paper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BCL-G (Long and short 1, 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br/>
              <w:t xml:space="preserve">F: AGGGTCTCTCCTTCCAGCTC, 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br/>
              <w:t>R: TCTTTCCAACTGATCTCCTGAA)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This paper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BCL-G (Long and short 2,</w:t>
            </w:r>
          </w:p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F:</w:t>
            </w:r>
            <w:r w:rsidRPr="006C68E4">
              <w:rPr>
                <w:color w:val="000000" w:themeColor="text1"/>
                <w:lang w:val="en-US"/>
              </w:rPr>
              <w:t xml:space="preserve"> 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CCAAAATTGTTGAGCTGCTG,</w:t>
            </w:r>
          </w:p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R: CAGAGTAGGACAGCCCATCC)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This paper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Bak1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Mm00432045_m1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Bax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Mm00432051_m1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Bcl2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Mm00477631_m1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Bcl-G (</w:t>
            </w: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Bcl2l14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Mm01261010_m1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Bcl-G (</w:t>
            </w: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BCL2L14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 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Hs01030396_m1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Bcl-x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vertAlign w:val="subscript"/>
                <w:lang w:val="en-US"/>
              </w:rPr>
              <w:t>L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Bcl2l1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Mm00437783_m1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Bim (</w:t>
            </w: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Bcl2l11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Mm00437796_m1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Gapdh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Mm99999915_g1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GAPDH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Hs99999905_m1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Mcl1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Mm01257351_g1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Muc2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Mm00458299_m1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Muc13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Mm00495397_m1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P53 (</w:t>
            </w: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Trp53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Mm01731290_g1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Puma (</w:t>
            </w:r>
            <w:r w:rsidRPr="006C68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US"/>
              </w:rPr>
              <w:t>Bbc3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Mm00519268_m1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Recombinant DNA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6C68E4">
              <w:rPr>
                <w:color w:val="000000" w:themeColor="text1"/>
                <w:sz w:val="20"/>
                <w:szCs w:val="20"/>
              </w:rPr>
              <w:t xml:space="preserve">R-spondin2 construct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871392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Ref. </w:t>
            </w:r>
            <w:r w:rsidRPr="006C68E4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6C68E4">
              <w:rPr>
                <w:color w:val="000000" w:themeColor="text1"/>
                <w:sz w:val="20"/>
                <w:szCs w:val="20"/>
              </w:rPr>
              <w:t>pApex vector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871392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Ref. </w:t>
            </w:r>
            <w:r w:rsidRPr="006C68E4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4" w:space="0" w:color="auto"/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Software and Algorithms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bottom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CaseViewer (ver. 2.8)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3DHISTECH</w:t>
            </w:r>
          </w:p>
        </w:tc>
        <w:tc>
          <w:tcPr>
            <w:tcW w:w="2088" w:type="dxa"/>
            <w:tcBorders>
              <w:bottom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www.3dhistech.com/caseviewer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FIJI (ImageJ)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ImageJ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12361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hyperlink r:id="rId6" w:history="1">
              <w:r w:rsidR="002F6895" w:rsidRPr="006C68E4">
                <w:rPr>
                  <w:rStyle w:val="Hyperlink"/>
                  <w:rFonts w:ascii="Arial" w:hAnsi="Arial" w:cs="Arial"/>
                  <w:color w:val="000000" w:themeColor="text1"/>
                  <w:sz w:val="20"/>
                  <w:szCs w:val="20"/>
                  <w:lang w:val="en-US"/>
                </w:rPr>
                <w:t>https://fiji.sc/</w:t>
              </w:r>
            </w:hyperlink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FlowJo (ver. 10.1r5)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FlowJo (BD)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www.flowjo.com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GraphPad Prism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GraphPad Prism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www.graphpad.com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MaxQuant (ver. 1.5.8.3)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Computation Systems Biochemistry (Max Planck Institute of Biochemistry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http://www.coxdocs.org/doku.php?id=maxquant:start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Oncomine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www.oncomine.org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Search Tool for the Retrieval of Interacting Genes (ver. 10.5)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STRING Consortium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https://string-db.org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NIS-Elements (Basic Research ver. 4.40)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Nikon Instruments Inc.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https://www.nikoninstruments.com/Products/Software/NIS-Elements-Basic-Research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9576" w:type="dxa"/>
            <w:gridSpan w:val="3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DynaMag-2 Magnet</w:t>
            </w:r>
          </w:p>
        </w:tc>
        <w:tc>
          <w:tcPr>
            <w:tcW w:w="2250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ThermoFisher Scientific</w:t>
            </w:r>
          </w:p>
        </w:tc>
        <w:tc>
          <w:tcPr>
            <w:tcW w:w="2088" w:type="dxa"/>
            <w:tcBorders>
              <w:top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Cat#12321D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Nikon Eclipse Ti-U microscope</w:t>
            </w:r>
          </w:p>
        </w:tc>
        <w:tc>
          <w:tcPr>
            <w:tcW w:w="2250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Nikon</w:t>
            </w:r>
          </w:p>
        </w:tc>
        <w:tc>
          <w:tcPr>
            <w:tcW w:w="2088" w:type="dxa"/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bottom w:val="single" w:sz="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H117 – 114 x 75mm Travel Stepper Motor XY Stage</w:t>
            </w:r>
          </w:p>
        </w:tc>
        <w:tc>
          <w:tcPr>
            <w:tcW w:w="2250" w:type="dxa"/>
            <w:tcBorders>
              <w:bottom w:val="single" w:sz="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Prior Scientific</w:t>
            </w:r>
          </w:p>
        </w:tc>
        <w:tc>
          <w:tcPr>
            <w:tcW w:w="2088" w:type="dxa"/>
            <w:tcBorders>
              <w:bottom w:val="single" w:sz="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Cat#H117</w:t>
            </w:r>
          </w:p>
        </w:tc>
      </w:tr>
      <w:tr w:rsidR="006C68E4" w:rsidRPr="006C68E4" w:rsidTr="000C24CF">
        <w:trPr>
          <w:cantSplit/>
          <w:trHeight w:val="259"/>
        </w:trPr>
        <w:tc>
          <w:tcPr>
            <w:tcW w:w="5238" w:type="dxa"/>
            <w:tcBorders>
              <w:bottom w:val="single" w:sz="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Nikon DS-Ri2 camera</w:t>
            </w:r>
          </w:p>
        </w:tc>
        <w:tc>
          <w:tcPr>
            <w:tcW w:w="2250" w:type="dxa"/>
            <w:tcBorders>
              <w:bottom w:val="single" w:sz="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Nikon Instruments Inc.</w:t>
            </w:r>
          </w:p>
        </w:tc>
        <w:tc>
          <w:tcPr>
            <w:tcW w:w="2088" w:type="dxa"/>
            <w:tcBorders>
              <w:bottom w:val="single" w:sz="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 MQA17000</w:t>
            </w:r>
          </w:p>
        </w:tc>
      </w:tr>
      <w:tr w:rsidR="002F6895" w:rsidRPr="006C68E4" w:rsidTr="000C24CF">
        <w:trPr>
          <w:cantSplit/>
          <w:trHeight w:val="259"/>
        </w:trPr>
        <w:tc>
          <w:tcPr>
            <w:tcW w:w="5238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Vivacon500 30k Hydrosart (FASP digestion)</w:t>
            </w:r>
          </w:p>
        </w:tc>
        <w:tc>
          <w:tcPr>
            <w:tcW w:w="2250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Sartorius Stedim</w:t>
            </w:r>
          </w:p>
        </w:tc>
        <w:tc>
          <w:tcPr>
            <w:tcW w:w="2088" w:type="dxa"/>
            <w:tcBorders>
              <w:bottom w:val="single" w:sz="12" w:space="0" w:color="000000"/>
            </w:tcBorders>
            <w:shd w:val="clear" w:color="auto" w:fill="auto"/>
          </w:tcPr>
          <w:p w:rsidR="002F6895" w:rsidRPr="006C68E4" w:rsidRDefault="002F6895" w:rsidP="009D5FAA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Cat# VN01H22</w:t>
            </w:r>
          </w:p>
        </w:tc>
      </w:tr>
    </w:tbl>
    <w:p w:rsidR="00067E26" w:rsidRPr="006C68E4" w:rsidRDefault="00067E26" w:rsidP="00D24F4D">
      <w:pPr>
        <w:spacing w:line="48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:rsidR="00067E26" w:rsidRPr="006C68E4" w:rsidRDefault="00067E26">
      <w:pPr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br w:type="page"/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Supplemental Figures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noProof/>
          <w:color w:val="000000" w:themeColor="text1"/>
          <w:sz w:val="20"/>
          <w:szCs w:val="20"/>
          <w:lang w:val="en-GB" w:eastAsia="en-GB"/>
        </w:rPr>
        <w:drawing>
          <wp:inline distT="0" distB="0" distL="0" distR="0" wp14:anchorId="45FE4C1F" wp14:editId="48D707DD">
            <wp:extent cx="5727700" cy="20789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8-11-16 Supp Figure 1-0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07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Supplemental Figure 1. </w:t>
      </w:r>
      <w:r w:rsidRPr="006C68E4">
        <w:rPr>
          <w:rFonts w:ascii="Arial" w:hAnsi="Arial" w:cs="Arial"/>
          <w:b/>
          <w:i/>
          <w:color w:val="000000" w:themeColor="text1"/>
          <w:sz w:val="20"/>
          <w:szCs w:val="20"/>
          <w:lang w:val="en-US"/>
        </w:rPr>
        <w:t>Gastrointestinal homeostasis is normal in Bcl-g</w:t>
      </w:r>
      <w:r w:rsidRPr="006C68E4">
        <w:rPr>
          <w:rFonts w:ascii="Arial" w:hAnsi="Arial" w:cs="Arial"/>
          <w:b/>
          <w:i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b/>
          <w:i/>
          <w:color w:val="000000" w:themeColor="text1"/>
          <w:sz w:val="20"/>
          <w:szCs w:val="20"/>
          <w:lang w:val="en-US"/>
        </w:rPr>
        <w:t xml:space="preserve"> mice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  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(A) Representative H&amp;E sections from age- and gender-matched 8-week-old WT and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mice. Scale bar: 100 </w:t>
      </w:r>
      <w:r w:rsidRPr="006C68E4">
        <w:rPr>
          <w:rFonts w:ascii="Symbol" w:hAnsi="Symbol" w:cs="Arial"/>
          <w:color w:val="000000" w:themeColor="text1"/>
          <w:sz w:val="20"/>
          <w:szCs w:val="20"/>
          <w:lang w:val="en-US"/>
        </w:rPr>
        <w:t>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m. 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(B) The colonic crypt length of individual age- and gender-matched 8-week-old WT and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mice. Greater than 30 well oriented crypts per mouse were measured from the base of the crypt to the tip of the crypt using ImageJ software. N=5 mice per genotype. Data presented is mean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sym w:font="Symbol" w:char="F0B1"/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SEM.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 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noProof/>
          <w:color w:val="000000" w:themeColor="text1"/>
          <w:sz w:val="20"/>
          <w:szCs w:val="20"/>
          <w:lang w:val="en-GB" w:eastAsia="en-GB"/>
        </w:rPr>
        <w:drawing>
          <wp:inline distT="0" distB="0" distL="0" distR="0" wp14:anchorId="6F370DE2" wp14:editId="471E4120">
            <wp:extent cx="5727700" cy="38119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8-11-16 Supplemental Fig 2-0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1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Supplemental Figure 2</w:t>
      </w:r>
      <w:r w:rsidRPr="006C68E4">
        <w:rPr>
          <w:rFonts w:ascii="Arial" w:hAnsi="Arial" w:cs="Arial"/>
          <w:b/>
          <w:i/>
          <w:color w:val="000000" w:themeColor="text1"/>
          <w:sz w:val="20"/>
          <w:szCs w:val="20"/>
          <w:lang w:val="en-US"/>
        </w:rPr>
        <w:t xml:space="preserve"> The distal small intestine is unaltered in Bcl-g</w:t>
      </w:r>
      <w:r w:rsidRPr="006C68E4">
        <w:rPr>
          <w:rFonts w:ascii="Arial" w:hAnsi="Arial" w:cs="Arial"/>
          <w:b/>
          <w:i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b/>
          <w:i/>
          <w:color w:val="000000" w:themeColor="text1"/>
          <w:sz w:val="20"/>
          <w:szCs w:val="20"/>
          <w:lang w:val="en-US"/>
        </w:rPr>
        <w:t xml:space="preserve"> mice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(A) Representative H&amp;E images of the distal small intestine (DSI) of age and gender matched 8-week-old WT and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mice. Scale bar: 100µm. 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(B) The DSI villi length of individual age and gender matched 8-week-old WT and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mice. Greater than 30 well oriented villi per mouse were measured from the base of the crypt to the tip of the villi using ImageJ software. N=5 mice per genotype. Data presented is mean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sym w:font="Symbol" w:char="F0B1"/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SEM.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(C) Representative immunohistochemistry for BrdU in the DSI of 8-week-old WT and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mice. Scale bar: 100µm.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(D) Quantification of BrdU positive (+) staining in the DSI of individual WT and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 is shown. BrdU positive cells reside within the crypt structures. N=5 mice per genotype. Data presented is mean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sym w:font="Symbol" w:char="F0B1"/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SEM.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57396">
      <w:pPr>
        <w:spacing w:line="480" w:lineRule="auto"/>
        <w:rPr>
          <w:rFonts w:ascii="Arial" w:hAnsi="Arial" w:cs="Arial"/>
          <w:b/>
          <w:noProof/>
          <w:color w:val="000000" w:themeColor="text1"/>
          <w:sz w:val="20"/>
          <w:szCs w:val="20"/>
          <w:lang w:val="en-US" w:eastAsia="en-GB"/>
        </w:rPr>
      </w:pPr>
    </w:p>
    <w:p w:rsidR="002F6895" w:rsidRPr="006C68E4" w:rsidRDefault="002F6895" w:rsidP="00D24F4D">
      <w:pPr>
        <w:spacing w:line="480" w:lineRule="auto"/>
        <w:jc w:val="center"/>
        <w:rPr>
          <w:rFonts w:ascii="Arial" w:hAnsi="Arial" w:cs="Arial"/>
          <w:b/>
          <w:noProof/>
          <w:color w:val="000000" w:themeColor="text1"/>
          <w:sz w:val="20"/>
          <w:szCs w:val="20"/>
          <w:lang w:val="en-US" w:eastAsia="en-GB"/>
        </w:rPr>
      </w:pPr>
      <w:r w:rsidRPr="006C68E4">
        <w:rPr>
          <w:rFonts w:ascii="Arial" w:hAnsi="Arial" w:cs="Arial"/>
          <w:b/>
          <w:noProof/>
          <w:color w:val="000000" w:themeColor="text1"/>
          <w:sz w:val="20"/>
          <w:szCs w:val="20"/>
          <w:lang w:val="en-GB" w:eastAsia="en-GB"/>
        </w:rPr>
        <w:drawing>
          <wp:inline distT="0" distB="0" distL="0" distR="0" wp14:anchorId="20394770" wp14:editId="5BBE558A">
            <wp:extent cx="5727700" cy="5814060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18-11-16 Supp Figure 3-01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81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895" w:rsidRPr="006C68E4" w:rsidRDefault="002F6895" w:rsidP="00D24F4D">
      <w:pPr>
        <w:spacing w:line="480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Supplemental Figure 3 </w:t>
      </w: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Loss of Bcl-G does not alter proliferation or apoptosis in colitis-associated and sporadic colorectal cancer models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(A) Representative Ki67 staining of WT and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colitis-associated tumors. Scale bar: 1mm, inset: 100µm.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(B) Quantification of Ki67 positive (+) cells in the colitis-associated tumors of individual mice. Each data point represents the average of all tumors within an individual mouse. Data presented is mean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sym w:font="Symbol" w:char="F0B1"/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SEM.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(C) Representative Ki67 staining of WT and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sporadic colon and DSI tumors. Scale bar: 100µm.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(D) Quantification of Ki67 positive (+) cells in sporadic colon and DSI tumors of individual mice. Each data point represents the average of all tumors within an individual mouse. Data presented is mean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sym w:font="Symbol" w:char="F0B1"/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SEM.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(E) Representative Cleaved Caspase-3 staining (arrows) of WT and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colitis-associated tumors. Scale bar: 1mm, inset: 100µm.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(F) Quantification of Cleaved Caspase-3 positive (+) cells in the colitis-associated tumors of individual mice. Each data point represents the average of all tumors within an individual mouse. Data presented is mean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sym w:font="Symbol" w:char="F0B1"/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SEM.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(G) Representative Cleaved Caspase-3 staining of WT and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sporadic colon and DSI tumors. Scale bar: 100µm.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(H) Quantification of Cleaved Caspase-3 positive (+) cells in the sporadic colon and DSI tumors of individual mice. Each data point represents the average of all tumors within an individual mouse. Data presented is mean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sym w:font="Symbol" w:char="F0B1"/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SEM. 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highlight w:val="yellow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highlight w:val="yellow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highlight w:val="yellow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067E26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noProof/>
          <w:color w:val="000000" w:themeColor="text1"/>
          <w:sz w:val="20"/>
          <w:szCs w:val="20"/>
          <w:lang w:val="en-GB" w:eastAsia="en-GB"/>
        </w:rPr>
        <w:drawing>
          <wp:inline distT="0" distB="0" distL="0" distR="0">
            <wp:extent cx="5727700" cy="72808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vised 15 05 19 Supp Figure 4.tif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261"/>
                    <a:stretch/>
                  </pic:blipFill>
                  <pic:spPr bwMode="auto">
                    <a:xfrm>
                      <a:off x="0" y="0"/>
                      <a:ext cx="5727700" cy="7280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Supplemental Figure 4 </w:t>
      </w: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Loss of Bcl-G does not alter inflammation in colitis-associated and sporadic colorectal cancer models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(A) Representative CD45 staining (arrows) of WT and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colitis-associated tumors. Scale bar: 1mm, inset: 100µm.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(B) Quantification of CD45 positive (+) cells in the colitis-associated tumors of individual mice. Each data point represents the average of all tumors within an individual mouse. Data presented is mean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sym w:font="Symbol" w:char="F0B1"/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 SEM.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(C) Representative CD45 staining of WT and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-/-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sporadic DSI tumors. Scale bar: 100µm.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(D) Quantification of CD45 positive (+) cells in the sporadic DSI tumors of individual mice. Each data point represents the average of all tumors within an individual mouse. * P &lt; 0.05. Student’s t-test. Data presented is mean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sym w:font="Symbol" w:char="F0B1"/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SEM.</w:t>
      </w:r>
    </w:p>
    <w:p w:rsidR="00481136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(E</w:t>
      </w:r>
      <w:r w:rsidR="00481136"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) Weight-loss (% of original) of mice of the indicated genotypes throughout the acute DSS mucosal damage model. N&gt;5 mice per group. Representative of &gt;3 independent experiments.</w:t>
      </w:r>
    </w:p>
    <w:p w:rsidR="00481136" w:rsidRPr="006C68E4" w:rsidRDefault="00481136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(F) Colon length of mice of the indicated genotypes from (E). N&gt;5 mice per group. Representative of &gt;3 independent experiments.</w:t>
      </w:r>
    </w:p>
    <w:p w:rsidR="00481136" w:rsidRPr="006C68E4" w:rsidRDefault="00481136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(G) Representative histology </w:t>
      </w:r>
      <w:r w:rsidR="00880FD9"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(H&amp;E)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of mice of the indicated genotype. Scale bar: 50 µm.</w:t>
      </w:r>
    </w:p>
    <w:p w:rsidR="002F6895" w:rsidRPr="006C68E4" w:rsidRDefault="00D53A03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(H</w:t>
      </w:r>
      <w:r w:rsidR="002F6895"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) Representative FACS plots from the colon lamina propria of WT and </w:t>
      </w:r>
      <w:r w:rsidR="002F6895"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="002F6895" w:rsidRPr="006C68E4">
        <w:rPr>
          <w:rFonts w:ascii="Arial" w:hAnsi="Arial" w:cs="Arial"/>
          <w:color w:val="000000" w:themeColor="text1"/>
          <w:sz w:val="20"/>
          <w:szCs w:val="20"/>
          <w:vertAlign w:val="superscript"/>
          <w:lang w:val="en-US"/>
        </w:rPr>
        <w:t>-/-</w:t>
      </w:r>
      <w:r w:rsidR="002F6895"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mice following an acute DSS-induced colitis model (1.5% DSS for 5 days, followed by 3 days of normal drinking water).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(</w:t>
      </w:r>
      <w:r w:rsidR="00D53A03"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I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) Quantification of the data presented in (</w:t>
      </w:r>
      <w:r w:rsidR="00D53A03"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H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). N=5 mice per genotype. Data is presented as mean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sym w:font="Symbol" w:char="F0B1"/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SEM for individual mice of the indicated genotype. 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noProof/>
          <w:color w:val="000000" w:themeColor="text1"/>
          <w:sz w:val="20"/>
          <w:szCs w:val="20"/>
          <w:lang w:val="en-GB" w:eastAsia="en-GB"/>
        </w:rPr>
        <w:drawing>
          <wp:inline distT="0" distB="0" distL="0" distR="0" wp14:anchorId="54F21233" wp14:editId="35C9116B">
            <wp:extent cx="5727700" cy="72580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18-11-16 Supplemental Figure 5-01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Supplemental Figure 5  </w:t>
      </w: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BCL-G expression in human CRC datasets.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(A-B) Data obtained from Oncomine from the TGCA and Kaiser Colon study. One-way ANOVA (non-parametric) with Dunn’s multiple comparison test is presented.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(C) Relative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vertAlign w:val="subscript"/>
          <w:lang w:val="en-US"/>
        </w:rPr>
        <w:t>L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mRNA expression in Control, and paired Uninflamed and Inflamed tissues from UC patients represented as box-whisker plots from microarray data set G</w:t>
      </w:r>
      <w:r w:rsidRPr="006C68E4">
        <w:rPr>
          <w:rFonts w:ascii="Arial" w:hAnsi="Arial" w:cs="Arial"/>
          <w:color w:val="000000" w:themeColor="text1"/>
          <w:spacing w:val="-1"/>
          <w:sz w:val="20"/>
          <w:szCs w:val="20"/>
          <w:lang w:val="en-US"/>
        </w:rPr>
        <w:t>SE9452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(D) Relative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vertAlign w:val="subscript"/>
          <w:lang w:val="en-US"/>
        </w:rPr>
        <w:t>L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mRNA expression in Normal and Colitis tissues from UC patients represented as box-whisker plots from microarray data set G</w:t>
      </w:r>
      <w:r w:rsidRPr="006C68E4">
        <w:rPr>
          <w:rFonts w:ascii="Arial" w:hAnsi="Arial" w:cs="Arial"/>
          <w:color w:val="000000" w:themeColor="text1"/>
          <w:spacing w:val="-1"/>
          <w:sz w:val="20"/>
          <w:szCs w:val="20"/>
          <w:lang w:val="en-US"/>
        </w:rPr>
        <w:t>SE65114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(E) Relative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EPCAM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mRNA expression in Control, and paired Uninflamed and Inflamed tissues from UC patients represented as box-whisker plots from microarray data set G</w:t>
      </w:r>
      <w:r w:rsidRPr="006C68E4">
        <w:rPr>
          <w:rFonts w:ascii="Arial" w:hAnsi="Arial" w:cs="Arial"/>
          <w:color w:val="000000" w:themeColor="text1"/>
          <w:spacing w:val="-1"/>
          <w:sz w:val="20"/>
          <w:szCs w:val="20"/>
          <w:lang w:val="en-US"/>
        </w:rPr>
        <w:t>SE9452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(F) Relative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EPCAM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mRNA expression in Normal and Colitis tissues from UC patients represented as box-whisker plots from microarray data set G</w:t>
      </w:r>
      <w:r w:rsidRPr="006C68E4">
        <w:rPr>
          <w:rFonts w:ascii="Arial" w:hAnsi="Arial" w:cs="Arial"/>
          <w:color w:val="000000" w:themeColor="text1"/>
          <w:spacing w:val="-1"/>
          <w:sz w:val="20"/>
          <w:szCs w:val="20"/>
          <w:lang w:val="en-US"/>
        </w:rPr>
        <w:t>SE65114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vertAlign w:val="subscript"/>
          <w:lang w:val="en-US"/>
        </w:rPr>
        <w:t>L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mRNA expression in (C) and (E) were normalized using the Human Genome U133 Plus 2.0 Array normalization controls from Affymetrix. *P&lt;0.05, **P&lt;0.01, ***P&lt;0.001, ****P&lt;0.0001, ns: not significant.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highlight w:val="yellow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highlight w:val="yellow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highlight w:val="yellow"/>
          <w:lang w:val="en-US"/>
        </w:rPr>
      </w:pPr>
      <w:r w:rsidRPr="006C68E4">
        <w:rPr>
          <w:rFonts w:ascii="Arial" w:hAnsi="Arial" w:cs="Arial"/>
          <w:i/>
          <w:noProof/>
          <w:color w:val="000000" w:themeColor="text1"/>
          <w:sz w:val="20"/>
          <w:szCs w:val="20"/>
          <w:lang w:val="en-GB" w:eastAsia="en-GB"/>
        </w:rPr>
        <w:drawing>
          <wp:inline distT="0" distB="0" distL="0" distR="0" wp14:anchorId="7A30EB60" wp14:editId="350F22C2">
            <wp:extent cx="5727700" cy="33788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18-11-16 Supp Figure 6-01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37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i/>
          <w:color w:val="000000" w:themeColor="text1"/>
          <w:sz w:val="20"/>
          <w:szCs w:val="20"/>
          <w:highlight w:val="yellow"/>
          <w:lang w:val="en-US"/>
        </w:rPr>
      </w:pP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Supplemental Figure 6. </w:t>
      </w: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Loss of Bcl-G expression does not alter regenerative potential</w:t>
      </w:r>
    </w:p>
    <w:p w:rsidR="002F6895" w:rsidRPr="006C68E4" w:rsidRDefault="002F6895" w:rsidP="00D24F4D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(A) Representative FACS gating strategy for the isolation of GFP+ Lgr5+ cells from the colon of mice. (B) mRNA expression of </w:t>
      </w: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Bcl-g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in purified Lgr5 cell populations from the colon. Data is presented as mean </w:t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sym w:font="Symbol" w:char="F0B1"/>
      </w: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SEM for 3 pooled mice per data point.</w:t>
      </w: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noProof/>
          <w:color w:val="000000" w:themeColor="text1"/>
          <w:sz w:val="20"/>
          <w:szCs w:val="20"/>
          <w:lang w:val="en-GB" w:eastAsia="en-GB"/>
        </w:rPr>
        <w:drawing>
          <wp:inline distT="0" distB="0" distL="0" distR="0">
            <wp:extent cx="5727700" cy="16656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Supplemental Figure 7.tif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A03" w:rsidRPr="006C68E4" w:rsidRDefault="00D53A03" w:rsidP="00D53A03">
      <w:pPr>
        <w:spacing w:line="480" w:lineRule="auto"/>
        <w:jc w:val="both"/>
        <w:rPr>
          <w:rFonts w:ascii="Arial" w:hAnsi="Arial" w:cs="Arial"/>
          <w:b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 xml:space="preserve">Supplemental Figure 7. </w:t>
      </w: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Loss of Bcl-G expression does not alter chronic colitis symptoms</w:t>
      </w:r>
    </w:p>
    <w:p w:rsidR="00D53A03" w:rsidRPr="006C68E4" w:rsidRDefault="00D53A03" w:rsidP="00D53A03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(A) Weight-loss (% of initial body weight) of mice of the indicated genotype throughout the chronic DSS protocol (outlined in Figure 7A). N&gt;7 mice. Representative of &gt;3 independent experiments.</w:t>
      </w:r>
    </w:p>
    <w:p w:rsidR="00D53A03" w:rsidRPr="006C68E4" w:rsidRDefault="00D53A03" w:rsidP="00D53A03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(B) Colitis endoscopy scores during the second week of water in each DSS cycle. N&gt;7 mice. Representative of &gt;3 independent experiments.</w:t>
      </w:r>
    </w:p>
    <w:p w:rsidR="00D53A03" w:rsidRPr="006C68E4" w:rsidRDefault="00D53A03" w:rsidP="00D53A03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color w:val="000000" w:themeColor="text1"/>
          <w:sz w:val="20"/>
          <w:szCs w:val="20"/>
          <w:lang w:val="en-US"/>
        </w:rPr>
        <w:t>(C) Colon length for the individual mice presented in (A-B). N&gt;7 mice. Representative of &gt;3 independent experiments.</w:t>
      </w:r>
    </w:p>
    <w:p w:rsidR="00D53A03" w:rsidRPr="006C68E4" w:rsidRDefault="00D53A03" w:rsidP="00D53A03">
      <w:pPr>
        <w:spacing w:line="48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D53A03" w:rsidRPr="006C68E4" w:rsidRDefault="00D53A03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Supplemental Table 2</w:t>
      </w:r>
      <w:r w:rsidRPr="006C68E4">
        <w:rPr>
          <w:rFonts w:ascii="Arial" w:hAnsi="Arial" w:cs="Arial"/>
          <w:b/>
          <w:i/>
          <w:color w:val="000000" w:themeColor="text1"/>
          <w:sz w:val="20"/>
          <w:szCs w:val="20"/>
          <w:lang w:val="en-US"/>
        </w:rPr>
        <w:t xml:space="preserve"> </w:t>
      </w:r>
      <w:r w:rsidRPr="006C68E4">
        <w:rPr>
          <w:rFonts w:ascii="Arial" w:hAnsi="Arial" w:cs="Arial"/>
          <w:b/>
          <w:color w:val="000000" w:themeColor="text1"/>
          <w:sz w:val="20"/>
          <w:szCs w:val="20"/>
          <w:lang w:val="en-US"/>
        </w:rPr>
        <w:t>Summary of proteins that are significantly altered in WCLs from mice that were either naïve or had undergone induction of chronic colitis.</w:t>
      </w:r>
    </w:p>
    <w:tbl>
      <w:tblPr>
        <w:tblStyle w:val="TableGrid"/>
        <w:tblpPr w:leftFromText="180" w:rightFromText="180" w:vertAnchor="text" w:horzAnchor="page" w:tblpX="1450" w:tblpY="19"/>
        <w:tblW w:w="9434" w:type="dxa"/>
        <w:tblLook w:val="04A0" w:firstRow="1" w:lastRow="0" w:firstColumn="1" w:lastColumn="0" w:noHBand="0" w:noVBand="1"/>
      </w:tblPr>
      <w:tblGrid>
        <w:gridCol w:w="1263"/>
        <w:gridCol w:w="1417"/>
        <w:gridCol w:w="4674"/>
        <w:gridCol w:w="850"/>
        <w:gridCol w:w="1230"/>
      </w:tblGrid>
      <w:tr w:rsidR="006C68E4" w:rsidRPr="006C68E4" w:rsidTr="004C7177">
        <w:trPr>
          <w:trHeight w:val="413"/>
        </w:trPr>
        <w:tc>
          <w:tcPr>
            <w:tcW w:w="1263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UniProt Accession</w:t>
            </w:r>
          </w:p>
        </w:tc>
        <w:tc>
          <w:tcPr>
            <w:tcW w:w="1417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Gene name </w:t>
            </w:r>
          </w:p>
        </w:tc>
        <w:tc>
          <w:tcPr>
            <w:tcW w:w="4674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Protein name</w:t>
            </w:r>
          </w:p>
        </w:tc>
        <w:tc>
          <w:tcPr>
            <w:tcW w:w="850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Log</w:t>
            </w:r>
            <w:r w:rsidRPr="006C68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bscript"/>
                <w:lang w:val="en-US"/>
              </w:rPr>
              <w:t>2</w:t>
            </w:r>
            <w:r w:rsidRPr="006C68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FC</w:t>
            </w:r>
          </w:p>
        </w:tc>
        <w:tc>
          <w:tcPr>
            <w:tcW w:w="1230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-log</w:t>
            </w:r>
            <w:r w:rsidRPr="006C68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bscript"/>
                <w:lang w:val="en-US"/>
              </w:rPr>
              <w:t>10</w:t>
            </w:r>
            <w:r w:rsidRPr="006C68E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P value</w:t>
            </w:r>
          </w:p>
        </w:tc>
      </w:tr>
      <w:tr w:rsidR="006C68E4" w:rsidRPr="006C68E4" w:rsidTr="004C7177">
        <w:trPr>
          <w:trHeight w:val="395"/>
        </w:trPr>
        <w:tc>
          <w:tcPr>
            <w:tcW w:w="9434" w:type="dxa"/>
            <w:gridSpan w:val="5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EEC347" wp14:editId="3DC628CD">
                      <wp:simplePos x="0" y="0"/>
                      <wp:positionH relativeFrom="column">
                        <wp:posOffset>-34890</wp:posOffset>
                      </wp:positionH>
                      <wp:positionV relativeFrom="paragraph">
                        <wp:posOffset>25581</wp:posOffset>
                      </wp:positionV>
                      <wp:extent cx="114300" cy="228600"/>
                      <wp:effectExtent l="25400" t="25400" r="63500" b="25400"/>
                      <wp:wrapThrough wrapText="bothSides">
                        <wp:wrapPolygon edited="0">
                          <wp:start x="-4800" y="-2400"/>
                          <wp:lineTo x="-4800" y="21600"/>
                          <wp:lineTo x="28800" y="21600"/>
                          <wp:lineTo x="28800" y="-2400"/>
                          <wp:lineTo x="-4800" y="-2400"/>
                        </wp:wrapPolygon>
                      </wp:wrapThrough>
                      <wp:docPr id="3" name="Up Arrow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22860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5FD7F6A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Up Arrow 3" o:spid="_x0000_s1026" type="#_x0000_t68" style="position:absolute;margin-left:-2.75pt;margin-top:2pt;width:9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" fillcolor="#00b050" strokecolor="#00b050" strokeweight="1pt">
                      <w10:wrap type="through"/>
                    </v:shape>
                  </w:pict>
                </mc:Fallback>
              </mc:AlternateContent>
            </w:r>
            <w:r w:rsidRPr="006C68E4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n-US"/>
              </w:rPr>
              <w:t>WT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+ DSS (WCL)</w:t>
            </w:r>
          </w:p>
        </w:tc>
      </w:tr>
      <w:tr w:rsidR="006C68E4" w:rsidRPr="006C68E4" w:rsidTr="004C7177">
        <w:trPr>
          <w:trHeight w:val="411"/>
        </w:trPr>
        <w:tc>
          <w:tcPr>
            <w:tcW w:w="1263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Q9D7Z6</w:t>
            </w:r>
          </w:p>
        </w:tc>
        <w:tc>
          <w:tcPr>
            <w:tcW w:w="1417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Clca1</w:t>
            </w:r>
          </w:p>
        </w:tc>
        <w:tc>
          <w:tcPr>
            <w:tcW w:w="4674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Calcium-activated chloride channel regulator 1</w:t>
            </w:r>
          </w:p>
        </w:tc>
        <w:tc>
          <w:tcPr>
            <w:tcW w:w="850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2.04</w:t>
            </w:r>
          </w:p>
        </w:tc>
        <w:tc>
          <w:tcPr>
            <w:tcW w:w="1230" w:type="dxa"/>
          </w:tcPr>
          <w:p w:rsidR="002F6895" w:rsidRPr="006C68E4" w:rsidRDefault="002F6895" w:rsidP="00583187">
            <w:pPr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6.51E-44</w:t>
            </w:r>
          </w:p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4C7177">
        <w:trPr>
          <w:trHeight w:val="413"/>
        </w:trPr>
        <w:tc>
          <w:tcPr>
            <w:tcW w:w="1263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E9Q9C6</w:t>
            </w:r>
          </w:p>
        </w:tc>
        <w:tc>
          <w:tcPr>
            <w:tcW w:w="1417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Fcgbp</w:t>
            </w:r>
          </w:p>
        </w:tc>
        <w:tc>
          <w:tcPr>
            <w:tcW w:w="4674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IgGFc-binding protein</w:t>
            </w:r>
          </w:p>
        </w:tc>
        <w:tc>
          <w:tcPr>
            <w:tcW w:w="850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1.01</w:t>
            </w:r>
          </w:p>
        </w:tc>
        <w:tc>
          <w:tcPr>
            <w:tcW w:w="1230" w:type="dxa"/>
          </w:tcPr>
          <w:p w:rsidR="002F6895" w:rsidRPr="006C68E4" w:rsidRDefault="002F6895" w:rsidP="00583187">
            <w:pPr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8.37E-27</w:t>
            </w:r>
          </w:p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4C7177">
        <w:trPr>
          <w:trHeight w:val="294"/>
        </w:trPr>
        <w:tc>
          <w:tcPr>
            <w:tcW w:w="1263" w:type="dxa"/>
          </w:tcPr>
          <w:p w:rsidR="002F6895" w:rsidRPr="006C68E4" w:rsidRDefault="002F6895" w:rsidP="00583187">
            <w:pPr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Q8R1M8</w:t>
            </w:r>
          </w:p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Mptx1</w:t>
            </w:r>
          </w:p>
        </w:tc>
        <w:tc>
          <w:tcPr>
            <w:tcW w:w="4674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Mucosal pentraxin</w:t>
            </w:r>
          </w:p>
        </w:tc>
        <w:tc>
          <w:tcPr>
            <w:tcW w:w="850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3.75</w:t>
            </w:r>
          </w:p>
        </w:tc>
        <w:tc>
          <w:tcPr>
            <w:tcW w:w="1230" w:type="dxa"/>
          </w:tcPr>
          <w:p w:rsidR="002F6895" w:rsidRPr="006C68E4" w:rsidRDefault="002F6895" w:rsidP="00583187">
            <w:pPr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6.17E-11</w:t>
            </w:r>
          </w:p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4C7177">
        <w:trPr>
          <w:trHeight w:val="411"/>
        </w:trPr>
        <w:tc>
          <w:tcPr>
            <w:tcW w:w="9434" w:type="dxa"/>
            <w:gridSpan w:val="5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4E2C25" wp14:editId="4B006E18">
                      <wp:simplePos x="0" y="0"/>
                      <wp:positionH relativeFrom="column">
                        <wp:posOffset>-35302</wp:posOffset>
                      </wp:positionH>
                      <wp:positionV relativeFrom="paragraph">
                        <wp:posOffset>26007</wp:posOffset>
                      </wp:positionV>
                      <wp:extent cx="114300" cy="228600"/>
                      <wp:effectExtent l="25400" t="25400" r="63500" b="25400"/>
                      <wp:wrapThrough wrapText="bothSides">
                        <wp:wrapPolygon edited="0">
                          <wp:start x="-4800" y="-2400"/>
                          <wp:lineTo x="-4800" y="21600"/>
                          <wp:lineTo x="28800" y="21600"/>
                          <wp:lineTo x="28800" y="-2400"/>
                          <wp:lineTo x="-4800" y="-2400"/>
                        </wp:wrapPolygon>
                      </wp:wrapThrough>
                      <wp:docPr id="4" name="Up Arrow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22860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497CF6D" id="Up Arrow 4" o:spid="_x0000_s1026" type="#_x0000_t68" style="position:absolute;margin-left:-2.8pt;margin-top:2.05pt;width:9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" fillcolor="#00b050" strokecolor="#00b050" strokeweight="1pt">
                      <w10:wrap type="through"/>
                    </v:shape>
                  </w:pict>
                </mc:Fallback>
              </mc:AlternateContent>
            </w:r>
            <w:r w:rsidRPr="006C68E4">
              <w:rPr>
                <w:rFonts w:ascii="Arial" w:hAnsi="Arial" w:cs="Arial"/>
                <w:noProof/>
                <w:color w:val="000000" w:themeColor="text1"/>
                <w:sz w:val="20"/>
                <w:szCs w:val="20"/>
                <w:lang w:val="en-US"/>
              </w:rPr>
              <w:t>WT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- DSS (WCL)</w:t>
            </w:r>
          </w:p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4C7177">
        <w:trPr>
          <w:trHeight w:val="73"/>
        </w:trPr>
        <w:tc>
          <w:tcPr>
            <w:tcW w:w="1263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Q9D7Z6</w:t>
            </w:r>
          </w:p>
        </w:tc>
        <w:tc>
          <w:tcPr>
            <w:tcW w:w="1417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Clca1</w:t>
            </w:r>
          </w:p>
        </w:tc>
        <w:tc>
          <w:tcPr>
            <w:tcW w:w="4674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Calcium-activated chloride channel regulator 1</w:t>
            </w:r>
          </w:p>
        </w:tc>
        <w:tc>
          <w:tcPr>
            <w:tcW w:w="850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1.32</w:t>
            </w:r>
          </w:p>
        </w:tc>
        <w:tc>
          <w:tcPr>
            <w:tcW w:w="1230" w:type="dxa"/>
          </w:tcPr>
          <w:p w:rsidR="002F6895" w:rsidRPr="006C68E4" w:rsidRDefault="002F6895" w:rsidP="00583187">
            <w:pPr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1.74E-51</w:t>
            </w:r>
          </w:p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4C7177">
        <w:trPr>
          <w:trHeight w:val="413"/>
        </w:trPr>
        <w:tc>
          <w:tcPr>
            <w:tcW w:w="1263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E9Q9C6</w:t>
            </w:r>
          </w:p>
        </w:tc>
        <w:tc>
          <w:tcPr>
            <w:tcW w:w="1417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Fcgbp</w:t>
            </w:r>
          </w:p>
        </w:tc>
        <w:tc>
          <w:tcPr>
            <w:tcW w:w="4674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IgGFc-binding protein</w:t>
            </w:r>
          </w:p>
        </w:tc>
        <w:tc>
          <w:tcPr>
            <w:tcW w:w="850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1.09</w:t>
            </w:r>
          </w:p>
        </w:tc>
        <w:tc>
          <w:tcPr>
            <w:tcW w:w="1230" w:type="dxa"/>
          </w:tcPr>
          <w:p w:rsidR="002F6895" w:rsidRPr="006C68E4" w:rsidRDefault="002F6895" w:rsidP="00583187">
            <w:pPr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4.50E-53</w:t>
            </w:r>
          </w:p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4C7177">
        <w:trPr>
          <w:trHeight w:val="472"/>
        </w:trPr>
        <w:tc>
          <w:tcPr>
            <w:tcW w:w="1263" w:type="dxa"/>
          </w:tcPr>
          <w:p w:rsidR="002F6895" w:rsidRPr="006C68E4" w:rsidRDefault="002F6895" w:rsidP="00583187">
            <w:pPr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Q8R1M8</w:t>
            </w:r>
          </w:p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Mptx1</w:t>
            </w:r>
          </w:p>
        </w:tc>
        <w:tc>
          <w:tcPr>
            <w:tcW w:w="4674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Mucosal pentraxin</w:t>
            </w:r>
          </w:p>
        </w:tc>
        <w:tc>
          <w:tcPr>
            <w:tcW w:w="850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3.75</w:t>
            </w:r>
          </w:p>
        </w:tc>
        <w:tc>
          <w:tcPr>
            <w:tcW w:w="1230" w:type="dxa"/>
          </w:tcPr>
          <w:p w:rsidR="002F6895" w:rsidRPr="006C68E4" w:rsidRDefault="002F6895" w:rsidP="00583187">
            <w:pPr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6.17E-11</w:t>
            </w:r>
          </w:p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4C7177">
        <w:trPr>
          <w:trHeight w:val="280"/>
        </w:trPr>
        <w:tc>
          <w:tcPr>
            <w:tcW w:w="1263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Q3V1S6</w:t>
            </w:r>
          </w:p>
        </w:tc>
        <w:tc>
          <w:tcPr>
            <w:tcW w:w="1417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Muc13</w:t>
            </w:r>
          </w:p>
        </w:tc>
        <w:tc>
          <w:tcPr>
            <w:tcW w:w="4674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Mucin-13</w:t>
            </w:r>
          </w:p>
        </w:tc>
        <w:tc>
          <w:tcPr>
            <w:tcW w:w="850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1.10</w:t>
            </w:r>
          </w:p>
        </w:tc>
        <w:tc>
          <w:tcPr>
            <w:tcW w:w="1230" w:type="dxa"/>
          </w:tcPr>
          <w:p w:rsidR="002F6895" w:rsidRPr="006C68E4" w:rsidRDefault="002F6895" w:rsidP="00583187">
            <w:pPr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1.48E-07</w:t>
            </w:r>
          </w:p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C68E4" w:rsidRPr="006C68E4" w:rsidTr="004C7177">
        <w:trPr>
          <w:trHeight w:val="280"/>
        </w:trPr>
        <w:tc>
          <w:tcPr>
            <w:tcW w:w="1263" w:type="dxa"/>
          </w:tcPr>
          <w:p w:rsidR="002F6895" w:rsidRPr="006C68E4" w:rsidRDefault="002F6895" w:rsidP="00583187">
            <w:pPr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Q8R1T4</w:t>
            </w:r>
          </w:p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Muc2</w:t>
            </w:r>
          </w:p>
        </w:tc>
        <w:tc>
          <w:tcPr>
            <w:tcW w:w="4674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Mucin-2</w:t>
            </w:r>
          </w:p>
        </w:tc>
        <w:tc>
          <w:tcPr>
            <w:tcW w:w="850" w:type="dxa"/>
          </w:tcPr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0.73</w:t>
            </w:r>
          </w:p>
        </w:tc>
        <w:tc>
          <w:tcPr>
            <w:tcW w:w="1230" w:type="dxa"/>
          </w:tcPr>
          <w:p w:rsidR="002F6895" w:rsidRPr="006C68E4" w:rsidRDefault="002F6895" w:rsidP="00583187">
            <w:pPr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6C68E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7.34E-26</w:t>
            </w:r>
          </w:p>
          <w:p w:rsidR="002F6895" w:rsidRPr="006C68E4" w:rsidRDefault="002F6895" w:rsidP="00583187">
            <w:p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:rsidR="002F6895" w:rsidRPr="006C68E4" w:rsidRDefault="002F6895" w:rsidP="00583187">
      <w:pPr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/>
          <w:color w:val="000000" w:themeColor="text1"/>
          <w:sz w:val="20"/>
          <w:szCs w:val="20"/>
          <w:lang w:val="en-US"/>
        </w:rPr>
      </w:pPr>
    </w:p>
    <w:p w:rsidR="002F6895" w:rsidRPr="006C68E4" w:rsidRDefault="002F6895" w:rsidP="00D24F4D">
      <w:pPr>
        <w:spacing w:line="480" w:lineRule="auto"/>
        <w:rPr>
          <w:rFonts w:ascii="Arial" w:hAnsi="Arial" w:cs="Arial"/>
          <w:iCs/>
          <w:color w:val="000000" w:themeColor="text1"/>
          <w:sz w:val="20"/>
          <w:szCs w:val="20"/>
          <w:lang w:val="en-US"/>
        </w:rPr>
      </w:pPr>
      <w:r w:rsidRPr="006C68E4">
        <w:rPr>
          <w:rFonts w:ascii="Arial" w:hAnsi="Arial" w:cs="Arial"/>
          <w:i/>
          <w:color w:val="000000" w:themeColor="text1"/>
          <w:sz w:val="20"/>
          <w:szCs w:val="20"/>
          <w:lang w:val="en-US"/>
        </w:rPr>
        <w:t>Supplemental Table 3</w:t>
      </w:r>
      <w:r w:rsidRPr="006C68E4">
        <w:rPr>
          <w:rFonts w:ascii="Arial" w:hAnsi="Arial" w:cs="Arial"/>
          <w:iCs/>
          <w:color w:val="000000" w:themeColor="text1"/>
          <w:sz w:val="20"/>
          <w:szCs w:val="20"/>
          <w:lang w:val="en-US"/>
        </w:rPr>
        <w:t xml:space="preserve">. </w:t>
      </w:r>
      <w:r w:rsidRPr="006C68E4">
        <w:rPr>
          <w:rFonts w:ascii="Arial" w:hAnsi="Arial" w:cs="Arial"/>
          <w:b/>
          <w:iCs/>
          <w:color w:val="000000" w:themeColor="text1"/>
          <w:sz w:val="20"/>
          <w:szCs w:val="20"/>
          <w:lang w:val="en-US"/>
        </w:rPr>
        <w:t xml:space="preserve">Summary of proteins with significantly dysregulated expression in WCLs of naïve or chronic DSS-treated mice (complete table). </w:t>
      </w:r>
    </w:p>
    <w:p w:rsidR="002F6895" w:rsidRPr="006C68E4" w:rsidRDefault="002F6895" w:rsidP="00D24F4D">
      <w:pPr>
        <w:pStyle w:val="EndNoteBibliographyTitle"/>
        <w:spacing w:line="480" w:lineRule="auto"/>
        <w:jc w:val="left"/>
        <w:rPr>
          <w:color w:val="000000" w:themeColor="text1"/>
        </w:rPr>
      </w:pPr>
    </w:p>
    <w:p w:rsidR="002F6895" w:rsidRPr="006C68E4" w:rsidRDefault="002F6895" w:rsidP="00D24F4D">
      <w:pPr>
        <w:pStyle w:val="EndNoteBibliographyTitle"/>
        <w:spacing w:line="480" w:lineRule="auto"/>
        <w:jc w:val="left"/>
        <w:rPr>
          <w:color w:val="000000" w:themeColor="text1"/>
        </w:rPr>
      </w:pPr>
    </w:p>
    <w:p w:rsidR="002F6895" w:rsidRPr="006C68E4" w:rsidRDefault="002F6895" w:rsidP="00D24F4D">
      <w:pPr>
        <w:pStyle w:val="EndNoteBibliographyTitle"/>
        <w:spacing w:line="480" w:lineRule="auto"/>
        <w:jc w:val="left"/>
        <w:rPr>
          <w:color w:val="000000" w:themeColor="text1"/>
        </w:rPr>
      </w:pPr>
    </w:p>
    <w:p w:rsidR="002F6895" w:rsidRPr="006C68E4" w:rsidRDefault="002F6895" w:rsidP="00D24F4D">
      <w:pPr>
        <w:pStyle w:val="EndNoteBibliographyTitle"/>
        <w:spacing w:line="480" w:lineRule="auto"/>
        <w:jc w:val="left"/>
        <w:rPr>
          <w:color w:val="000000" w:themeColor="text1"/>
        </w:rPr>
      </w:pPr>
    </w:p>
    <w:p w:rsidR="002F6895" w:rsidRPr="006C68E4" w:rsidRDefault="002F6895" w:rsidP="00D24F4D">
      <w:pPr>
        <w:pStyle w:val="EndNoteBibliographyTitle"/>
        <w:spacing w:line="480" w:lineRule="auto"/>
        <w:jc w:val="left"/>
        <w:rPr>
          <w:color w:val="000000" w:themeColor="text1"/>
        </w:rPr>
      </w:pPr>
    </w:p>
    <w:p w:rsidR="002F6895" w:rsidRPr="006C68E4" w:rsidRDefault="002F6895" w:rsidP="00D24F4D">
      <w:pPr>
        <w:pStyle w:val="EndNoteBibliographyTitle"/>
        <w:spacing w:line="480" w:lineRule="auto"/>
        <w:jc w:val="left"/>
        <w:rPr>
          <w:color w:val="000000" w:themeColor="text1"/>
        </w:rPr>
      </w:pPr>
    </w:p>
    <w:p w:rsidR="002F6895" w:rsidRPr="006C68E4" w:rsidRDefault="002F6895" w:rsidP="00D24F4D">
      <w:pPr>
        <w:pStyle w:val="EndNoteBibliographyTitle"/>
        <w:spacing w:line="480" w:lineRule="auto"/>
        <w:jc w:val="left"/>
        <w:rPr>
          <w:color w:val="000000" w:themeColor="text1"/>
        </w:rPr>
      </w:pPr>
    </w:p>
    <w:p w:rsidR="002F6895" w:rsidRPr="006C68E4" w:rsidRDefault="002F6895" w:rsidP="00D24F4D">
      <w:pPr>
        <w:pStyle w:val="EndNoteBibliographyTitle"/>
        <w:spacing w:line="480" w:lineRule="auto"/>
        <w:jc w:val="left"/>
        <w:rPr>
          <w:color w:val="000000" w:themeColor="text1"/>
        </w:rPr>
      </w:pPr>
    </w:p>
    <w:p w:rsidR="002F6895" w:rsidRPr="006C68E4" w:rsidRDefault="002F6895" w:rsidP="00D24F4D">
      <w:pPr>
        <w:pStyle w:val="EndNoteBibliographyTitle"/>
        <w:spacing w:line="480" w:lineRule="auto"/>
        <w:jc w:val="left"/>
        <w:rPr>
          <w:color w:val="000000" w:themeColor="text1"/>
        </w:rPr>
      </w:pPr>
    </w:p>
    <w:p w:rsidR="002F6895" w:rsidRPr="006C68E4" w:rsidRDefault="002F6895" w:rsidP="00D24F4D">
      <w:pPr>
        <w:pStyle w:val="EndNoteBibliographyTitle"/>
        <w:spacing w:line="480" w:lineRule="auto"/>
        <w:jc w:val="left"/>
        <w:rPr>
          <w:color w:val="000000" w:themeColor="text1"/>
        </w:rPr>
      </w:pPr>
    </w:p>
    <w:p w:rsidR="002F6895" w:rsidRPr="006C68E4" w:rsidRDefault="002F6895" w:rsidP="00D24F4D">
      <w:pPr>
        <w:pStyle w:val="EndNoteBibliographyTitle"/>
        <w:spacing w:line="480" w:lineRule="auto"/>
        <w:jc w:val="left"/>
        <w:rPr>
          <w:color w:val="000000" w:themeColor="text1"/>
        </w:rPr>
      </w:pPr>
    </w:p>
    <w:p w:rsidR="002F6895" w:rsidRPr="006C68E4" w:rsidRDefault="002F6895" w:rsidP="00186E20">
      <w:pPr>
        <w:pStyle w:val="EndNoteBibliographyTitle"/>
        <w:spacing w:line="480" w:lineRule="auto"/>
        <w:jc w:val="left"/>
        <w:rPr>
          <w:rFonts w:ascii="Arial" w:hAnsi="Arial" w:cs="Arial"/>
          <w:b/>
          <w:noProof/>
          <w:color w:val="000000" w:themeColor="text1"/>
          <w:sz w:val="20"/>
          <w:szCs w:val="20"/>
        </w:rPr>
      </w:pPr>
      <w:r w:rsidRPr="006C68E4">
        <w:rPr>
          <w:rFonts w:ascii="Arial" w:hAnsi="Arial" w:cs="Arial"/>
          <w:b/>
          <w:noProof/>
          <w:color w:val="000000" w:themeColor="text1"/>
          <w:sz w:val="20"/>
          <w:szCs w:val="20"/>
        </w:rPr>
        <w:t>References</w:t>
      </w:r>
    </w:p>
    <w:p w:rsidR="002F6895" w:rsidRPr="006C68E4" w:rsidRDefault="002F6895" w:rsidP="00186E20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>1.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ab/>
        <w:t xml:space="preserve">Giam M, Mintern JD, Rautureau GJ, Hinds MG, Strasser A, Bouillet P. Detection of Bcl-2 family member Bcl-G in mouse tissues using new monoclonal antibodies. </w:t>
      </w:r>
      <w:r w:rsidRPr="006C68E4">
        <w:rPr>
          <w:rFonts w:ascii="Arial" w:hAnsi="Arial" w:cs="Arial"/>
          <w:i/>
          <w:noProof/>
          <w:color w:val="000000" w:themeColor="text1"/>
          <w:sz w:val="20"/>
          <w:szCs w:val="20"/>
        </w:rPr>
        <w:t>Cell Death Dis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 xml:space="preserve"> 2012, </w:t>
      </w:r>
      <w:r w:rsidRPr="006C68E4">
        <w:rPr>
          <w:rFonts w:ascii="Arial" w:hAnsi="Arial" w:cs="Arial"/>
          <w:b/>
          <w:noProof/>
          <w:color w:val="000000" w:themeColor="text1"/>
          <w:sz w:val="20"/>
          <w:szCs w:val="20"/>
        </w:rPr>
        <w:t>3: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 xml:space="preserve"> e378.</w:t>
      </w:r>
    </w:p>
    <w:p w:rsidR="002F6895" w:rsidRPr="006C68E4" w:rsidRDefault="002F6895" w:rsidP="00186E20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>2.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ab/>
        <w:t xml:space="preserve">Giam M, Okamoto T, Mintern JD, Strasser A, Bouillet P. Bcl-2 family member Bcl-G is not a proapoptotic protein. </w:t>
      </w:r>
      <w:r w:rsidRPr="006C68E4">
        <w:rPr>
          <w:rFonts w:ascii="Arial" w:hAnsi="Arial" w:cs="Arial"/>
          <w:i/>
          <w:noProof/>
          <w:color w:val="000000" w:themeColor="text1"/>
          <w:sz w:val="20"/>
          <w:szCs w:val="20"/>
        </w:rPr>
        <w:t>Cell Death Dis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 xml:space="preserve"> 2012, </w:t>
      </w:r>
      <w:r w:rsidRPr="006C68E4">
        <w:rPr>
          <w:rFonts w:ascii="Arial" w:hAnsi="Arial" w:cs="Arial"/>
          <w:b/>
          <w:noProof/>
          <w:color w:val="000000" w:themeColor="text1"/>
          <w:sz w:val="20"/>
          <w:szCs w:val="20"/>
        </w:rPr>
        <w:t>3: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 xml:space="preserve"> e404.</w:t>
      </w:r>
    </w:p>
    <w:p w:rsidR="002F6895" w:rsidRPr="006C68E4" w:rsidRDefault="002F6895" w:rsidP="00186E20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>3.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ab/>
        <w:t xml:space="preserve">Moser AR, Pitot HC, Dove WF. A dominant mutation that predisposes to multiple intestinal neoplasia in the mouse. </w:t>
      </w:r>
      <w:r w:rsidRPr="006C68E4">
        <w:rPr>
          <w:rFonts w:ascii="Arial" w:hAnsi="Arial" w:cs="Arial"/>
          <w:i/>
          <w:noProof/>
          <w:color w:val="000000" w:themeColor="text1"/>
          <w:sz w:val="20"/>
          <w:szCs w:val="20"/>
        </w:rPr>
        <w:t>Science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 xml:space="preserve"> 1990, </w:t>
      </w:r>
      <w:r w:rsidRPr="006C68E4">
        <w:rPr>
          <w:rFonts w:ascii="Arial" w:hAnsi="Arial" w:cs="Arial"/>
          <w:b/>
          <w:noProof/>
          <w:color w:val="000000" w:themeColor="text1"/>
          <w:sz w:val="20"/>
          <w:szCs w:val="20"/>
        </w:rPr>
        <w:t>247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>(4940)</w:t>
      </w:r>
      <w:r w:rsidRPr="006C68E4">
        <w:rPr>
          <w:rFonts w:ascii="Arial" w:hAnsi="Arial" w:cs="Arial"/>
          <w:b/>
          <w:noProof/>
          <w:color w:val="000000" w:themeColor="text1"/>
          <w:sz w:val="20"/>
          <w:szCs w:val="20"/>
        </w:rPr>
        <w:t>: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 xml:space="preserve"> 322-324.</w:t>
      </w:r>
    </w:p>
    <w:p w:rsidR="002F6895" w:rsidRPr="006C68E4" w:rsidRDefault="002F6895" w:rsidP="00186E20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>4.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ab/>
        <w:t>Barker N, van Es JH, Kuipers J, Kujala P, van den Born M, Cozijnsen M</w:t>
      </w:r>
      <w:r w:rsidRPr="006C68E4">
        <w:rPr>
          <w:rFonts w:ascii="Arial" w:hAnsi="Arial" w:cs="Arial"/>
          <w:i/>
          <w:noProof/>
          <w:color w:val="000000" w:themeColor="text1"/>
          <w:sz w:val="20"/>
          <w:szCs w:val="20"/>
        </w:rPr>
        <w:t>, et al.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 xml:space="preserve"> Identification of stem cells in small intestine and colon by marker gene Lgr5. </w:t>
      </w:r>
      <w:r w:rsidRPr="006C68E4">
        <w:rPr>
          <w:rFonts w:ascii="Arial" w:hAnsi="Arial" w:cs="Arial"/>
          <w:i/>
          <w:noProof/>
          <w:color w:val="000000" w:themeColor="text1"/>
          <w:sz w:val="20"/>
          <w:szCs w:val="20"/>
        </w:rPr>
        <w:t>Nature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 xml:space="preserve"> 2007, </w:t>
      </w:r>
      <w:r w:rsidRPr="006C68E4">
        <w:rPr>
          <w:rFonts w:ascii="Arial" w:hAnsi="Arial" w:cs="Arial"/>
          <w:b/>
          <w:noProof/>
          <w:color w:val="000000" w:themeColor="text1"/>
          <w:sz w:val="20"/>
          <w:szCs w:val="20"/>
        </w:rPr>
        <w:t>449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>(7165)</w:t>
      </w:r>
      <w:r w:rsidRPr="006C68E4">
        <w:rPr>
          <w:rFonts w:ascii="Arial" w:hAnsi="Arial" w:cs="Arial"/>
          <w:b/>
          <w:noProof/>
          <w:color w:val="000000" w:themeColor="text1"/>
          <w:sz w:val="20"/>
          <w:szCs w:val="20"/>
        </w:rPr>
        <w:t>: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 xml:space="preserve"> 1003-1007.</w:t>
      </w:r>
    </w:p>
    <w:p w:rsidR="002F6895" w:rsidRPr="006C68E4" w:rsidRDefault="002F6895" w:rsidP="00186E20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>5.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ab/>
        <w:t xml:space="preserve">Yip HYK, Tan CW, Hirokawa Y, Burgess AW. Colon organoid formation and cryptogenesis are stimulated by growth factors secreted from myofibroblasts. </w:t>
      </w:r>
      <w:r w:rsidRPr="006C68E4">
        <w:rPr>
          <w:rFonts w:ascii="Arial" w:hAnsi="Arial" w:cs="Arial"/>
          <w:i/>
          <w:noProof/>
          <w:color w:val="000000" w:themeColor="text1"/>
          <w:sz w:val="20"/>
          <w:szCs w:val="20"/>
        </w:rPr>
        <w:t>PLOS ONE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 xml:space="preserve"> 2018, </w:t>
      </w:r>
      <w:r w:rsidRPr="006C68E4">
        <w:rPr>
          <w:rFonts w:ascii="Arial" w:hAnsi="Arial" w:cs="Arial"/>
          <w:b/>
          <w:noProof/>
          <w:color w:val="000000" w:themeColor="text1"/>
          <w:sz w:val="20"/>
          <w:szCs w:val="20"/>
        </w:rPr>
        <w:t>13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>(6)</w:t>
      </w:r>
      <w:r w:rsidRPr="006C68E4">
        <w:rPr>
          <w:rFonts w:ascii="Arial" w:hAnsi="Arial" w:cs="Arial"/>
          <w:b/>
          <w:noProof/>
          <w:color w:val="000000" w:themeColor="text1"/>
          <w:sz w:val="20"/>
          <w:szCs w:val="20"/>
        </w:rPr>
        <w:t>: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 xml:space="preserve"> e0199412.</w:t>
      </w:r>
    </w:p>
    <w:p w:rsidR="002F6895" w:rsidRPr="006C68E4" w:rsidRDefault="002F6895" w:rsidP="00186E20">
      <w:pPr>
        <w:pStyle w:val="EndNoteBibliography"/>
        <w:spacing w:line="480" w:lineRule="auto"/>
        <w:ind w:left="720" w:hanging="720"/>
        <w:rPr>
          <w:rFonts w:ascii="Arial" w:hAnsi="Arial" w:cs="Arial"/>
          <w:noProof/>
          <w:color w:val="000000" w:themeColor="text1"/>
          <w:sz w:val="20"/>
          <w:szCs w:val="20"/>
        </w:rPr>
      </w:pP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>6.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ab/>
        <w:t xml:space="preserve">Evans MJ, Hartman SL, Wolff DW, Rollins SA, Squinto SP. Rapid expression of an anti-human C5 chimeric Fab utilizing a vector that replicates in COS and 293 cells. </w:t>
      </w:r>
      <w:r w:rsidRPr="006C68E4">
        <w:rPr>
          <w:rFonts w:ascii="Arial" w:hAnsi="Arial" w:cs="Arial"/>
          <w:i/>
          <w:noProof/>
          <w:color w:val="000000" w:themeColor="text1"/>
          <w:sz w:val="20"/>
          <w:szCs w:val="20"/>
        </w:rPr>
        <w:t>Journal of Immunological Methods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 xml:space="preserve"> 1995, </w:t>
      </w:r>
      <w:r w:rsidRPr="006C68E4">
        <w:rPr>
          <w:rFonts w:ascii="Arial" w:hAnsi="Arial" w:cs="Arial"/>
          <w:b/>
          <w:noProof/>
          <w:color w:val="000000" w:themeColor="text1"/>
          <w:sz w:val="20"/>
          <w:szCs w:val="20"/>
        </w:rPr>
        <w:t>184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>(1)</w:t>
      </w:r>
      <w:r w:rsidRPr="006C68E4">
        <w:rPr>
          <w:rFonts w:ascii="Arial" w:hAnsi="Arial" w:cs="Arial"/>
          <w:b/>
          <w:noProof/>
          <w:color w:val="000000" w:themeColor="text1"/>
          <w:sz w:val="20"/>
          <w:szCs w:val="20"/>
        </w:rPr>
        <w:t>:</w:t>
      </w:r>
      <w:r w:rsidRPr="006C68E4">
        <w:rPr>
          <w:rFonts w:ascii="Arial" w:hAnsi="Arial" w:cs="Arial"/>
          <w:noProof/>
          <w:color w:val="000000" w:themeColor="text1"/>
          <w:sz w:val="20"/>
          <w:szCs w:val="20"/>
        </w:rPr>
        <w:t xml:space="preserve"> 123-138.</w:t>
      </w:r>
    </w:p>
    <w:p w:rsidR="002F6895" w:rsidRPr="006C68E4" w:rsidRDefault="002F6895" w:rsidP="00186E20">
      <w:pPr>
        <w:pStyle w:val="EndNoteBibliography"/>
        <w:rPr>
          <w:noProof/>
          <w:color w:val="000000" w:themeColor="text1"/>
        </w:rPr>
      </w:pPr>
    </w:p>
    <w:p w:rsidR="002F6895" w:rsidRPr="006C68E4" w:rsidRDefault="002F6895" w:rsidP="00186E20">
      <w:pPr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3A37E8" w:rsidRPr="006C68E4" w:rsidRDefault="003A37E8" w:rsidP="00186E20">
      <w:pPr>
        <w:rPr>
          <w:color w:val="000000" w:themeColor="text1"/>
        </w:rPr>
      </w:pPr>
    </w:p>
    <w:sectPr w:rsidR="003A37E8" w:rsidRPr="006C68E4" w:rsidSect="00B42CB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2661B"/>
    <w:multiLevelType w:val="hybridMultilevel"/>
    <w:tmpl w:val="E0A826F4"/>
    <w:lvl w:ilvl="0" w:tplc="D3CA959A">
      <w:start w:val="15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6447AE"/>
    <w:multiLevelType w:val="hybridMultilevel"/>
    <w:tmpl w:val="F6248704"/>
    <w:lvl w:ilvl="0" w:tplc="7432440C">
      <w:start w:val="7"/>
      <w:numFmt w:val="bullet"/>
      <w:lvlText w:val="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6936E8"/>
    <w:multiLevelType w:val="hybridMultilevel"/>
    <w:tmpl w:val="AEE07E6E"/>
    <w:lvl w:ilvl="0" w:tplc="EB1AD47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2D6E84"/>
    <w:multiLevelType w:val="hybridMultilevel"/>
    <w:tmpl w:val="030A0AC8"/>
    <w:lvl w:ilvl="0" w:tplc="42E2649A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0&lt;/ScanUnformatted&gt;&lt;ScanChanges&gt;0&lt;/ScanChanges&gt;&lt;Suspended&gt;1&lt;/Suspended&gt;&lt;/ENInstantFormat&gt;"/>
  </w:docVars>
  <w:rsids>
    <w:rsidRoot w:val="002F6895"/>
    <w:rsid w:val="0000051D"/>
    <w:rsid w:val="000100D1"/>
    <w:rsid w:val="00014CE3"/>
    <w:rsid w:val="00023CAE"/>
    <w:rsid w:val="00026586"/>
    <w:rsid w:val="000439AB"/>
    <w:rsid w:val="000629C6"/>
    <w:rsid w:val="00062A66"/>
    <w:rsid w:val="00064E6F"/>
    <w:rsid w:val="00067E26"/>
    <w:rsid w:val="00070080"/>
    <w:rsid w:val="00071772"/>
    <w:rsid w:val="000742CD"/>
    <w:rsid w:val="00080427"/>
    <w:rsid w:val="00081B44"/>
    <w:rsid w:val="0008753B"/>
    <w:rsid w:val="000A6E35"/>
    <w:rsid w:val="000B645F"/>
    <w:rsid w:val="000C3B61"/>
    <w:rsid w:val="000D7BAE"/>
    <w:rsid w:val="000D7CF6"/>
    <w:rsid w:val="000E089D"/>
    <w:rsid w:val="000E2B6E"/>
    <w:rsid w:val="001017EA"/>
    <w:rsid w:val="00105A6F"/>
    <w:rsid w:val="00112A03"/>
    <w:rsid w:val="00115ECC"/>
    <w:rsid w:val="00116859"/>
    <w:rsid w:val="00116F7B"/>
    <w:rsid w:val="00121863"/>
    <w:rsid w:val="00123615"/>
    <w:rsid w:val="00123BF4"/>
    <w:rsid w:val="00134117"/>
    <w:rsid w:val="001428CA"/>
    <w:rsid w:val="00145B84"/>
    <w:rsid w:val="00155AB2"/>
    <w:rsid w:val="00170355"/>
    <w:rsid w:val="00172E5D"/>
    <w:rsid w:val="00175EE4"/>
    <w:rsid w:val="001836D0"/>
    <w:rsid w:val="001866B2"/>
    <w:rsid w:val="00186E20"/>
    <w:rsid w:val="00190FAB"/>
    <w:rsid w:val="001922F8"/>
    <w:rsid w:val="001950A3"/>
    <w:rsid w:val="001A16A5"/>
    <w:rsid w:val="001B5471"/>
    <w:rsid w:val="001C4A3F"/>
    <w:rsid w:val="001C7EF6"/>
    <w:rsid w:val="001D78EC"/>
    <w:rsid w:val="001D7FDE"/>
    <w:rsid w:val="001E40F9"/>
    <w:rsid w:val="001E5E1B"/>
    <w:rsid w:val="001F31C9"/>
    <w:rsid w:val="001F4491"/>
    <w:rsid w:val="001F727E"/>
    <w:rsid w:val="002162C0"/>
    <w:rsid w:val="00216F9D"/>
    <w:rsid w:val="0022325A"/>
    <w:rsid w:val="002234BE"/>
    <w:rsid w:val="00230D51"/>
    <w:rsid w:val="00235484"/>
    <w:rsid w:val="0024473C"/>
    <w:rsid w:val="00246571"/>
    <w:rsid w:val="0025097E"/>
    <w:rsid w:val="00270AB4"/>
    <w:rsid w:val="002915E4"/>
    <w:rsid w:val="002A5277"/>
    <w:rsid w:val="002B0BC3"/>
    <w:rsid w:val="002B30D7"/>
    <w:rsid w:val="002B3B73"/>
    <w:rsid w:val="002B5A00"/>
    <w:rsid w:val="002C7495"/>
    <w:rsid w:val="002D3BCB"/>
    <w:rsid w:val="002E3CFB"/>
    <w:rsid w:val="002E56F0"/>
    <w:rsid w:val="002F4262"/>
    <w:rsid w:val="002F6895"/>
    <w:rsid w:val="002F74EA"/>
    <w:rsid w:val="00310865"/>
    <w:rsid w:val="00315474"/>
    <w:rsid w:val="0034301E"/>
    <w:rsid w:val="003518E7"/>
    <w:rsid w:val="00363723"/>
    <w:rsid w:val="0036529D"/>
    <w:rsid w:val="003701BA"/>
    <w:rsid w:val="003821A1"/>
    <w:rsid w:val="003A34DB"/>
    <w:rsid w:val="003A37E8"/>
    <w:rsid w:val="003B4760"/>
    <w:rsid w:val="003C2C37"/>
    <w:rsid w:val="003D2DCB"/>
    <w:rsid w:val="003D6CF4"/>
    <w:rsid w:val="003E48CC"/>
    <w:rsid w:val="003E49B5"/>
    <w:rsid w:val="003F3B1B"/>
    <w:rsid w:val="003F3D3F"/>
    <w:rsid w:val="0040067E"/>
    <w:rsid w:val="00401F95"/>
    <w:rsid w:val="00411FE6"/>
    <w:rsid w:val="00421C05"/>
    <w:rsid w:val="00426E56"/>
    <w:rsid w:val="00434BDA"/>
    <w:rsid w:val="00435A52"/>
    <w:rsid w:val="00443399"/>
    <w:rsid w:val="004475D6"/>
    <w:rsid w:val="00450E7F"/>
    <w:rsid w:val="00481136"/>
    <w:rsid w:val="00481850"/>
    <w:rsid w:val="00484600"/>
    <w:rsid w:val="004A67EB"/>
    <w:rsid w:val="004B1E2C"/>
    <w:rsid w:val="004C034B"/>
    <w:rsid w:val="004D11CF"/>
    <w:rsid w:val="004D76ED"/>
    <w:rsid w:val="005120DB"/>
    <w:rsid w:val="0052109D"/>
    <w:rsid w:val="00522F0C"/>
    <w:rsid w:val="00536347"/>
    <w:rsid w:val="00540CC6"/>
    <w:rsid w:val="00541550"/>
    <w:rsid w:val="005514CD"/>
    <w:rsid w:val="00566819"/>
    <w:rsid w:val="00570574"/>
    <w:rsid w:val="0058576F"/>
    <w:rsid w:val="00597049"/>
    <w:rsid w:val="005B1F36"/>
    <w:rsid w:val="005B40DD"/>
    <w:rsid w:val="005D10E0"/>
    <w:rsid w:val="005D2D15"/>
    <w:rsid w:val="005E2AF4"/>
    <w:rsid w:val="005E35E9"/>
    <w:rsid w:val="005E3E08"/>
    <w:rsid w:val="005E54C0"/>
    <w:rsid w:val="005E65A4"/>
    <w:rsid w:val="005E7762"/>
    <w:rsid w:val="005F3DB7"/>
    <w:rsid w:val="005F68CD"/>
    <w:rsid w:val="006017A4"/>
    <w:rsid w:val="00601DBC"/>
    <w:rsid w:val="00607748"/>
    <w:rsid w:val="00607E93"/>
    <w:rsid w:val="00646F4D"/>
    <w:rsid w:val="0065551F"/>
    <w:rsid w:val="00676342"/>
    <w:rsid w:val="006826F6"/>
    <w:rsid w:val="00682819"/>
    <w:rsid w:val="00687384"/>
    <w:rsid w:val="006927C2"/>
    <w:rsid w:val="00694EE2"/>
    <w:rsid w:val="00696B77"/>
    <w:rsid w:val="006A35C7"/>
    <w:rsid w:val="006B4D27"/>
    <w:rsid w:val="006B7056"/>
    <w:rsid w:val="006B76E3"/>
    <w:rsid w:val="006C68E4"/>
    <w:rsid w:val="006D283F"/>
    <w:rsid w:val="006E26FA"/>
    <w:rsid w:val="006F0465"/>
    <w:rsid w:val="006F2EA0"/>
    <w:rsid w:val="006F2ECF"/>
    <w:rsid w:val="0070231A"/>
    <w:rsid w:val="00704AAD"/>
    <w:rsid w:val="00706C5B"/>
    <w:rsid w:val="0071440D"/>
    <w:rsid w:val="00747C0B"/>
    <w:rsid w:val="00757484"/>
    <w:rsid w:val="00773870"/>
    <w:rsid w:val="007A06D3"/>
    <w:rsid w:val="007A12C7"/>
    <w:rsid w:val="007A7B8B"/>
    <w:rsid w:val="007B5218"/>
    <w:rsid w:val="007C0891"/>
    <w:rsid w:val="007C2355"/>
    <w:rsid w:val="007C6A6C"/>
    <w:rsid w:val="007D7C69"/>
    <w:rsid w:val="007F02DB"/>
    <w:rsid w:val="00801BC4"/>
    <w:rsid w:val="00817F55"/>
    <w:rsid w:val="0082188C"/>
    <w:rsid w:val="00822773"/>
    <w:rsid w:val="008448AA"/>
    <w:rsid w:val="00846FC8"/>
    <w:rsid w:val="00847773"/>
    <w:rsid w:val="00855073"/>
    <w:rsid w:val="008623E5"/>
    <w:rsid w:val="00871392"/>
    <w:rsid w:val="00874B15"/>
    <w:rsid w:val="00880FD9"/>
    <w:rsid w:val="008846DD"/>
    <w:rsid w:val="008975F5"/>
    <w:rsid w:val="008A0579"/>
    <w:rsid w:val="008A531C"/>
    <w:rsid w:val="008A6BD8"/>
    <w:rsid w:val="008C016D"/>
    <w:rsid w:val="008C37E8"/>
    <w:rsid w:val="008C3F25"/>
    <w:rsid w:val="008E43F2"/>
    <w:rsid w:val="008F763E"/>
    <w:rsid w:val="00915EE4"/>
    <w:rsid w:val="00922A3F"/>
    <w:rsid w:val="009573B4"/>
    <w:rsid w:val="009658FA"/>
    <w:rsid w:val="00972215"/>
    <w:rsid w:val="00972E94"/>
    <w:rsid w:val="009752BA"/>
    <w:rsid w:val="00981F7D"/>
    <w:rsid w:val="00993486"/>
    <w:rsid w:val="009B5B4F"/>
    <w:rsid w:val="009B6C4A"/>
    <w:rsid w:val="009B6FF0"/>
    <w:rsid w:val="009C5F14"/>
    <w:rsid w:val="009C7B6A"/>
    <w:rsid w:val="009D081E"/>
    <w:rsid w:val="009E535D"/>
    <w:rsid w:val="00A0599F"/>
    <w:rsid w:val="00A108D1"/>
    <w:rsid w:val="00A170BD"/>
    <w:rsid w:val="00A243A0"/>
    <w:rsid w:val="00A2654D"/>
    <w:rsid w:val="00A26AE7"/>
    <w:rsid w:val="00A35E31"/>
    <w:rsid w:val="00A45784"/>
    <w:rsid w:val="00A52749"/>
    <w:rsid w:val="00A53C6E"/>
    <w:rsid w:val="00A644E3"/>
    <w:rsid w:val="00A809ED"/>
    <w:rsid w:val="00A82701"/>
    <w:rsid w:val="00A86BAF"/>
    <w:rsid w:val="00AA262F"/>
    <w:rsid w:val="00AA5D8C"/>
    <w:rsid w:val="00AA7263"/>
    <w:rsid w:val="00AA7C2C"/>
    <w:rsid w:val="00AC2E38"/>
    <w:rsid w:val="00AC5F1C"/>
    <w:rsid w:val="00AC7677"/>
    <w:rsid w:val="00AE057E"/>
    <w:rsid w:val="00AE06D5"/>
    <w:rsid w:val="00AF29CE"/>
    <w:rsid w:val="00AF2A56"/>
    <w:rsid w:val="00AF3927"/>
    <w:rsid w:val="00B0441C"/>
    <w:rsid w:val="00B066B8"/>
    <w:rsid w:val="00B1191C"/>
    <w:rsid w:val="00B15E8A"/>
    <w:rsid w:val="00B25FD4"/>
    <w:rsid w:val="00B27DA6"/>
    <w:rsid w:val="00B40237"/>
    <w:rsid w:val="00B44811"/>
    <w:rsid w:val="00B47F7E"/>
    <w:rsid w:val="00B5075B"/>
    <w:rsid w:val="00B52A4E"/>
    <w:rsid w:val="00B5374E"/>
    <w:rsid w:val="00B67AB7"/>
    <w:rsid w:val="00B7658A"/>
    <w:rsid w:val="00B8244B"/>
    <w:rsid w:val="00B85B11"/>
    <w:rsid w:val="00B85B73"/>
    <w:rsid w:val="00BA7B49"/>
    <w:rsid w:val="00BB1485"/>
    <w:rsid w:val="00BD4C09"/>
    <w:rsid w:val="00BE0A4D"/>
    <w:rsid w:val="00BE1DE2"/>
    <w:rsid w:val="00BE3C90"/>
    <w:rsid w:val="00C158D7"/>
    <w:rsid w:val="00C15C05"/>
    <w:rsid w:val="00C22924"/>
    <w:rsid w:val="00C36F08"/>
    <w:rsid w:val="00C50F74"/>
    <w:rsid w:val="00C52CF4"/>
    <w:rsid w:val="00C73FE3"/>
    <w:rsid w:val="00C74078"/>
    <w:rsid w:val="00C747FD"/>
    <w:rsid w:val="00C969AD"/>
    <w:rsid w:val="00CB2BE3"/>
    <w:rsid w:val="00CB3816"/>
    <w:rsid w:val="00CC2D3E"/>
    <w:rsid w:val="00CC660E"/>
    <w:rsid w:val="00CD23CE"/>
    <w:rsid w:val="00CD6233"/>
    <w:rsid w:val="00CE1CC7"/>
    <w:rsid w:val="00CE66BE"/>
    <w:rsid w:val="00D003E3"/>
    <w:rsid w:val="00D16CD5"/>
    <w:rsid w:val="00D26353"/>
    <w:rsid w:val="00D37C01"/>
    <w:rsid w:val="00D47E5C"/>
    <w:rsid w:val="00D53A03"/>
    <w:rsid w:val="00D57781"/>
    <w:rsid w:val="00D63094"/>
    <w:rsid w:val="00D731D4"/>
    <w:rsid w:val="00D741F9"/>
    <w:rsid w:val="00D81FCD"/>
    <w:rsid w:val="00D85B6F"/>
    <w:rsid w:val="00D87E64"/>
    <w:rsid w:val="00D9190B"/>
    <w:rsid w:val="00D96F3E"/>
    <w:rsid w:val="00DA1317"/>
    <w:rsid w:val="00DA57F4"/>
    <w:rsid w:val="00DA641A"/>
    <w:rsid w:val="00DC6A1B"/>
    <w:rsid w:val="00DE7177"/>
    <w:rsid w:val="00E02775"/>
    <w:rsid w:val="00E03B44"/>
    <w:rsid w:val="00E06ED8"/>
    <w:rsid w:val="00E1267A"/>
    <w:rsid w:val="00E14B54"/>
    <w:rsid w:val="00E23700"/>
    <w:rsid w:val="00E25C66"/>
    <w:rsid w:val="00E276A6"/>
    <w:rsid w:val="00E27D0A"/>
    <w:rsid w:val="00E41815"/>
    <w:rsid w:val="00E513E1"/>
    <w:rsid w:val="00E53C22"/>
    <w:rsid w:val="00E54092"/>
    <w:rsid w:val="00E74811"/>
    <w:rsid w:val="00E76E8E"/>
    <w:rsid w:val="00E8353E"/>
    <w:rsid w:val="00EA0E98"/>
    <w:rsid w:val="00EA1446"/>
    <w:rsid w:val="00EA619C"/>
    <w:rsid w:val="00EB0D66"/>
    <w:rsid w:val="00EB4381"/>
    <w:rsid w:val="00ED430D"/>
    <w:rsid w:val="00EF6D38"/>
    <w:rsid w:val="00F156E6"/>
    <w:rsid w:val="00F40570"/>
    <w:rsid w:val="00F92705"/>
    <w:rsid w:val="00FA573B"/>
    <w:rsid w:val="00FA7BB4"/>
    <w:rsid w:val="00FD0D65"/>
    <w:rsid w:val="00FD0ED4"/>
    <w:rsid w:val="00FD2906"/>
    <w:rsid w:val="00FD3EA9"/>
    <w:rsid w:val="00FD55E7"/>
    <w:rsid w:val="00FD7246"/>
    <w:rsid w:val="00FE324A"/>
    <w:rsid w:val="00FE3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895"/>
    <w:rPr>
      <w:rFonts w:eastAsiaTheme="minorEastAsia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6895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F6895"/>
    <w:rPr>
      <w:rFonts w:ascii="Arial" w:eastAsia="Calibri" w:hAnsi="Arial" w:cs="Arial"/>
      <w:sz w:val="22"/>
      <w:szCs w:val="22"/>
      <w:lang w:val="en-AU"/>
    </w:rPr>
  </w:style>
  <w:style w:type="character" w:customStyle="1" w:styleId="NoSpacingChar">
    <w:name w:val="No Spacing Char"/>
    <w:link w:val="NoSpacing"/>
    <w:uiPriority w:val="1"/>
    <w:rsid w:val="002F6895"/>
    <w:rPr>
      <w:rFonts w:ascii="Arial" w:eastAsia="Calibri" w:hAnsi="Arial" w:cs="Arial"/>
      <w:sz w:val="22"/>
      <w:szCs w:val="22"/>
      <w:lang w:val="en-AU"/>
    </w:rPr>
  </w:style>
  <w:style w:type="table" w:styleId="TableGrid">
    <w:name w:val="Table Grid"/>
    <w:basedOn w:val="TableNormal"/>
    <w:uiPriority w:val="39"/>
    <w:rsid w:val="002F6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689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895"/>
    <w:rPr>
      <w:rFonts w:ascii="Times New Roman" w:eastAsiaTheme="minorEastAsia" w:hAnsi="Times New Roman" w:cs="Times New Roman"/>
      <w:sz w:val="18"/>
      <w:szCs w:val="18"/>
      <w:lang w:val="en-AU"/>
    </w:rPr>
  </w:style>
  <w:style w:type="paragraph" w:styleId="Revision">
    <w:name w:val="Revision"/>
    <w:hidden/>
    <w:uiPriority w:val="99"/>
    <w:semiHidden/>
    <w:rsid w:val="002F6895"/>
    <w:rPr>
      <w:rFonts w:eastAsiaTheme="minorEastAsia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2F68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68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6895"/>
    <w:rPr>
      <w:rFonts w:eastAsiaTheme="minorEastAsia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68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6895"/>
    <w:rPr>
      <w:rFonts w:eastAsiaTheme="minorEastAsia"/>
      <w:b/>
      <w:bCs/>
      <w:sz w:val="20"/>
      <w:szCs w:val="20"/>
      <w:lang w:val="en-AU"/>
    </w:rPr>
  </w:style>
  <w:style w:type="character" w:styleId="Hyperlink">
    <w:name w:val="Hyperlink"/>
    <w:basedOn w:val="DefaultParagraphFont"/>
    <w:uiPriority w:val="99"/>
    <w:unhideWhenUsed/>
    <w:rsid w:val="002F6895"/>
    <w:rPr>
      <w:color w:val="0563C1" w:themeColor="hyperlink"/>
      <w:u w:val="single"/>
    </w:rPr>
  </w:style>
  <w:style w:type="paragraph" w:customStyle="1" w:styleId="Default">
    <w:name w:val="Default"/>
    <w:rsid w:val="002F6895"/>
    <w:pPr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2F6895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F6895"/>
    <w:rPr>
      <w:rFonts w:ascii="Calibri" w:eastAsiaTheme="minorEastAsia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F6895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F6895"/>
    <w:rPr>
      <w:rFonts w:ascii="Calibri" w:eastAsiaTheme="minorEastAsia" w:hAnsi="Calibri"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895"/>
    <w:rPr>
      <w:rFonts w:eastAsiaTheme="minorEastAsia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6895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F6895"/>
    <w:rPr>
      <w:rFonts w:ascii="Arial" w:eastAsia="Calibri" w:hAnsi="Arial" w:cs="Arial"/>
      <w:sz w:val="22"/>
      <w:szCs w:val="22"/>
      <w:lang w:val="en-AU"/>
    </w:rPr>
  </w:style>
  <w:style w:type="character" w:customStyle="1" w:styleId="NoSpacingChar">
    <w:name w:val="No Spacing Char"/>
    <w:link w:val="NoSpacing"/>
    <w:uiPriority w:val="1"/>
    <w:rsid w:val="002F6895"/>
    <w:rPr>
      <w:rFonts w:ascii="Arial" w:eastAsia="Calibri" w:hAnsi="Arial" w:cs="Arial"/>
      <w:sz w:val="22"/>
      <w:szCs w:val="22"/>
      <w:lang w:val="en-AU"/>
    </w:rPr>
  </w:style>
  <w:style w:type="table" w:styleId="TableGrid">
    <w:name w:val="Table Grid"/>
    <w:basedOn w:val="TableNormal"/>
    <w:uiPriority w:val="39"/>
    <w:rsid w:val="002F6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689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895"/>
    <w:rPr>
      <w:rFonts w:ascii="Times New Roman" w:eastAsiaTheme="minorEastAsia" w:hAnsi="Times New Roman" w:cs="Times New Roman"/>
      <w:sz w:val="18"/>
      <w:szCs w:val="18"/>
      <w:lang w:val="en-AU"/>
    </w:rPr>
  </w:style>
  <w:style w:type="paragraph" w:styleId="Revision">
    <w:name w:val="Revision"/>
    <w:hidden/>
    <w:uiPriority w:val="99"/>
    <w:semiHidden/>
    <w:rsid w:val="002F6895"/>
    <w:rPr>
      <w:rFonts w:eastAsiaTheme="minorEastAsia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2F68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68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6895"/>
    <w:rPr>
      <w:rFonts w:eastAsiaTheme="minorEastAsia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68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6895"/>
    <w:rPr>
      <w:rFonts w:eastAsiaTheme="minorEastAsia"/>
      <w:b/>
      <w:bCs/>
      <w:sz w:val="20"/>
      <w:szCs w:val="20"/>
      <w:lang w:val="en-AU"/>
    </w:rPr>
  </w:style>
  <w:style w:type="character" w:styleId="Hyperlink">
    <w:name w:val="Hyperlink"/>
    <w:basedOn w:val="DefaultParagraphFont"/>
    <w:uiPriority w:val="99"/>
    <w:unhideWhenUsed/>
    <w:rsid w:val="002F6895"/>
    <w:rPr>
      <w:color w:val="0563C1" w:themeColor="hyperlink"/>
      <w:u w:val="single"/>
    </w:rPr>
  </w:style>
  <w:style w:type="paragraph" w:customStyle="1" w:styleId="Default">
    <w:name w:val="Default"/>
    <w:rsid w:val="002F6895"/>
    <w:pPr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2F6895"/>
    <w:pPr>
      <w:jc w:val="center"/>
    </w:pPr>
    <w:rPr>
      <w:rFonts w:ascii="Calibri" w:hAnsi="Calibri" w:cs="Calibri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F6895"/>
    <w:rPr>
      <w:rFonts w:ascii="Calibri" w:eastAsiaTheme="minorEastAsia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F6895"/>
    <w:rPr>
      <w:rFonts w:ascii="Calibri" w:hAnsi="Calibri" w:cs="Calibri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F6895"/>
    <w:rPr>
      <w:rFonts w:ascii="Calibri" w:eastAsiaTheme="minorEastAsia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microsoft.com/office/2007/relationships/stylesWithEffects" Target="stylesWithEffect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iji.sc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NUL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2287</Words>
  <Characters>13038</Characters>
  <Application>Microsoft Office Word</Application>
  <DocSecurity>0</DocSecurity>
  <Lines>108</Lines>
  <Paragraphs>30</Paragraphs>
  <ScaleCrop>false</ScaleCrop>
  <Company>Springer-SBM</Company>
  <LinksUpToDate>false</LinksUpToDate>
  <CharactersWithSpaces>15295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Nguyen</dc:creator>
  <cp:lastModifiedBy>Ben Holmes</cp:lastModifiedBy>
  <cp:revision>2</cp:revision>
  <dcterms:created xsi:type="dcterms:W3CDTF">2019-07-09T07:27:00Z</dcterms:created>
  <dcterms:modified xsi:type="dcterms:W3CDTF">2019-07-09T07:27:00Z</dcterms:modified>
</cp:coreProperties>
</file>