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DC8E3" w14:textId="77777777" w:rsidR="00FA1B0F" w:rsidRPr="003C3519" w:rsidRDefault="00FA1B0F" w:rsidP="00FA1B0F">
      <w:pPr>
        <w:widowControl w:val="0"/>
        <w:rPr>
          <w:rFonts w:ascii="Arial" w:hAnsi="Arial" w:cs="Arial"/>
          <w:b/>
          <w:szCs w:val="18"/>
        </w:rPr>
      </w:pPr>
      <w:r w:rsidRPr="003C3519">
        <w:rPr>
          <w:rFonts w:ascii="Arial" w:hAnsi="Arial" w:cs="Arial"/>
          <w:b/>
          <w:szCs w:val="18"/>
        </w:rPr>
        <w:t>Supplementary Information for</w:t>
      </w:r>
    </w:p>
    <w:p w14:paraId="347FD038" w14:textId="290C2E59" w:rsidR="006302C5" w:rsidRPr="003C3519" w:rsidRDefault="006302C5" w:rsidP="00FA1B0F">
      <w:pPr>
        <w:widowControl w:val="0"/>
        <w:rPr>
          <w:rFonts w:ascii="Arial" w:hAnsi="Arial" w:cs="Arial"/>
          <w:b/>
          <w:bCs/>
          <w:szCs w:val="18"/>
          <w:lang w:val="en-GB"/>
        </w:rPr>
      </w:pPr>
      <w:r w:rsidRPr="003C3519">
        <w:rPr>
          <w:rFonts w:ascii="Arial" w:hAnsi="Arial" w:cs="Arial"/>
          <w:b/>
          <w:bCs/>
          <w:szCs w:val="18"/>
        </w:rPr>
        <w:t>Loss of p53 in mesenchymal stem cells promotes alteration of bone remodeling through negative regulation of osteoprotegerin</w:t>
      </w:r>
    </w:p>
    <w:p w14:paraId="36B23F8A" w14:textId="73AF9D75" w:rsidR="006302C5" w:rsidRPr="003C3519" w:rsidRDefault="006302C5" w:rsidP="006302C5">
      <w:pPr>
        <w:widowControl w:val="0"/>
        <w:spacing w:before="100" w:beforeAutospacing="1" w:after="100" w:afterAutospacing="1" w:line="360" w:lineRule="auto"/>
        <w:rPr>
          <w:rFonts w:ascii="Arial" w:eastAsia="宋体" w:hAnsi="Arial" w:cs="Arial"/>
          <w:sz w:val="20"/>
          <w:vertAlign w:val="superscript"/>
          <w:lang w:val="en-GB"/>
        </w:rPr>
      </w:pPr>
      <w:r w:rsidRPr="003C3519">
        <w:rPr>
          <w:rFonts w:ascii="Arial" w:eastAsia="宋体" w:hAnsi="Arial" w:cs="Arial"/>
          <w:bCs/>
          <w:sz w:val="20"/>
          <w:lang w:val="en-GB"/>
        </w:rPr>
        <w:t>Tania Velletri</w:t>
      </w:r>
      <w:r w:rsidRPr="003C3519">
        <w:rPr>
          <w:rFonts w:ascii="Arial" w:eastAsia="宋体" w:hAnsi="Arial" w:cs="Arial"/>
          <w:bCs/>
          <w:sz w:val="20"/>
          <w:vertAlign w:val="superscript"/>
          <w:lang w:val="en-GB"/>
        </w:rPr>
        <w:t>1,</w:t>
      </w:r>
      <w:r w:rsidRPr="003C3519">
        <w:rPr>
          <w:rFonts w:ascii="Arial" w:eastAsia="宋体" w:hAnsi="Arial" w:cs="Arial"/>
          <w:sz w:val="20"/>
          <w:vertAlign w:val="superscript"/>
          <w:lang w:val="en-GB"/>
        </w:rPr>
        <w:t>†</w:t>
      </w:r>
      <w:r w:rsidRPr="003C3519">
        <w:rPr>
          <w:rFonts w:ascii="Arial" w:eastAsia="宋体" w:hAnsi="Arial" w:cs="Arial"/>
          <w:sz w:val="20"/>
          <w:vertAlign w:val="superscript"/>
        </w:rPr>
        <w:t>,#</w:t>
      </w:r>
      <w:r w:rsidRPr="003C3519">
        <w:rPr>
          <w:rFonts w:ascii="Arial" w:eastAsia="宋体" w:hAnsi="Arial" w:cs="Arial"/>
          <w:sz w:val="20"/>
          <w:lang w:val="en-GB"/>
        </w:rPr>
        <w:t>,</w:t>
      </w:r>
      <w:r w:rsidRPr="003C3519">
        <w:rPr>
          <w:rFonts w:ascii="Arial" w:eastAsia="宋体" w:hAnsi="Arial" w:cs="Arial" w:hint="eastAsia"/>
          <w:sz w:val="20"/>
          <w:lang w:val="en-GB"/>
        </w:rPr>
        <w:t xml:space="preserve"> </w:t>
      </w:r>
      <w:r w:rsidRPr="003C3519">
        <w:rPr>
          <w:rFonts w:ascii="Arial" w:eastAsia="宋体" w:hAnsi="Arial" w:cs="Arial"/>
          <w:sz w:val="20"/>
          <w:lang w:val="en-GB"/>
        </w:rPr>
        <w:t>Yin Huang</w:t>
      </w:r>
      <w:r w:rsidRPr="003C3519">
        <w:rPr>
          <w:rFonts w:ascii="Arial" w:eastAsia="宋体" w:hAnsi="Arial" w:cs="Arial"/>
          <w:sz w:val="20"/>
          <w:vertAlign w:val="superscript"/>
          <w:lang w:val="en-GB"/>
        </w:rPr>
        <w:t>1</w:t>
      </w:r>
      <w:r w:rsidRPr="003C3519">
        <w:rPr>
          <w:rFonts w:ascii="Arial" w:eastAsia="宋体" w:hAnsi="Arial" w:cs="Arial" w:hint="eastAsia"/>
          <w:sz w:val="20"/>
          <w:vertAlign w:val="superscript"/>
          <w:lang w:val="en-GB"/>
        </w:rPr>
        <w:t>,</w:t>
      </w:r>
      <w:r w:rsidRPr="003C3519">
        <w:rPr>
          <w:rFonts w:ascii="Arial" w:eastAsia="宋体" w:hAnsi="Arial" w:cs="Arial"/>
          <w:sz w:val="20"/>
          <w:vertAlign w:val="superscript"/>
          <w:lang w:val="en-GB"/>
        </w:rPr>
        <w:t xml:space="preserve"> #</w:t>
      </w:r>
      <w:r w:rsidRPr="003C3519">
        <w:rPr>
          <w:rFonts w:ascii="Arial" w:eastAsia="宋体" w:hAnsi="Arial" w:cs="Arial"/>
          <w:sz w:val="20"/>
        </w:rPr>
        <w:t>,</w:t>
      </w:r>
      <w:r w:rsidRPr="003C3519">
        <w:rPr>
          <w:rFonts w:ascii="Arial" w:eastAsia="宋体" w:hAnsi="Arial" w:cs="Arial" w:hint="eastAsia"/>
          <w:sz w:val="20"/>
          <w:lang w:val="en-GB"/>
        </w:rPr>
        <w:t xml:space="preserve"> Yu</w:t>
      </w:r>
      <w:r w:rsidRPr="003C3519">
        <w:rPr>
          <w:rFonts w:ascii="Arial" w:eastAsia="宋体" w:hAnsi="Arial" w:cs="Arial"/>
          <w:sz w:val="20"/>
          <w:lang w:val="en-GB"/>
        </w:rPr>
        <w:t xml:space="preserve"> Wang</w:t>
      </w:r>
      <w:r w:rsidRPr="003C3519">
        <w:rPr>
          <w:rFonts w:ascii="Arial" w:eastAsia="宋体" w:hAnsi="Arial" w:cs="Arial"/>
          <w:sz w:val="20"/>
          <w:vertAlign w:val="superscript"/>
        </w:rPr>
        <w:t>1,#</w:t>
      </w:r>
      <w:r w:rsidRPr="003C3519">
        <w:rPr>
          <w:rFonts w:ascii="Arial" w:eastAsia="宋体" w:hAnsi="Arial" w:cs="Arial"/>
          <w:sz w:val="20"/>
          <w:lang w:val="en-GB"/>
        </w:rPr>
        <w:t>,</w:t>
      </w:r>
      <w:r w:rsidRPr="003C3519">
        <w:rPr>
          <w:rFonts w:ascii="Arial" w:eastAsia="宋体" w:hAnsi="Arial" w:cs="Arial"/>
          <w:sz w:val="20"/>
        </w:rPr>
        <w:t xml:space="preserve"> </w:t>
      </w:r>
      <w:r w:rsidRPr="003C3519">
        <w:rPr>
          <w:rFonts w:ascii="Arial" w:eastAsia="宋体" w:hAnsi="Arial" w:cs="Arial"/>
          <w:sz w:val="20"/>
          <w:lang w:val="en-GB"/>
        </w:rPr>
        <w:t>Qing Li</w:t>
      </w:r>
      <w:r w:rsidRPr="003C3519">
        <w:rPr>
          <w:rFonts w:ascii="Arial" w:eastAsia="宋体" w:hAnsi="Arial" w:cs="Arial"/>
          <w:sz w:val="20"/>
          <w:vertAlign w:val="superscript"/>
          <w:lang w:val="en-GB" w:eastAsia="zh-CN"/>
        </w:rPr>
        <w:t>1</w:t>
      </w:r>
      <w:r w:rsidRPr="003C3519">
        <w:rPr>
          <w:rFonts w:ascii="Arial" w:eastAsia="宋体" w:hAnsi="Arial" w:cs="Arial"/>
          <w:sz w:val="20"/>
          <w:lang w:val="en-GB"/>
        </w:rPr>
        <w:t>, Mingyuan Hu</w:t>
      </w:r>
      <w:r w:rsidRPr="003C3519">
        <w:rPr>
          <w:rFonts w:ascii="Arial" w:eastAsia="宋体" w:hAnsi="Arial" w:cs="Arial" w:hint="eastAsia"/>
          <w:sz w:val="20"/>
          <w:vertAlign w:val="superscript"/>
          <w:lang w:val="en-GB" w:eastAsia="zh-CN"/>
        </w:rPr>
        <w:t>1</w:t>
      </w:r>
      <w:r w:rsidRPr="003C3519">
        <w:rPr>
          <w:rFonts w:ascii="Arial" w:eastAsia="宋体" w:hAnsi="Arial" w:cs="Arial"/>
          <w:sz w:val="20"/>
          <w:lang w:val="en-GB"/>
        </w:rPr>
        <w:t>, N</w:t>
      </w:r>
      <w:r w:rsidRPr="003C3519">
        <w:rPr>
          <w:rFonts w:ascii="Arial" w:eastAsia="宋体" w:hAnsi="Arial" w:cs="Arial" w:hint="eastAsia"/>
          <w:sz w:val="20"/>
          <w:lang w:val="en-GB"/>
        </w:rPr>
        <w:t>ingxia</w:t>
      </w:r>
      <w:r w:rsidRPr="003C3519">
        <w:rPr>
          <w:rFonts w:ascii="Arial" w:eastAsia="宋体" w:hAnsi="Arial" w:cs="Arial"/>
          <w:sz w:val="20"/>
          <w:lang w:val="en-GB"/>
        </w:rPr>
        <w:t xml:space="preserve"> Xie</w:t>
      </w:r>
      <w:r w:rsidRPr="003C3519">
        <w:rPr>
          <w:rFonts w:ascii="Arial" w:eastAsia="宋体" w:hAnsi="Arial" w:cs="Arial"/>
          <w:sz w:val="20"/>
          <w:vertAlign w:val="superscript"/>
          <w:lang w:val="en-GB"/>
        </w:rPr>
        <w:t>2,6</w:t>
      </w:r>
      <w:r w:rsidRPr="003C3519">
        <w:rPr>
          <w:rFonts w:ascii="Arial" w:eastAsia="宋体" w:hAnsi="Arial" w:cs="Arial"/>
          <w:sz w:val="20"/>
          <w:lang w:val="en-GB"/>
        </w:rPr>
        <w:t>, Q</w:t>
      </w:r>
      <w:r w:rsidRPr="003C3519">
        <w:rPr>
          <w:rFonts w:ascii="Arial" w:eastAsia="宋体" w:hAnsi="Arial" w:cs="Arial" w:hint="eastAsia"/>
          <w:sz w:val="20"/>
          <w:lang w:val="en-GB"/>
        </w:rPr>
        <w:t>ian</w:t>
      </w:r>
      <w:r w:rsidRPr="003C3519">
        <w:rPr>
          <w:rFonts w:ascii="Arial" w:eastAsia="宋体" w:hAnsi="Arial" w:cs="Arial"/>
          <w:sz w:val="20"/>
          <w:lang w:val="en-GB"/>
        </w:rPr>
        <w:t xml:space="preserve"> Yang</w:t>
      </w:r>
      <w:r w:rsidRPr="003C3519">
        <w:rPr>
          <w:rFonts w:ascii="Arial" w:eastAsia="宋体" w:hAnsi="Arial" w:cs="Arial"/>
          <w:sz w:val="20"/>
          <w:vertAlign w:val="superscript"/>
          <w:lang w:val="en-GB"/>
        </w:rPr>
        <w:t>1</w:t>
      </w:r>
      <w:r w:rsidRPr="003C3519">
        <w:rPr>
          <w:rFonts w:ascii="Arial" w:eastAsia="宋体" w:hAnsi="Arial" w:cs="Arial"/>
          <w:sz w:val="20"/>
          <w:lang w:val="en-GB"/>
        </w:rPr>
        <w:t>, X</w:t>
      </w:r>
      <w:r w:rsidRPr="003C3519">
        <w:rPr>
          <w:rFonts w:ascii="Arial" w:eastAsia="宋体" w:hAnsi="Arial" w:cs="Arial" w:hint="eastAsia"/>
          <w:sz w:val="20"/>
          <w:lang w:val="en-GB"/>
        </w:rPr>
        <w:t>iaodong</w:t>
      </w:r>
      <w:r w:rsidRPr="003C3519">
        <w:rPr>
          <w:rFonts w:ascii="Arial" w:eastAsia="宋体" w:hAnsi="Arial" w:cs="Arial"/>
          <w:sz w:val="20"/>
          <w:lang w:val="en-GB"/>
        </w:rPr>
        <w:t xml:space="preserve"> Chen</w:t>
      </w:r>
      <w:r w:rsidRPr="003C3519">
        <w:rPr>
          <w:rFonts w:ascii="Arial" w:eastAsia="宋体" w:hAnsi="Arial" w:cs="Arial"/>
          <w:sz w:val="20"/>
          <w:vertAlign w:val="superscript"/>
          <w:lang w:val="en-GB"/>
        </w:rPr>
        <w:t>1</w:t>
      </w:r>
      <w:r w:rsidRPr="003C3519">
        <w:rPr>
          <w:rFonts w:ascii="Arial" w:eastAsia="宋体" w:hAnsi="Arial" w:cs="Arial"/>
          <w:sz w:val="20"/>
          <w:lang w:val="en-GB"/>
        </w:rPr>
        <w:t>, Qing Chen</w:t>
      </w:r>
      <w:r w:rsidRPr="003C3519">
        <w:rPr>
          <w:rFonts w:ascii="Arial" w:eastAsia="宋体" w:hAnsi="Arial" w:cs="Arial"/>
          <w:sz w:val="20"/>
          <w:vertAlign w:val="superscript"/>
          <w:lang w:val="en-GB"/>
        </w:rPr>
        <w:t>1</w:t>
      </w:r>
      <w:r w:rsidRPr="003C3519">
        <w:rPr>
          <w:rFonts w:ascii="Arial" w:eastAsia="宋体" w:hAnsi="Arial" w:cs="Arial"/>
          <w:sz w:val="20"/>
          <w:lang w:val="en-GB"/>
        </w:rPr>
        <w:t>, Peishun Shou</w:t>
      </w:r>
      <w:r w:rsidRPr="003C3519">
        <w:rPr>
          <w:rFonts w:ascii="Arial" w:eastAsia="宋体" w:hAnsi="Arial" w:cs="Arial"/>
          <w:sz w:val="20"/>
          <w:vertAlign w:val="superscript"/>
          <w:lang w:val="en-GB"/>
        </w:rPr>
        <w:t>1</w:t>
      </w:r>
      <w:r w:rsidRPr="003C3519">
        <w:rPr>
          <w:rFonts w:ascii="Arial" w:eastAsia="宋体" w:hAnsi="Arial" w:cs="Arial"/>
          <w:sz w:val="20"/>
          <w:lang w:val="en-GB"/>
        </w:rPr>
        <w:t>, Y</w:t>
      </w:r>
      <w:r w:rsidRPr="003C3519">
        <w:rPr>
          <w:rFonts w:ascii="Arial" w:eastAsia="宋体" w:hAnsi="Arial" w:cs="Arial" w:hint="eastAsia"/>
          <w:sz w:val="20"/>
          <w:lang w:val="en-GB"/>
        </w:rPr>
        <w:t>urun</w:t>
      </w:r>
      <w:r w:rsidRPr="003C3519">
        <w:rPr>
          <w:rFonts w:ascii="Arial" w:eastAsia="宋体" w:hAnsi="Arial" w:cs="Arial"/>
          <w:sz w:val="20"/>
          <w:lang w:val="en-GB"/>
        </w:rPr>
        <w:t xml:space="preserve"> Gan</w:t>
      </w:r>
      <w:r w:rsidRPr="003C3519">
        <w:rPr>
          <w:rFonts w:ascii="Arial" w:eastAsia="宋体" w:hAnsi="Arial" w:cs="Arial"/>
          <w:sz w:val="20"/>
          <w:vertAlign w:val="superscript"/>
          <w:lang w:val="en-GB"/>
        </w:rPr>
        <w:t>1</w:t>
      </w:r>
      <w:r w:rsidRPr="003C3519">
        <w:rPr>
          <w:rFonts w:ascii="Arial" w:eastAsia="宋体" w:hAnsi="Arial" w:cs="Arial"/>
          <w:sz w:val="20"/>
          <w:lang w:val="en-GB"/>
        </w:rPr>
        <w:t>,</w:t>
      </w:r>
      <w:r w:rsidR="00BD1A06">
        <w:rPr>
          <w:rFonts w:ascii="Arial" w:eastAsia="宋体" w:hAnsi="Arial" w:cs="Arial"/>
          <w:sz w:val="20"/>
          <w:lang w:val="en-GB"/>
        </w:rPr>
        <w:t xml:space="preserve"> </w:t>
      </w:r>
      <w:r w:rsidR="00BD1A06" w:rsidRPr="00BD1A06">
        <w:rPr>
          <w:rFonts w:ascii="Arial" w:eastAsia="宋体" w:hAnsi="Arial" w:cs="Arial"/>
          <w:sz w:val="20"/>
          <w:lang w:val="en-GB"/>
        </w:rPr>
        <w:t>Eleonora</w:t>
      </w:r>
      <w:r w:rsidRPr="003C3519">
        <w:rPr>
          <w:rFonts w:ascii="Arial" w:eastAsia="宋体" w:hAnsi="Arial" w:cs="Arial"/>
          <w:sz w:val="20"/>
          <w:lang w:val="en-GB"/>
        </w:rPr>
        <w:t xml:space="preserve"> Candi</w:t>
      </w:r>
      <w:r w:rsidRPr="003C3519">
        <w:rPr>
          <w:rFonts w:ascii="Arial" w:eastAsia="宋体" w:hAnsi="Arial" w:cs="Arial"/>
          <w:sz w:val="20"/>
          <w:vertAlign w:val="superscript"/>
          <w:lang w:val="en-GB"/>
        </w:rPr>
        <w:t>2,3</w:t>
      </w:r>
      <w:r w:rsidRPr="003C3519">
        <w:rPr>
          <w:rFonts w:ascii="Arial" w:eastAsia="宋体" w:hAnsi="Arial" w:cs="Arial"/>
          <w:sz w:val="20"/>
          <w:lang w:val="en-GB"/>
        </w:rPr>
        <w:t>, Annicchiarico-Petruzzelli Margherita</w:t>
      </w:r>
      <w:r w:rsidRPr="003C3519">
        <w:rPr>
          <w:rFonts w:ascii="Arial" w:eastAsia="宋体" w:hAnsi="Arial" w:cs="Arial"/>
          <w:sz w:val="20"/>
          <w:vertAlign w:val="superscript"/>
          <w:lang w:val="en-GB"/>
        </w:rPr>
        <w:t>3</w:t>
      </w:r>
      <w:r w:rsidRPr="003C3519">
        <w:rPr>
          <w:rFonts w:ascii="Arial" w:eastAsia="宋体" w:hAnsi="Arial" w:cs="Arial"/>
          <w:sz w:val="20"/>
          <w:lang w:val="en-GB"/>
        </w:rPr>
        <w:t>, Massimiliano Agostini</w:t>
      </w:r>
      <w:r w:rsidRPr="003C3519">
        <w:rPr>
          <w:rFonts w:ascii="Arial" w:eastAsia="宋体" w:hAnsi="Arial" w:cs="Arial"/>
          <w:sz w:val="20"/>
          <w:vertAlign w:val="superscript"/>
          <w:lang w:val="en-GB"/>
        </w:rPr>
        <w:t>2</w:t>
      </w:r>
      <w:r w:rsidRPr="003C3519">
        <w:rPr>
          <w:rFonts w:ascii="Arial" w:eastAsia="宋体" w:hAnsi="Arial" w:cs="Arial"/>
          <w:sz w:val="20"/>
          <w:lang w:val="en-GB"/>
        </w:rPr>
        <w:t xml:space="preserve">, </w:t>
      </w:r>
      <w:r w:rsidRPr="003C3519">
        <w:rPr>
          <w:rFonts w:ascii="Arial" w:eastAsia="宋体" w:hAnsi="Arial" w:cs="Arial" w:hint="eastAsia"/>
          <w:sz w:val="20"/>
          <w:lang w:val="en-GB" w:eastAsia="zh-CN"/>
        </w:rPr>
        <w:t>Huilin</w:t>
      </w:r>
      <w:r w:rsidRPr="003C3519">
        <w:rPr>
          <w:rFonts w:ascii="Arial" w:eastAsia="宋体" w:hAnsi="Arial" w:cs="Arial"/>
          <w:sz w:val="20"/>
          <w:lang w:val="en-GB"/>
        </w:rPr>
        <w:t xml:space="preserve"> </w:t>
      </w:r>
      <w:r w:rsidRPr="003C3519">
        <w:rPr>
          <w:rFonts w:ascii="Arial" w:eastAsia="宋体" w:hAnsi="Arial" w:cs="Arial" w:hint="eastAsia"/>
          <w:sz w:val="20"/>
          <w:lang w:val="en-GB" w:eastAsia="zh-CN"/>
        </w:rPr>
        <w:t>Yang</w:t>
      </w:r>
      <w:r w:rsidRPr="003C3519">
        <w:rPr>
          <w:rFonts w:ascii="Arial" w:eastAsia="宋体" w:hAnsi="Arial" w:cs="Arial"/>
          <w:sz w:val="20"/>
          <w:vertAlign w:val="superscript"/>
          <w:lang w:val="en-GB"/>
        </w:rPr>
        <w:t>5</w:t>
      </w:r>
      <w:r w:rsidRPr="003C3519">
        <w:rPr>
          <w:rFonts w:ascii="Arial" w:eastAsia="宋体" w:hAnsi="Arial" w:cs="Arial"/>
          <w:sz w:val="20"/>
          <w:lang w:val="en-GB" w:eastAsia="zh-CN"/>
        </w:rPr>
        <w:t xml:space="preserve">, </w:t>
      </w:r>
      <w:r w:rsidRPr="003C3519">
        <w:rPr>
          <w:rFonts w:ascii="Arial" w:eastAsia="宋体" w:hAnsi="Arial" w:cs="Arial"/>
          <w:sz w:val="20"/>
          <w:lang w:val="en-GB"/>
        </w:rPr>
        <w:t>Gerry Melino</w:t>
      </w:r>
      <w:r w:rsidRPr="003C3519">
        <w:rPr>
          <w:rFonts w:ascii="Arial" w:eastAsia="宋体" w:hAnsi="Arial" w:cs="Arial"/>
          <w:sz w:val="20"/>
          <w:vertAlign w:val="superscript"/>
          <w:lang w:val="en-GB"/>
        </w:rPr>
        <w:t>2,4,*</w:t>
      </w:r>
      <w:r w:rsidRPr="003C3519">
        <w:rPr>
          <w:rFonts w:ascii="Arial" w:eastAsia="宋体" w:hAnsi="Arial" w:cs="Arial"/>
          <w:sz w:val="20"/>
          <w:lang w:val="en-GB"/>
        </w:rPr>
        <w:t>, Yufang Shi</w:t>
      </w:r>
      <w:r w:rsidRPr="003C3519">
        <w:rPr>
          <w:rFonts w:ascii="Arial" w:eastAsia="宋体" w:hAnsi="Arial" w:cs="Arial"/>
          <w:sz w:val="20"/>
          <w:vertAlign w:val="superscript"/>
          <w:lang w:val="en-GB"/>
        </w:rPr>
        <w:t>1,</w:t>
      </w:r>
      <w:bookmarkStart w:id="0" w:name="_Hlk40458480"/>
      <w:r w:rsidRPr="003C3519">
        <w:rPr>
          <w:rFonts w:ascii="Arial" w:eastAsia="宋体" w:hAnsi="Arial" w:cs="Arial"/>
          <w:sz w:val="20"/>
          <w:vertAlign w:val="superscript"/>
          <w:lang w:val="en-GB"/>
        </w:rPr>
        <w:t>2,5</w:t>
      </w:r>
      <w:bookmarkEnd w:id="0"/>
      <w:r w:rsidRPr="003C3519">
        <w:rPr>
          <w:rFonts w:ascii="Arial" w:eastAsia="宋体" w:hAnsi="Arial" w:cs="Arial"/>
          <w:sz w:val="20"/>
          <w:vertAlign w:val="superscript"/>
          <w:lang w:val="en-GB"/>
        </w:rPr>
        <w:t>, *</w:t>
      </w:r>
      <w:r w:rsidRPr="003C3519">
        <w:rPr>
          <w:rFonts w:ascii="Arial" w:eastAsia="宋体" w:hAnsi="Arial" w:cs="Arial"/>
          <w:sz w:val="20"/>
          <w:lang w:val="en-GB"/>
        </w:rPr>
        <w:t>, Ying Wang</w:t>
      </w:r>
      <w:r w:rsidRPr="003C3519">
        <w:rPr>
          <w:rFonts w:ascii="Arial" w:eastAsia="宋体" w:hAnsi="Arial" w:cs="Arial"/>
          <w:sz w:val="20"/>
          <w:vertAlign w:val="superscript"/>
          <w:lang w:val="en-GB"/>
        </w:rPr>
        <w:t>1, *</w:t>
      </w:r>
    </w:p>
    <w:p w14:paraId="6F3C553D" w14:textId="77777777" w:rsidR="006302C5" w:rsidRPr="003C3519" w:rsidRDefault="006302C5" w:rsidP="006302C5">
      <w:pPr>
        <w:widowControl w:val="0"/>
        <w:spacing w:after="0" w:line="360" w:lineRule="auto"/>
        <w:rPr>
          <w:rFonts w:ascii="Arial" w:eastAsia="宋体" w:hAnsi="Arial" w:cs="Arial"/>
          <w:sz w:val="20"/>
          <w:lang w:val="en-GB"/>
        </w:rPr>
      </w:pPr>
      <w:r w:rsidRPr="003C3519">
        <w:rPr>
          <w:rFonts w:ascii="Arial" w:eastAsia="宋体" w:hAnsi="Arial" w:cs="Arial"/>
          <w:sz w:val="20"/>
          <w:vertAlign w:val="superscript"/>
          <w:lang w:val="en-GB"/>
        </w:rPr>
        <w:t>1</w:t>
      </w:r>
      <w:r w:rsidRPr="003C3519">
        <w:rPr>
          <w:rFonts w:ascii="Arial" w:eastAsia="宋体" w:hAnsi="Arial" w:cs="Arial"/>
          <w:sz w:val="20"/>
          <w:lang w:val="en-GB"/>
        </w:rPr>
        <w:t xml:space="preserve">Key Laboratory of Tissue Microenvironment and Tumor, Shanghai Institute of Nutrition and Health, Shanghai Institutes for Biological Sciences, University of Chinese Academy of Sciences, Chinese Academy of Sciences, Shanghai 200031, China; </w:t>
      </w:r>
    </w:p>
    <w:p w14:paraId="789F09A1" w14:textId="77777777" w:rsidR="006302C5" w:rsidRPr="003C3519" w:rsidRDefault="006302C5" w:rsidP="006302C5">
      <w:pPr>
        <w:widowControl w:val="0"/>
        <w:spacing w:after="0" w:line="360" w:lineRule="auto"/>
        <w:rPr>
          <w:rFonts w:ascii="Arial" w:eastAsia="宋体" w:hAnsi="Arial" w:cs="Arial"/>
          <w:sz w:val="20"/>
          <w:lang w:val="en-GB"/>
        </w:rPr>
      </w:pPr>
      <w:r w:rsidRPr="003C3519">
        <w:rPr>
          <w:rFonts w:ascii="Arial" w:eastAsia="宋体" w:hAnsi="Arial" w:cs="Arial"/>
          <w:sz w:val="20"/>
          <w:vertAlign w:val="superscript"/>
          <w:lang w:val="en-GB"/>
        </w:rPr>
        <w:t>2</w:t>
      </w:r>
      <w:r w:rsidRPr="003C3519">
        <w:rPr>
          <w:rFonts w:ascii="Arial" w:eastAsia="宋体" w:hAnsi="Arial" w:cs="Arial"/>
          <w:sz w:val="20"/>
          <w:lang w:val="en-GB"/>
        </w:rPr>
        <w:t>Department of Experimental Medicine, TOR, University of Rome Tor Vergata, Rome, Italy.</w:t>
      </w:r>
    </w:p>
    <w:p w14:paraId="08416B17" w14:textId="77777777" w:rsidR="006302C5" w:rsidRPr="003C3519" w:rsidRDefault="006302C5" w:rsidP="006302C5">
      <w:pPr>
        <w:widowControl w:val="0"/>
        <w:spacing w:after="0" w:line="360" w:lineRule="auto"/>
        <w:rPr>
          <w:rFonts w:ascii="Arial" w:eastAsia="宋体" w:hAnsi="Arial" w:cs="Arial"/>
          <w:sz w:val="20"/>
          <w:lang w:val="it-IT"/>
        </w:rPr>
      </w:pPr>
      <w:r w:rsidRPr="003C3519">
        <w:rPr>
          <w:rFonts w:ascii="Arial" w:eastAsia="宋体" w:hAnsi="Arial" w:cs="Arial"/>
          <w:sz w:val="20"/>
          <w:vertAlign w:val="superscript"/>
          <w:lang w:val="it-IT"/>
        </w:rPr>
        <w:t>3</w:t>
      </w:r>
      <w:r w:rsidRPr="003C3519">
        <w:rPr>
          <w:rFonts w:ascii="Arial" w:eastAsia="宋体" w:hAnsi="Arial" w:cs="Arial"/>
          <w:sz w:val="20"/>
          <w:lang w:val="it-IT"/>
        </w:rPr>
        <w:t>Biochemistry Laboratory,</w:t>
      </w:r>
      <w:bookmarkStart w:id="1" w:name="OLE_LINK5"/>
      <w:r w:rsidRPr="003C3519">
        <w:rPr>
          <w:rFonts w:ascii="Arial" w:eastAsia="宋体" w:hAnsi="Arial" w:cs="Arial"/>
          <w:sz w:val="20"/>
          <w:lang w:val="it-IT"/>
        </w:rPr>
        <w:t xml:space="preserve"> Istituto Dermopatico Immacolata (IDI-IRCCS)</w:t>
      </w:r>
      <w:bookmarkEnd w:id="1"/>
      <w:r w:rsidRPr="003C3519">
        <w:rPr>
          <w:rFonts w:ascii="Arial" w:eastAsia="宋体" w:hAnsi="Arial" w:cs="Arial"/>
          <w:sz w:val="20"/>
          <w:lang w:val="it-IT"/>
        </w:rPr>
        <w:t>, 00100 Rome, Italy.</w:t>
      </w:r>
    </w:p>
    <w:p w14:paraId="725B2A7F" w14:textId="77777777" w:rsidR="00D068C7" w:rsidRPr="00C91B45" w:rsidRDefault="00D068C7" w:rsidP="00D068C7">
      <w:pPr>
        <w:widowControl w:val="0"/>
        <w:spacing w:after="0" w:line="360" w:lineRule="auto"/>
        <w:rPr>
          <w:rFonts w:ascii="Arial" w:eastAsia="宋体" w:hAnsi="Arial" w:cs="Arial"/>
          <w:color w:val="000000" w:themeColor="text1"/>
          <w:sz w:val="20"/>
          <w:lang w:val="it-IT"/>
        </w:rPr>
      </w:pPr>
      <w:r w:rsidRPr="00C91B45">
        <w:rPr>
          <w:rFonts w:ascii="Arial" w:eastAsia="宋体" w:hAnsi="Arial" w:cs="Arial"/>
          <w:color w:val="000000" w:themeColor="text1"/>
          <w:sz w:val="20"/>
          <w:vertAlign w:val="superscript"/>
          <w:lang w:val="it-IT"/>
        </w:rPr>
        <w:t>4</w:t>
      </w:r>
      <w:r w:rsidRPr="00C91B45">
        <w:rPr>
          <w:rFonts w:ascii="Arial" w:eastAsia="宋体" w:hAnsi="Arial" w:cs="Arial"/>
          <w:color w:val="000000" w:themeColor="text1"/>
          <w:sz w:val="20"/>
          <w:lang w:val="it-IT"/>
        </w:rPr>
        <w:t>Medical Research Council, Toxicology Unit, University of Cambridge, Cambridge CB2 1QP, UK.</w:t>
      </w:r>
    </w:p>
    <w:p w14:paraId="7120B9D8" w14:textId="77777777" w:rsidR="006302C5" w:rsidRPr="003C3519" w:rsidRDefault="006302C5" w:rsidP="006302C5">
      <w:pPr>
        <w:widowControl w:val="0"/>
        <w:spacing w:after="0" w:line="360" w:lineRule="auto"/>
        <w:rPr>
          <w:rFonts w:ascii="Arial" w:eastAsia="宋体" w:hAnsi="Arial" w:cs="Arial"/>
          <w:sz w:val="20"/>
          <w:lang w:val="en-GB"/>
        </w:rPr>
      </w:pPr>
      <w:r w:rsidRPr="003C3519">
        <w:rPr>
          <w:rFonts w:ascii="Arial" w:eastAsia="宋体" w:hAnsi="Arial" w:cs="Arial"/>
          <w:sz w:val="20"/>
          <w:vertAlign w:val="superscript"/>
          <w:lang w:val="en-GB"/>
        </w:rPr>
        <w:t>5</w:t>
      </w:r>
      <w:r w:rsidRPr="003C3519">
        <w:rPr>
          <w:rFonts w:ascii="Arial" w:eastAsia="宋体" w:hAnsi="Arial" w:cs="Arial"/>
          <w:sz w:val="20"/>
          <w:lang w:val="en-GB"/>
        </w:rPr>
        <w:t>The First Afﬁliated Hospital of Soochow University and State Key Laboratory of Radiation Medicine and Protection, Institutes for Translational Medicine, Soochow University, 199 Renai Road, Suzhou, Jiangsu 215123, China.</w:t>
      </w:r>
    </w:p>
    <w:p w14:paraId="0F86788D" w14:textId="77777777" w:rsidR="006302C5" w:rsidRPr="00C91B45" w:rsidRDefault="006302C5" w:rsidP="006302C5">
      <w:pPr>
        <w:widowControl w:val="0"/>
        <w:spacing w:after="0" w:line="360" w:lineRule="auto"/>
        <w:rPr>
          <w:rFonts w:ascii="Arial" w:eastAsia="宋体" w:hAnsi="Arial" w:cs="Arial"/>
          <w:color w:val="000000" w:themeColor="text1"/>
          <w:sz w:val="20"/>
          <w:lang w:val="en-GB"/>
        </w:rPr>
      </w:pPr>
      <w:r w:rsidRPr="00C91B45">
        <w:rPr>
          <w:rFonts w:ascii="Arial" w:eastAsia="宋体" w:hAnsi="Arial" w:cs="Arial"/>
          <w:color w:val="000000" w:themeColor="text1"/>
          <w:sz w:val="20"/>
          <w:vertAlign w:val="superscript"/>
          <w:lang w:val="en-GB"/>
        </w:rPr>
        <w:t>6</w:t>
      </w:r>
      <w:r w:rsidRPr="00C91B45">
        <w:rPr>
          <w:rFonts w:ascii="Arial" w:eastAsia="宋体" w:hAnsi="Arial" w:cs="Arial"/>
          <w:color w:val="000000" w:themeColor="text1"/>
          <w:sz w:val="20"/>
          <w:lang w:val="en-GB"/>
        </w:rPr>
        <w:t>Affiliated Cancer Hospital &amp; Institute, Guangzhou Medical University, 510000 Guangzhou, China.</w:t>
      </w:r>
    </w:p>
    <w:p w14:paraId="34CB6E0C" w14:textId="77777777" w:rsidR="006302C5" w:rsidRPr="003C3519" w:rsidRDefault="006302C5" w:rsidP="006302C5">
      <w:pPr>
        <w:widowControl w:val="0"/>
        <w:spacing w:after="0" w:line="360" w:lineRule="auto"/>
        <w:rPr>
          <w:rFonts w:ascii="Arial" w:eastAsia="宋体" w:hAnsi="Arial" w:cs="Arial"/>
          <w:sz w:val="20"/>
          <w:lang w:val="en-GB"/>
        </w:rPr>
      </w:pPr>
      <w:r w:rsidRPr="003C3519">
        <w:rPr>
          <w:rFonts w:ascii="Arial" w:eastAsia="宋体" w:hAnsi="Arial" w:cs="Arial"/>
          <w:sz w:val="20"/>
          <w:vertAlign w:val="superscript"/>
          <w:lang w:val="en-GB"/>
        </w:rPr>
        <w:t>†</w:t>
      </w:r>
      <w:r w:rsidRPr="003C3519">
        <w:rPr>
          <w:rFonts w:ascii="Arial" w:eastAsia="宋体" w:hAnsi="Arial" w:cs="Arial"/>
          <w:sz w:val="20"/>
          <w:lang w:val="en-GB"/>
        </w:rPr>
        <w:t>Current address of present aff</w:t>
      </w:r>
      <w:r w:rsidRPr="003C3519">
        <w:rPr>
          <w:rFonts w:ascii="Arial" w:eastAsia="宋体" w:hAnsi="Arial" w:cs="Arial" w:hint="eastAsia"/>
          <w:sz w:val="20"/>
          <w:lang w:val="en-GB"/>
        </w:rPr>
        <w:t>i</w:t>
      </w:r>
      <w:r w:rsidRPr="003C3519">
        <w:rPr>
          <w:rFonts w:ascii="Arial" w:eastAsia="宋体" w:hAnsi="Arial" w:cs="Arial"/>
          <w:sz w:val="20"/>
          <w:lang w:val="en-GB"/>
        </w:rPr>
        <w:t>liation:</w:t>
      </w:r>
      <w:r w:rsidRPr="003C3519">
        <w:rPr>
          <w:rFonts w:ascii="Arial" w:eastAsia="宋体" w:hAnsi="Arial" w:cs="Arial" w:hint="eastAsia"/>
          <w:sz w:val="20"/>
          <w:lang w:val="en-GB"/>
        </w:rPr>
        <w:t xml:space="preserve"> </w:t>
      </w:r>
      <w:r w:rsidRPr="003C3519">
        <w:rPr>
          <w:rFonts w:ascii="Arial" w:eastAsia="宋体" w:hAnsi="Arial" w:cs="Arial"/>
          <w:sz w:val="20"/>
          <w:lang w:val="en-GB"/>
        </w:rPr>
        <w:t>Department of Experimental Oncology, Department of Experimental Oncology, IEO, European Institute of Oncology, IEO. IRCCS, 20139, Milan, Italy</w:t>
      </w:r>
    </w:p>
    <w:p w14:paraId="7B499E5E" w14:textId="77777777" w:rsidR="006302C5" w:rsidRPr="003C3519" w:rsidRDefault="006302C5" w:rsidP="006302C5">
      <w:pPr>
        <w:widowControl w:val="0"/>
        <w:spacing w:before="240" w:after="0" w:line="360" w:lineRule="auto"/>
        <w:rPr>
          <w:rFonts w:ascii="Arial" w:eastAsia="宋体" w:hAnsi="Arial" w:cs="Arial"/>
          <w:b/>
          <w:sz w:val="20"/>
        </w:rPr>
      </w:pPr>
      <w:r w:rsidRPr="003C3519">
        <w:rPr>
          <w:rFonts w:ascii="Arial" w:eastAsia="宋体" w:hAnsi="Arial" w:cs="Arial"/>
          <w:sz w:val="20"/>
        </w:rPr>
        <w:t>*Corresponding authors</w:t>
      </w:r>
      <w:r w:rsidRPr="003C3519">
        <w:rPr>
          <w:rFonts w:ascii="Arial" w:eastAsia="宋体" w:hAnsi="Arial" w:cs="Arial" w:hint="eastAsia"/>
          <w:sz w:val="20"/>
          <w:lang w:eastAsia="zh-CN"/>
        </w:rPr>
        <w:t xml:space="preserve">: </w:t>
      </w:r>
      <w:r w:rsidRPr="003C3519">
        <w:rPr>
          <w:rFonts w:ascii="Arial" w:eastAsia="宋体" w:hAnsi="Arial" w:cs="Arial"/>
          <w:sz w:val="20"/>
          <w:lang w:val="en-GB" w:eastAsia="zh-CN"/>
        </w:rPr>
        <w:t>Gerry Melino (</w:t>
      </w:r>
      <w:hyperlink r:id="rId7" w:history="1">
        <w:r w:rsidRPr="003C3519">
          <w:rPr>
            <w:rFonts w:ascii="Arial" w:eastAsia="宋体" w:hAnsi="Arial" w:cs="Arial" w:hint="eastAsia"/>
            <w:color w:val="0000FF"/>
            <w:sz w:val="20"/>
            <w:u w:val="single"/>
          </w:rPr>
          <w:t>gm614@mrc-tox.cam.ac.uk</w:t>
        </w:r>
      </w:hyperlink>
      <w:r w:rsidRPr="003C3519">
        <w:rPr>
          <w:rFonts w:ascii="Arial" w:eastAsia="宋体" w:hAnsi="Arial" w:cs="Arial"/>
          <w:color w:val="0000FF"/>
          <w:sz w:val="20"/>
          <w:u w:val="single"/>
        </w:rPr>
        <w:t>)</w:t>
      </w:r>
      <w:r w:rsidRPr="003C3519">
        <w:rPr>
          <w:rFonts w:ascii="Arial" w:eastAsia="宋体" w:hAnsi="Arial" w:cs="Arial"/>
          <w:sz w:val="20"/>
          <w:lang w:val="en-GB" w:eastAsia="zh-CN"/>
        </w:rPr>
        <w:t>, Yufang Shi (</w:t>
      </w:r>
      <w:hyperlink r:id="rId8" w:history="1">
        <w:r w:rsidRPr="003C3519">
          <w:rPr>
            <w:rFonts w:ascii="Arial" w:eastAsia="宋体" w:hAnsi="Arial" w:cs="Arial" w:hint="eastAsia"/>
            <w:color w:val="0000FF"/>
            <w:sz w:val="20"/>
            <w:u w:val="single"/>
          </w:rPr>
          <w:t>yufangshi@sibs.ac.cn</w:t>
        </w:r>
      </w:hyperlink>
      <w:r w:rsidRPr="003C3519">
        <w:rPr>
          <w:rFonts w:ascii="Arial" w:eastAsia="宋体" w:hAnsi="Arial" w:cs="Arial"/>
          <w:color w:val="0000FF"/>
          <w:sz w:val="20"/>
          <w:u w:val="single"/>
        </w:rPr>
        <w:t xml:space="preserve">) </w:t>
      </w:r>
      <w:r w:rsidRPr="003C3519">
        <w:rPr>
          <w:rFonts w:ascii="Arial" w:eastAsia="宋体" w:hAnsi="Arial" w:cs="Arial"/>
          <w:sz w:val="20"/>
          <w:lang w:val="en-GB" w:eastAsia="zh-CN"/>
        </w:rPr>
        <w:t>and Ying Wang</w:t>
      </w:r>
      <w:r w:rsidRPr="003C3519">
        <w:rPr>
          <w:rFonts w:ascii="Arial" w:eastAsia="宋体" w:hAnsi="Arial" w:cs="Arial"/>
          <w:b/>
          <w:sz w:val="20"/>
        </w:rPr>
        <w:t xml:space="preserve"> (</w:t>
      </w:r>
      <w:hyperlink r:id="rId9" w:history="1">
        <w:r w:rsidRPr="003C3519">
          <w:rPr>
            <w:rFonts w:ascii="Arial" w:eastAsia="宋体" w:hAnsi="Arial" w:cs="Arial" w:hint="eastAsia"/>
            <w:color w:val="0000FF"/>
            <w:sz w:val="20"/>
            <w:u w:val="single"/>
          </w:rPr>
          <w:t>yingwang@sibs.ac.cn</w:t>
        </w:r>
      </w:hyperlink>
      <w:r w:rsidRPr="003C3519">
        <w:rPr>
          <w:rFonts w:ascii="Arial" w:eastAsia="宋体" w:hAnsi="Arial" w:cs="Arial"/>
          <w:color w:val="0000FF"/>
          <w:sz w:val="20"/>
          <w:u w:val="single"/>
        </w:rPr>
        <w:t>)</w:t>
      </w:r>
      <w:r w:rsidRPr="003C3519">
        <w:rPr>
          <w:rFonts w:ascii="Arial" w:eastAsia="宋体" w:hAnsi="Arial" w:cs="Arial"/>
          <w:sz w:val="20"/>
        </w:rPr>
        <w:t xml:space="preserve"> </w:t>
      </w:r>
    </w:p>
    <w:p w14:paraId="42561659" w14:textId="77777777" w:rsidR="006302C5" w:rsidRPr="003C3519" w:rsidRDefault="006302C5" w:rsidP="006302C5">
      <w:pPr>
        <w:widowControl w:val="0"/>
        <w:rPr>
          <w:rFonts w:ascii="Arial" w:eastAsia="宋体" w:hAnsi="Arial" w:cs="Arial"/>
          <w:sz w:val="20"/>
          <w:lang w:val="en-GB" w:eastAsia="zh-CN"/>
        </w:rPr>
      </w:pPr>
      <w:r w:rsidRPr="003C3519">
        <w:rPr>
          <w:rFonts w:ascii="Arial" w:eastAsia="宋体" w:hAnsi="Arial" w:cs="Arial"/>
          <w:sz w:val="20"/>
          <w:vertAlign w:val="superscript"/>
          <w:lang w:val="en-GB" w:eastAsia="zh-CN"/>
        </w:rPr>
        <w:t>#</w:t>
      </w:r>
      <w:r w:rsidRPr="003C3519">
        <w:rPr>
          <w:rFonts w:ascii="Arial" w:eastAsia="宋体" w:hAnsi="Arial" w:cs="Arial"/>
          <w:sz w:val="20"/>
          <w:lang w:val="en-GB" w:eastAsia="zh-CN"/>
        </w:rPr>
        <w:t>These authors contributed equally to this work.</w:t>
      </w:r>
    </w:p>
    <w:p w14:paraId="6C7DCF71" w14:textId="7BA428ED" w:rsidR="003A2FEB" w:rsidRPr="003C3519" w:rsidRDefault="003A2FEB" w:rsidP="006302C5">
      <w:pPr>
        <w:widowControl w:val="0"/>
        <w:rPr>
          <w:rFonts w:ascii="Arial" w:hAnsi="Arial" w:cs="Arial"/>
          <w:b/>
          <w:sz w:val="20"/>
        </w:rPr>
      </w:pPr>
      <w:r w:rsidRPr="003C3519">
        <w:rPr>
          <w:rFonts w:ascii="Arial" w:hAnsi="Arial" w:cs="Arial"/>
          <w:b/>
          <w:sz w:val="20"/>
        </w:rPr>
        <w:t>This PDF file includes:</w:t>
      </w:r>
    </w:p>
    <w:p w14:paraId="47A87331" w14:textId="415844AA" w:rsidR="00FA1B0F" w:rsidRPr="003C3519" w:rsidRDefault="003A2FEB" w:rsidP="00FA1B0F">
      <w:pPr>
        <w:widowControl w:val="0"/>
        <w:contextualSpacing/>
        <w:rPr>
          <w:rFonts w:ascii="Arial" w:hAnsi="Arial" w:cs="Arial"/>
          <w:b/>
          <w:sz w:val="20"/>
        </w:rPr>
      </w:pPr>
      <w:r w:rsidRPr="003C3519">
        <w:rPr>
          <w:rFonts w:ascii="Arial" w:hAnsi="Arial" w:cs="Arial"/>
          <w:sz w:val="20"/>
        </w:rPr>
        <w:t>Supplementary Figure</w:t>
      </w:r>
      <w:r w:rsidR="005B691B">
        <w:rPr>
          <w:rFonts w:ascii="Arial" w:hAnsi="Arial" w:cs="Arial"/>
          <w:sz w:val="20"/>
        </w:rPr>
        <w:t xml:space="preserve"> Legends</w:t>
      </w:r>
      <w:r w:rsidR="00476FBC" w:rsidRPr="003C3519">
        <w:rPr>
          <w:rFonts w:ascii="Arial" w:hAnsi="Arial" w:cs="Arial"/>
          <w:sz w:val="20"/>
        </w:rPr>
        <w:t xml:space="preserve"> and Table</w:t>
      </w:r>
      <w:r w:rsidR="00FA1B0F" w:rsidRPr="003C3519">
        <w:rPr>
          <w:rFonts w:ascii="Arial" w:hAnsi="Arial" w:cs="Arial"/>
          <w:sz w:val="20"/>
        </w:rPr>
        <w:br w:type="page"/>
      </w:r>
    </w:p>
    <w:p w14:paraId="2457E7B5" w14:textId="724F00ED" w:rsidR="00FA1B0F" w:rsidRPr="00AB1EE1" w:rsidRDefault="00FA1B0F" w:rsidP="00FA1B0F">
      <w:pPr>
        <w:widowControl w:val="0"/>
        <w:pBdr>
          <w:top w:val="nil"/>
          <w:left w:val="nil"/>
          <w:bottom w:val="nil"/>
          <w:right w:val="nil"/>
          <w:between w:val="nil"/>
        </w:pBdr>
        <w:contextualSpacing/>
        <w:rPr>
          <w:rFonts w:ascii="Arial" w:hAnsi="Arial" w:cs="Arial"/>
          <w:b/>
          <w:bCs/>
          <w:kern w:val="32"/>
          <w:szCs w:val="18"/>
          <w:lang w:eastAsia="zh-CN"/>
        </w:rPr>
      </w:pPr>
      <w:r w:rsidRPr="00AB1EE1">
        <w:rPr>
          <w:rFonts w:ascii="Arial" w:hAnsi="Arial" w:cs="Arial" w:hint="eastAsia"/>
          <w:b/>
          <w:bCs/>
          <w:kern w:val="32"/>
          <w:szCs w:val="18"/>
          <w:lang w:eastAsia="zh-CN"/>
        </w:rPr>
        <w:lastRenderedPageBreak/>
        <w:t>S</w:t>
      </w:r>
      <w:r w:rsidRPr="00AB1EE1">
        <w:rPr>
          <w:rFonts w:ascii="Arial" w:hAnsi="Arial" w:cs="Arial"/>
          <w:b/>
          <w:bCs/>
          <w:kern w:val="32"/>
          <w:szCs w:val="18"/>
          <w:lang w:eastAsia="zh-CN"/>
        </w:rPr>
        <w:t>upplementary figure</w:t>
      </w:r>
      <w:r w:rsidR="00476FBC" w:rsidRPr="00AB1EE1">
        <w:rPr>
          <w:rFonts w:ascii="Arial" w:hAnsi="Arial" w:cs="Arial"/>
          <w:b/>
          <w:bCs/>
          <w:kern w:val="32"/>
          <w:szCs w:val="18"/>
          <w:lang w:eastAsia="zh-CN"/>
        </w:rPr>
        <w:t>s</w:t>
      </w:r>
      <w:r w:rsidR="005B691B">
        <w:rPr>
          <w:rFonts w:ascii="Arial" w:hAnsi="Arial" w:cs="Arial"/>
          <w:b/>
          <w:bCs/>
          <w:kern w:val="32"/>
          <w:szCs w:val="18"/>
          <w:lang w:eastAsia="zh-CN"/>
        </w:rPr>
        <w:t xml:space="preserve"> Legends</w:t>
      </w:r>
    </w:p>
    <w:p w14:paraId="414FC5F0" w14:textId="583CC01C" w:rsidR="0027063A" w:rsidRPr="006F1936" w:rsidRDefault="0027063A" w:rsidP="0027063A">
      <w:pPr>
        <w:widowControl w:val="0"/>
        <w:pBdr>
          <w:top w:val="nil"/>
          <w:left w:val="nil"/>
          <w:bottom w:val="nil"/>
          <w:right w:val="nil"/>
          <w:between w:val="nil"/>
        </w:pBdr>
        <w:contextualSpacing/>
        <w:rPr>
          <w:rFonts w:ascii="Arial" w:hAnsi="Arial" w:cs="Arial"/>
          <w:color w:val="000000"/>
          <w:sz w:val="20"/>
          <w:lang w:val="en-GB"/>
        </w:rPr>
      </w:pPr>
    </w:p>
    <w:p w14:paraId="2DA2E5DD" w14:textId="2B8A8FC7" w:rsidR="009B4347" w:rsidRPr="00034A0A" w:rsidRDefault="009B4347" w:rsidP="009B4347">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color w:val="000000"/>
          <w:sz w:val="20"/>
          <w:lang w:val="en-GB"/>
        </w:rPr>
        <w:t>Figure S1 related to Figure 1:</w:t>
      </w:r>
      <w:r w:rsidRPr="00034A0A">
        <w:rPr>
          <w:rFonts w:ascii="Arial" w:hAnsi="Arial" w:cs="Arial"/>
          <w:b/>
          <w:bCs/>
          <w:color w:val="000000"/>
          <w:sz w:val="20"/>
          <w:lang w:val="en-GB"/>
        </w:rPr>
        <w:t xml:space="preserve"> </w:t>
      </w:r>
    </w:p>
    <w:p w14:paraId="5D591425" w14:textId="77777777" w:rsidR="009B4347" w:rsidRDefault="009B4347" w:rsidP="009B4347">
      <w:pPr>
        <w:widowControl w:val="0"/>
        <w:pBdr>
          <w:top w:val="nil"/>
          <w:left w:val="nil"/>
          <w:bottom w:val="nil"/>
          <w:right w:val="nil"/>
          <w:between w:val="nil"/>
        </w:pBdr>
        <w:contextualSpacing/>
        <w:rPr>
          <w:rFonts w:ascii="Arial" w:hAnsi="Arial" w:cs="Arial"/>
          <w:bCs/>
          <w:color w:val="000000"/>
          <w:sz w:val="20"/>
          <w:lang w:val="en-GB"/>
        </w:rPr>
      </w:pPr>
      <w:r w:rsidRPr="006F1936">
        <w:rPr>
          <w:rFonts w:ascii="Arial" w:hAnsi="Arial" w:cs="Arial"/>
          <w:bCs/>
          <w:color w:val="000000"/>
          <w:sz w:val="20"/>
          <w:lang w:val="en-GB"/>
        </w:rPr>
        <w:t>(A)</w:t>
      </w:r>
      <w:r w:rsidRPr="00FC4512">
        <w:rPr>
          <w:rFonts w:ascii="Arial" w:hAnsi="Arial" w:cs="Arial"/>
          <w:bCs/>
          <w:color w:val="000000"/>
          <w:sz w:val="20"/>
          <w:lang w:val="en-GB"/>
        </w:rPr>
        <w:t xml:space="preserve"> </w:t>
      </w:r>
      <w:r w:rsidRPr="006F1936">
        <w:rPr>
          <w:rFonts w:ascii="Arial" w:hAnsi="Arial" w:cs="Arial"/>
          <w:bCs/>
          <w:color w:val="000000"/>
          <w:sz w:val="20"/>
          <w:lang w:val="en-GB"/>
        </w:rPr>
        <w:t xml:space="preserve">Quantification of trabecular </w:t>
      </w:r>
      <w:r>
        <w:rPr>
          <w:rFonts w:ascii="Arial" w:hAnsi="Arial" w:cs="Arial"/>
          <w:bCs/>
          <w:color w:val="000000"/>
          <w:sz w:val="20"/>
          <w:lang w:val="en-GB"/>
        </w:rPr>
        <w:t xml:space="preserve">bone </w:t>
      </w:r>
      <w:r w:rsidRPr="006F1936">
        <w:rPr>
          <w:rFonts w:ascii="Arial" w:hAnsi="Arial" w:cs="Arial"/>
          <w:bCs/>
          <w:color w:val="000000"/>
          <w:sz w:val="20"/>
          <w:lang w:val="en-GB"/>
        </w:rPr>
        <w:t>thickness from microCT scans.</w:t>
      </w:r>
      <w:r w:rsidRPr="00466D76">
        <w:rPr>
          <w:rFonts w:ascii="Arial" w:hAnsi="Arial" w:cs="Arial"/>
          <w:bCs/>
          <w:color w:val="000000"/>
          <w:sz w:val="20"/>
          <w:lang w:val="en-GB"/>
        </w:rPr>
        <w:t xml:space="preserve"> </w:t>
      </w:r>
      <w:r w:rsidRPr="006F1936">
        <w:rPr>
          <w:rFonts w:ascii="Arial" w:hAnsi="Arial" w:cs="Arial"/>
          <w:bCs/>
          <w:color w:val="000000"/>
          <w:sz w:val="20"/>
          <w:lang w:val="en-GB"/>
        </w:rPr>
        <w:t>n=4. (B)</w:t>
      </w:r>
      <w:r w:rsidRPr="00FC4512">
        <w:rPr>
          <w:rFonts w:ascii="Arial" w:hAnsi="Arial" w:cs="Arial"/>
          <w:bCs/>
          <w:color w:val="000000"/>
          <w:sz w:val="20"/>
          <w:lang w:val="en-GB"/>
        </w:rPr>
        <w:t xml:space="preserve"> </w:t>
      </w:r>
      <w:r w:rsidRPr="006F1936">
        <w:rPr>
          <w:rFonts w:ascii="Arial" w:hAnsi="Arial" w:cs="Arial"/>
          <w:bCs/>
          <w:color w:val="000000"/>
          <w:sz w:val="20"/>
          <w:lang w:val="en-GB"/>
        </w:rPr>
        <w:t xml:space="preserve">Quantification of bone volume relative to total volume from micro-CT scans. </w:t>
      </w:r>
      <w:r>
        <w:rPr>
          <w:rFonts w:ascii="Arial" w:hAnsi="Arial" w:cs="Arial"/>
          <w:bCs/>
          <w:color w:val="000000"/>
          <w:sz w:val="20"/>
          <w:lang w:val="en-GB"/>
        </w:rPr>
        <w:t xml:space="preserve">n=4. </w:t>
      </w:r>
      <w:r w:rsidRPr="006F1936">
        <w:rPr>
          <w:rFonts w:ascii="Arial" w:hAnsi="Arial" w:cs="Arial"/>
          <w:bCs/>
          <w:color w:val="000000"/>
          <w:sz w:val="20"/>
          <w:lang w:val="en-GB"/>
        </w:rPr>
        <w:t xml:space="preserve">(C-E) Low </w:t>
      </w:r>
      <w:r w:rsidRPr="006F1936">
        <w:rPr>
          <w:rFonts w:ascii="Arial" w:hAnsi="Arial" w:cs="Arial"/>
          <w:bCs/>
          <w:i/>
          <w:color w:val="000000"/>
          <w:sz w:val="20"/>
          <w:lang w:val="en-GB"/>
        </w:rPr>
        <w:t>Opg</w:t>
      </w:r>
      <w:r w:rsidRPr="006F1936">
        <w:rPr>
          <w:rFonts w:ascii="Arial" w:hAnsi="Arial" w:cs="Arial"/>
          <w:bCs/>
          <w:color w:val="000000"/>
          <w:sz w:val="20"/>
          <w:lang w:val="en-GB"/>
        </w:rPr>
        <w:t xml:space="preserve"> mRNA levels </w:t>
      </w:r>
      <w:r>
        <w:rPr>
          <w:rFonts w:ascii="Arial" w:hAnsi="Arial" w:cs="Arial"/>
          <w:bCs/>
          <w:color w:val="000000"/>
          <w:sz w:val="20"/>
          <w:lang w:val="en-GB"/>
        </w:rPr>
        <w:t>were</w:t>
      </w:r>
      <w:r w:rsidRPr="006F1936">
        <w:rPr>
          <w:rFonts w:ascii="Arial" w:hAnsi="Arial" w:cs="Arial"/>
          <w:bCs/>
          <w:color w:val="000000"/>
          <w:sz w:val="20"/>
          <w:lang w:val="en-GB"/>
        </w:rPr>
        <w:t xml:space="preserve"> associated with better prognosis of patients with Ewing sarcoma. (F)</w:t>
      </w:r>
      <w:r w:rsidRPr="00944881">
        <w:rPr>
          <w:rFonts w:ascii="Arial" w:hAnsi="Arial" w:cs="Arial"/>
          <w:color w:val="000000"/>
          <w:sz w:val="20"/>
        </w:rPr>
        <w:t xml:space="preserve"> </w:t>
      </w:r>
      <w:r w:rsidRPr="006F1936">
        <w:rPr>
          <w:rFonts w:ascii="Arial" w:hAnsi="Arial" w:cs="Arial"/>
          <w:bCs/>
          <w:color w:val="000000"/>
          <w:sz w:val="20"/>
          <w:lang w:val="en-GB"/>
        </w:rPr>
        <w:t xml:space="preserve">Kaplan Meier analysis in patients with mixed sarcoma according with </w:t>
      </w:r>
      <w:r w:rsidRPr="006F1936">
        <w:rPr>
          <w:rFonts w:ascii="Arial" w:hAnsi="Arial" w:cs="Arial"/>
          <w:bCs/>
          <w:i/>
          <w:color w:val="000000"/>
          <w:sz w:val="20"/>
          <w:lang w:val="en-GB"/>
        </w:rPr>
        <w:t>Opg</w:t>
      </w:r>
      <w:r w:rsidRPr="006F1936">
        <w:rPr>
          <w:rFonts w:ascii="Arial" w:hAnsi="Arial" w:cs="Arial"/>
          <w:bCs/>
          <w:color w:val="000000"/>
          <w:sz w:val="20"/>
          <w:lang w:val="en-GB"/>
        </w:rPr>
        <w:t xml:space="preserve"> mRNA levels. Data are shown as mean ± SD.</w:t>
      </w:r>
      <w:r w:rsidRPr="00944881">
        <w:rPr>
          <w:rFonts w:ascii="Arial" w:hAnsi="Arial" w:cs="Arial"/>
          <w:color w:val="000000"/>
          <w:sz w:val="20"/>
        </w:rPr>
        <w:t xml:space="preserve"> </w:t>
      </w:r>
      <w:r w:rsidRPr="006F1936">
        <w:rPr>
          <w:rFonts w:ascii="Arial" w:hAnsi="Arial" w:cs="Arial"/>
          <w:bCs/>
          <w:color w:val="000000"/>
          <w:sz w:val="20"/>
          <w:lang w:val="en-GB"/>
        </w:rPr>
        <w:t>* p&lt;0.05, ** p&lt;0.01, *** p&lt;0.001, n.s. not significant.</w:t>
      </w:r>
    </w:p>
    <w:p w14:paraId="32FF5E77" w14:textId="340ADD0A" w:rsidR="009B4347" w:rsidRDefault="009B4347" w:rsidP="0027063A">
      <w:pPr>
        <w:widowControl w:val="0"/>
        <w:pBdr>
          <w:top w:val="nil"/>
          <w:left w:val="nil"/>
          <w:bottom w:val="nil"/>
          <w:right w:val="nil"/>
          <w:between w:val="nil"/>
        </w:pBdr>
        <w:contextualSpacing/>
        <w:rPr>
          <w:rFonts w:ascii="Arial" w:hAnsi="Arial" w:cs="Arial"/>
          <w:color w:val="000000"/>
          <w:sz w:val="20"/>
          <w:lang w:val="en-GB"/>
        </w:rPr>
      </w:pPr>
    </w:p>
    <w:p w14:paraId="6B437184" w14:textId="7DBA9B62" w:rsidR="009B4347" w:rsidRPr="00524EDA" w:rsidRDefault="009B4347" w:rsidP="009B4347">
      <w:pPr>
        <w:widowControl w:val="0"/>
        <w:pBdr>
          <w:top w:val="nil"/>
          <w:left w:val="nil"/>
          <w:bottom w:val="nil"/>
          <w:right w:val="nil"/>
          <w:between w:val="nil"/>
        </w:pBdr>
        <w:contextualSpacing/>
        <w:rPr>
          <w:rFonts w:ascii="Arial" w:hAnsi="Arial" w:cs="Arial"/>
          <w:b/>
          <w:color w:val="000000"/>
          <w:sz w:val="20"/>
          <w:lang w:val="en-GB"/>
        </w:rPr>
      </w:pPr>
      <w:bookmarkStart w:id="2" w:name="OLE_LINK3"/>
      <w:r w:rsidRPr="00524EDA">
        <w:rPr>
          <w:rFonts w:ascii="Arial" w:hAnsi="Arial" w:cs="Arial"/>
          <w:b/>
          <w:color w:val="000000"/>
          <w:sz w:val="20"/>
          <w:lang w:val="en-GB"/>
        </w:rPr>
        <w:t xml:space="preserve">Figure S2 related to Figure 2: </w:t>
      </w:r>
    </w:p>
    <w:bookmarkEnd w:id="2"/>
    <w:p w14:paraId="1566D396" w14:textId="77777777" w:rsidR="009B4347" w:rsidRDefault="009B4347" w:rsidP="009B4347">
      <w:pPr>
        <w:widowControl w:val="0"/>
        <w:pBdr>
          <w:top w:val="nil"/>
          <w:left w:val="nil"/>
          <w:bottom w:val="nil"/>
          <w:right w:val="nil"/>
          <w:between w:val="nil"/>
        </w:pBdr>
        <w:contextualSpacing/>
        <w:rPr>
          <w:rFonts w:ascii="Arial" w:hAnsi="Arial" w:cs="Arial"/>
          <w:color w:val="000000"/>
          <w:sz w:val="20"/>
          <w:lang w:val="en-GB"/>
        </w:rPr>
      </w:pPr>
      <w:r w:rsidRPr="006F1936">
        <w:rPr>
          <w:rFonts w:ascii="Arial" w:hAnsi="Arial" w:cs="Arial"/>
          <w:color w:val="000000"/>
          <w:sz w:val="20"/>
          <w:lang w:val="en-GB"/>
        </w:rPr>
        <w:t xml:space="preserve">(A) Quantification of p53 mRNA expression by real-time </w:t>
      </w:r>
      <w:r>
        <w:rPr>
          <w:rFonts w:ascii="Arial" w:hAnsi="Arial" w:cs="Arial"/>
          <w:color w:val="000000"/>
          <w:sz w:val="20"/>
          <w:lang w:val="en-GB"/>
        </w:rPr>
        <w:t>q</w:t>
      </w:r>
      <w:r w:rsidRPr="006F1936">
        <w:rPr>
          <w:rFonts w:ascii="Arial" w:hAnsi="Arial" w:cs="Arial"/>
          <w:color w:val="000000"/>
          <w:sz w:val="20"/>
          <w:lang w:val="en-GB"/>
        </w:rPr>
        <w:t>PCR of p53</w:t>
      </w:r>
      <w:r w:rsidRPr="006F1936">
        <w:rPr>
          <w:rFonts w:ascii="Arial" w:hAnsi="Arial" w:cs="Arial"/>
          <w:color w:val="000000"/>
          <w:sz w:val="20"/>
          <w:vertAlign w:val="superscript"/>
          <w:lang w:val="en-GB"/>
        </w:rPr>
        <w:t>+/+</w:t>
      </w:r>
      <w:r w:rsidRPr="006F1936">
        <w:rPr>
          <w:rFonts w:ascii="Arial" w:hAnsi="Arial" w:cs="Arial"/>
          <w:color w:val="000000"/>
          <w:sz w:val="20"/>
          <w:lang w:val="en-GB"/>
        </w:rPr>
        <w:t>,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and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w:t>
      </w:r>
      <w:r w:rsidRPr="006F1936">
        <w:rPr>
          <w:rFonts w:ascii="Arial" w:hAnsi="Arial" w:cs="Arial"/>
          <w:bCs/>
          <w:color w:val="000000"/>
          <w:sz w:val="20"/>
          <w:lang w:val="en-GB"/>
        </w:rPr>
        <w:t xml:space="preserve"> Data are shown as mean ± SEM.</w:t>
      </w:r>
      <w:r w:rsidRPr="002D4649">
        <w:rPr>
          <w:rFonts w:ascii="Arial" w:hAnsi="Arial" w:cs="Arial"/>
          <w:color w:val="000000"/>
          <w:sz w:val="20"/>
        </w:rPr>
        <w:t xml:space="preserve"> </w:t>
      </w:r>
      <w:r w:rsidRPr="006F1936">
        <w:rPr>
          <w:rFonts w:ascii="Arial" w:hAnsi="Arial" w:cs="Arial"/>
          <w:bCs/>
          <w:color w:val="000000"/>
          <w:sz w:val="20"/>
          <w:lang w:val="en-GB"/>
        </w:rPr>
        <w:t>*** p&lt;0.001.</w:t>
      </w:r>
      <w:r w:rsidRPr="006F1936">
        <w:rPr>
          <w:rFonts w:ascii="Arial" w:hAnsi="Arial" w:cs="Arial"/>
          <w:color w:val="000000"/>
          <w:sz w:val="20"/>
          <w:lang w:val="en-GB"/>
        </w:rPr>
        <w:t xml:space="preserve"> (B) Quantification of p53 protein levels in p53</w:t>
      </w:r>
      <w:r w:rsidRPr="006F1936">
        <w:rPr>
          <w:rFonts w:ascii="Arial" w:hAnsi="Arial" w:cs="Arial"/>
          <w:color w:val="000000"/>
          <w:sz w:val="20"/>
          <w:vertAlign w:val="superscript"/>
          <w:lang w:val="en-GB"/>
        </w:rPr>
        <w:t>+/+</w:t>
      </w:r>
      <w:r w:rsidRPr="006F1936">
        <w:rPr>
          <w:rFonts w:ascii="Arial" w:hAnsi="Arial" w:cs="Arial"/>
          <w:color w:val="000000"/>
          <w:sz w:val="20"/>
          <w:lang w:val="en-GB"/>
        </w:rPr>
        <w:t>,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and p53</w:t>
      </w:r>
      <w:r w:rsidRPr="006F1936">
        <w:rPr>
          <w:rFonts w:ascii="Arial" w:hAnsi="Arial" w:cs="Arial"/>
          <w:color w:val="000000"/>
          <w:sz w:val="20"/>
          <w:vertAlign w:val="superscript"/>
          <w:lang w:val="en-GB"/>
        </w:rPr>
        <w:t xml:space="preserve">-/- </w:t>
      </w:r>
      <w:r w:rsidRPr="006F1936">
        <w:rPr>
          <w:rFonts w:ascii="Arial" w:hAnsi="Arial" w:cs="Arial"/>
          <w:color w:val="000000"/>
          <w:sz w:val="20"/>
          <w:lang w:val="en-GB"/>
        </w:rPr>
        <w:t>MSCs by western blot. (C)</w:t>
      </w:r>
      <w:r w:rsidRPr="00944881">
        <w:rPr>
          <w:rFonts w:ascii="Arial" w:hAnsi="Arial" w:cs="Arial"/>
          <w:color w:val="000000"/>
          <w:sz w:val="20"/>
        </w:rPr>
        <w:t xml:space="preserve"> </w:t>
      </w:r>
      <w:r w:rsidRPr="006F1936">
        <w:rPr>
          <w:rFonts w:ascii="Arial" w:hAnsi="Arial" w:cs="Arial"/>
          <w:color w:val="000000"/>
          <w:sz w:val="20"/>
          <w:lang w:val="en-GB"/>
        </w:rPr>
        <w:t>MSCs surface markers were analyzed by flow cytometry.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and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 were stained with the indicated antibodies or isotype controls and analyzed by flow cytometry. Data were analyzed by FCS Express software. Areas in grey shadow represent isotype controls; red lines represent specific antibodies.</w:t>
      </w:r>
    </w:p>
    <w:p w14:paraId="760AD257" w14:textId="1FCE98BC" w:rsidR="009B4347" w:rsidRDefault="009B4347" w:rsidP="0027063A">
      <w:pPr>
        <w:widowControl w:val="0"/>
        <w:pBdr>
          <w:top w:val="nil"/>
          <w:left w:val="nil"/>
          <w:bottom w:val="nil"/>
          <w:right w:val="nil"/>
          <w:between w:val="nil"/>
        </w:pBdr>
        <w:contextualSpacing/>
        <w:rPr>
          <w:rFonts w:ascii="Arial" w:hAnsi="Arial" w:cs="Arial"/>
          <w:color w:val="000000"/>
          <w:sz w:val="20"/>
          <w:lang w:val="en-GB"/>
        </w:rPr>
      </w:pPr>
    </w:p>
    <w:p w14:paraId="6D133BD2" w14:textId="7AE7F37D" w:rsidR="009B4347" w:rsidRPr="00524EDA" w:rsidRDefault="009B4347" w:rsidP="009B4347">
      <w:pPr>
        <w:widowControl w:val="0"/>
        <w:pBdr>
          <w:top w:val="nil"/>
          <w:left w:val="nil"/>
          <w:bottom w:val="nil"/>
          <w:right w:val="nil"/>
          <w:between w:val="nil"/>
        </w:pBdr>
        <w:contextualSpacing/>
        <w:rPr>
          <w:rFonts w:ascii="Arial" w:hAnsi="Arial" w:cs="Arial"/>
          <w:b/>
          <w:color w:val="000000"/>
          <w:sz w:val="20"/>
          <w:lang w:val="en-GB"/>
        </w:rPr>
      </w:pPr>
      <w:r w:rsidRPr="00524EDA">
        <w:rPr>
          <w:rFonts w:ascii="Arial" w:hAnsi="Arial" w:cs="Arial"/>
          <w:b/>
          <w:color w:val="000000"/>
          <w:sz w:val="20"/>
          <w:lang w:val="en-GB"/>
        </w:rPr>
        <w:t xml:space="preserve">Figure S3 related to Figure 3: </w:t>
      </w:r>
    </w:p>
    <w:p w14:paraId="15EAEA57" w14:textId="77777777" w:rsidR="009B4347" w:rsidRDefault="009B4347" w:rsidP="009B4347">
      <w:pPr>
        <w:widowControl w:val="0"/>
        <w:pBdr>
          <w:top w:val="nil"/>
          <w:left w:val="nil"/>
          <w:bottom w:val="nil"/>
          <w:right w:val="nil"/>
          <w:between w:val="nil"/>
        </w:pBdr>
        <w:contextualSpacing/>
        <w:rPr>
          <w:rFonts w:ascii="Arial" w:hAnsi="Arial" w:cs="Arial"/>
          <w:color w:val="000000"/>
          <w:sz w:val="20"/>
          <w:lang w:val="en-GB"/>
        </w:rPr>
      </w:pPr>
      <w:r w:rsidRPr="006F1936">
        <w:rPr>
          <w:rFonts w:ascii="Arial" w:hAnsi="Arial" w:cs="Arial"/>
          <w:color w:val="000000"/>
          <w:sz w:val="20"/>
          <w:lang w:val="en-GB"/>
        </w:rPr>
        <w:t>(A) Annexin V and propidium iodide double staining of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 treated with the vehicle dimethyl sulfoxide (DMSO), or with cisplatin. Data were analysed by FCS-Express software. (B) Quantification of p53 mRNA expression in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 treated with cisplatin for 48 hours. The experiments were repeated twice. (C) Quatification of p53 protein </w:t>
      </w:r>
      <w:r>
        <w:rPr>
          <w:rFonts w:ascii="Arial" w:hAnsi="Arial" w:cs="Arial"/>
          <w:color w:val="000000"/>
          <w:sz w:val="20"/>
          <w:lang w:val="en-GB"/>
        </w:rPr>
        <w:t>levels</w:t>
      </w:r>
      <w:r w:rsidRPr="006F1936">
        <w:rPr>
          <w:rFonts w:ascii="Arial" w:hAnsi="Arial" w:cs="Arial"/>
          <w:color w:val="000000"/>
          <w:sz w:val="20"/>
          <w:lang w:val="en-GB"/>
        </w:rPr>
        <w:t xml:space="preserve"> in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 after cisplatin treatment. (D) </w:t>
      </w:r>
      <w:r w:rsidRPr="006F1936">
        <w:rPr>
          <w:rFonts w:ascii="Arial" w:hAnsi="Arial" w:cs="Arial"/>
          <w:i/>
          <w:color w:val="000000"/>
          <w:sz w:val="20"/>
          <w:lang w:val="en-GB"/>
        </w:rPr>
        <w:t>Opg</w:t>
      </w:r>
      <w:r w:rsidRPr="006F1936">
        <w:rPr>
          <w:rFonts w:ascii="Arial" w:hAnsi="Arial" w:cs="Arial"/>
          <w:color w:val="000000"/>
          <w:sz w:val="20"/>
          <w:lang w:val="en-GB"/>
        </w:rPr>
        <w:t xml:space="preserve"> mRNA expression in p53</w:t>
      </w:r>
      <w:r w:rsidRPr="006F1936">
        <w:rPr>
          <w:rFonts w:ascii="Arial" w:hAnsi="Arial" w:cs="Arial"/>
          <w:color w:val="000000"/>
          <w:sz w:val="20"/>
          <w:vertAlign w:val="superscript"/>
          <w:lang w:val="en-GB"/>
        </w:rPr>
        <w:t>+/+</w:t>
      </w:r>
      <w:r w:rsidRPr="006F1936">
        <w:rPr>
          <w:rFonts w:ascii="Arial" w:hAnsi="Arial" w:cs="Arial"/>
          <w:color w:val="000000"/>
          <w:sz w:val="20"/>
          <w:lang w:val="en-GB"/>
        </w:rPr>
        <w:t xml:space="preserve"> MSCs treated with cisplatin for 48h.</w:t>
      </w:r>
      <w:r w:rsidRPr="006F1936">
        <w:rPr>
          <w:rFonts w:ascii="Arial" w:hAnsi="Arial" w:cs="Arial"/>
          <w:bCs/>
          <w:color w:val="000000"/>
          <w:sz w:val="20"/>
          <w:lang w:val="en-GB"/>
        </w:rPr>
        <w:t xml:space="preserve"> (E and F) </w:t>
      </w:r>
      <w:r w:rsidRPr="006F1936">
        <w:rPr>
          <w:rFonts w:ascii="Arial" w:hAnsi="Arial" w:cs="Arial"/>
          <w:color w:val="000000"/>
          <w:sz w:val="20"/>
          <w:lang w:val="en-GB"/>
        </w:rPr>
        <w:t>Human umbilical cord derived MSCs were infected by p53 shRNA (shp53) lentiviral particles or control shRNA lentiviral particles (shCtrl) for 24 hours. Puromycin was then added to the culture at the concentration of (3 μg/ml) after removal of lentiviral particles. Cells were harvested and collected after 3 days for the detection of p53 at mRNA (E) and protein level (F). (G) OPG mRNA quantification after silencing p53 in human umbilical cord derived MSCs.</w:t>
      </w:r>
      <w:r w:rsidRPr="006F1936">
        <w:rPr>
          <w:rFonts w:ascii="Arial" w:hAnsi="Arial" w:cs="Arial"/>
          <w:bCs/>
          <w:color w:val="000000"/>
          <w:sz w:val="20"/>
          <w:lang w:val="en-GB"/>
        </w:rPr>
        <w:t xml:space="preserve"> Data are shown as mean ± SEM. * p&lt;0.05, *** p&lt;0.001.</w:t>
      </w:r>
      <w:r w:rsidRPr="006F1936">
        <w:rPr>
          <w:rFonts w:ascii="Arial" w:hAnsi="Arial" w:cs="Arial"/>
          <w:color w:val="000000"/>
          <w:sz w:val="20"/>
          <w:lang w:val="en-GB"/>
        </w:rPr>
        <w:t xml:space="preserve"> The experiments were repeated at least twice (biological replicates) with similar results.  </w:t>
      </w:r>
    </w:p>
    <w:p w14:paraId="2B11B06A" w14:textId="5BE375C3" w:rsidR="00FA1B0F" w:rsidRDefault="00FA1B0F" w:rsidP="0027063A">
      <w:pPr>
        <w:widowControl w:val="0"/>
        <w:pBdr>
          <w:top w:val="nil"/>
          <w:left w:val="nil"/>
          <w:bottom w:val="nil"/>
          <w:right w:val="nil"/>
          <w:between w:val="nil"/>
        </w:pBdr>
        <w:contextualSpacing/>
        <w:rPr>
          <w:rFonts w:ascii="Arial" w:hAnsi="Arial" w:cs="Arial"/>
          <w:color w:val="000000"/>
          <w:sz w:val="20"/>
          <w:lang w:val="en-GB"/>
        </w:rPr>
      </w:pPr>
    </w:p>
    <w:p w14:paraId="02EBA8A6" w14:textId="2F74EA0A" w:rsidR="009B4347" w:rsidRPr="00524EDA" w:rsidRDefault="009B4347" w:rsidP="00CC259F">
      <w:pPr>
        <w:widowControl w:val="0"/>
        <w:pBdr>
          <w:top w:val="nil"/>
          <w:left w:val="nil"/>
          <w:bottom w:val="nil"/>
          <w:right w:val="nil"/>
          <w:between w:val="nil"/>
        </w:pBdr>
        <w:spacing w:after="0"/>
        <w:contextualSpacing/>
        <w:rPr>
          <w:rFonts w:ascii="Arial" w:hAnsi="Arial" w:cs="Arial"/>
          <w:b/>
          <w:color w:val="000000"/>
          <w:sz w:val="20"/>
          <w:lang w:val="en-GB"/>
        </w:rPr>
      </w:pPr>
      <w:r w:rsidRPr="00524EDA">
        <w:rPr>
          <w:rFonts w:ascii="Arial" w:hAnsi="Arial" w:cs="Arial"/>
          <w:b/>
          <w:color w:val="000000"/>
          <w:sz w:val="20"/>
          <w:lang w:val="en-GB"/>
        </w:rPr>
        <w:t xml:space="preserve">Figure S4 related to Figure 4: </w:t>
      </w:r>
      <w:bookmarkStart w:id="3" w:name="_GoBack"/>
      <w:bookmarkEnd w:id="3"/>
    </w:p>
    <w:p w14:paraId="25B1A3E0" w14:textId="2F99F17D" w:rsidR="009B4347" w:rsidRPr="000D77CA" w:rsidRDefault="000D77CA" w:rsidP="000D77CA">
      <w:pPr>
        <w:widowControl w:val="0"/>
        <w:pBdr>
          <w:top w:val="nil"/>
          <w:left w:val="nil"/>
          <w:bottom w:val="nil"/>
          <w:right w:val="nil"/>
          <w:between w:val="nil"/>
        </w:pBdr>
        <w:contextualSpacing/>
        <w:rPr>
          <w:rFonts w:ascii="Arial" w:hAnsi="Arial" w:cs="Arial"/>
          <w:color w:val="000000"/>
          <w:sz w:val="20"/>
          <w:lang w:val="en-GB"/>
        </w:rPr>
      </w:pPr>
      <w:r w:rsidRPr="000D77CA">
        <w:rPr>
          <w:rFonts w:ascii="Arial" w:hAnsi="Arial" w:cs="Arial"/>
          <w:color w:val="000000"/>
          <w:sz w:val="20"/>
          <w:lang w:val="en-GB"/>
        </w:rPr>
        <w:t>(A</w:t>
      </w:r>
      <w:r>
        <w:rPr>
          <w:rFonts w:ascii="Arial" w:hAnsi="Arial" w:cs="Arial"/>
          <w:color w:val="000000"/>
          <w:sz w:val="20"/>
          <w:lang w:val="en-GB"/>
        </w:rPr>
        <w:t xml:space="preserve">) </w:t>
      </w:r>
      <w:r w:rsidR="009B4347" w:rsidRPr="000D77CA">
        <w:rPr>
          <w:rFonts w:ascii="Arial" w:hAnsi="Arial" w:cs="Arial"/>
          <w:color w:val="000000"/>
          <w:sz w:val="20"/>
          <w:lang w:val="en-GB"/>
        </w:rPr>
        <w:t>Flow cytometry analysis of bone marrow derived monocyte subset from p53</w:t>
      </w:r>
      <w:r w:rsidR="009B4347" w:rsidRPr="000D77CA">
        <w:rPr>
          <w:rFonts w:ascii="Arial" w:hAnsi="Arial" w:cs="Arial"/>
          <w:color w:val="000000"/>
          <w:sz w:val="20"/>
          <w:vertAlign w:val="superscript"/>
          <w:lang w:val="en-GB"/>
        </w:rPr>
        <w:t xml:space="preserve">+/+ </w:t>
      </w:r>
      <w:r w:rsidR="009B4347" w:rsidRPr="000D77CA">
        <w:rPr>
          <w:rFonts w:ascii="Arial" w:hAnsi="Arial" w:cs="Arial"/>
          <w:color w:val="000000"/>
          <w:sz w:val="20"/>
          <w:lang w:val="en-GB"/>
        </w:rPr>
        <w:t>or p53</w:t>
      </w:r>
      <w:r w:rsidR="009B4347" w:rsidRPr="000D77CA">
        <w:rPr>
          <w:rFonts w:ascii="Arial" w:hAnsi="Arial" w:cs="Arial"/>
          <w:color w:val="000000"/>
          <w:sz w:val="20"/>
          <w:vertAlign w:val="superscript"/>
          <w:lang w:val="en-GB"/>
        </w:rPr>
        <w:t>-/-</w:t>
      </w:r>
      <w:r w:rsidR="009B4347" w:rsidRPr="000D77CA">
        <w:rPr>
          <w:rFonts w:ascii="Arial" w:hAnsi="Arial" w:cs="Arial"/>
          <w:color w:val="000000"/>
          <w:sz w:val="20"/>
          <w:lang w:val="en-GB"/>
        </w:rPr>
        <w:t xml:space="preserve"> mice. Cells were analyzed by antibodies to CD11b and Ly6C. (B) Representative </w:t>
      </w:r>
      <w:bookmarkStart w:id="4" w:name="OLE_LINK1"/>
      <w:r w:rsidR="009B4347" w:rsidRPr="000D77CA">
        <w:rPr>
          <w:rFonts w:ascii="Arial" w:hAnsi="Arial" w:cs="Arial"/>
          <w:color w:val="000000"/>
          <w:sz w:val="20"/>
          <w:lang w:val="en-GB"/>
        </w:rPr>
        <w:t>percentage of CD11b</w:t>
      </w:r>
      <w:r w:rsidR="009B4347" w:rsidRPr="000D77CA">
        <w:rPr>
          <w:rFonts w:ascii="Arial" w:hAnsi="Arial" w:cs="Arial"/>
          <w:color w:val="000000"/>
          <w:sz w:val="20"/>
          <w:vertAlign w:val="superscript"/>
          <w:lang w:val="en-GB"/>
        </w:rPr>
        <w:t>+</w:t>
      </w:r>
      <w:r w:rsidR="009B4347" w:rsidRPr="000D77CA">
        <w:rPr>
          <w:rFonts w:ascii="Arial" w:hAnsi="Arial" w:cs="Arial"/>
          <w:color w:val="000000"/>
          <w:sz w:val="20"/>
          <w:lang w:val="en-GB"/>
        </w:rPr>
        <w:t xml:space="preserve"> and Ly6C</w:t>
      </w:r>
      <w:r w:rsidR="009B4347" w:rsidRPr="000D77CA">
        <w:rPr>
          <w:rFonts w:ascii="Arial" w:hAnsi="Arial" w:cs="Arial"/>
          <w:color w:val="000000"/>
          <w:sz w:val="20"/>
          <w:vertAlign w:val="superscript"/>
          <w:lang w:val="en-GB"/>
        </w:rPr>
        <w:t>+</w:t>
      </w:r>
      <w:r w:rsidR="009B4347" w:rsidRPr="000D77CA">
        <w:rPr>
          <w:rFonts w:ascii="Arial" w:hAnsi="Arial" w:cs="Arial"/>
          <w:color w:val="000000"/>
          <w:sz w:val="20"/>
          <w:lang w:val="en-GB"/>
        </w:rPr>
        <w:t xml:space="preserve"> monocytes</w:t>
      </w:r>
      <w:bookmarkEnd w:id="4"/>
      <w:r w:rsidR="009B4347" w:rsidRPr="000D77CA">
        <w:rPr>
          <w:rFonts w:ascii="Arial" w:hAnsi="Arial" w:cs="Arial"/>
          <w:color w:val="000000"/>
          <w:sz w:val="20"/>
          <w:lang w:val="en-GB"/>
        </w:rPr>
        <w:t xml:space="preserve"> as described in (A). </w:t>
      </w:r>
    </w:p>
    <w:p w14:paraId="7FAB1EAC" w14:textId="72BE6280" w:rsidR="004220C9" w:rsidRPr="006E1BEC" w:rsidRDefault="006E1BEC" w:rsidP="00FA1B0F">
      <w:pPr>
        <w:pStyle w:val="a8"/>
        <w:widowControl w:val="0"/>
        <w:numPr>
          <w:ilvl w:val="0"/>
          <w:numId w:val="1"/>
        </w:numPr>
        <w:pBdr>
          <w:top w:val="nil"/>
          <w:left w:val="nil"/>
          <w:bottom w:val="nil"/>
          <w:right w:val="nil"/>
          <w:between w:val="nil"/>
        </w:pBdr>
        <w:ind w:firstLineChars="0"/>
        <w:contextualSpacing/>
        <w:rPr>
          <w:rFonts w:ascii="Arial" w:hAnsi="Arial" w:cs="Arial"/>
          <w:color w:val="000000"/>
          <w:sz w:val="20"/>
          <w:lang w:val="en-GB"/>
        </w:rPr>
      </w:pPr>
      <w:r>
        <w:rPr>
          <w:rFonts w:ascii="Arial" w:hAnsi="Arial" w:cs="Arial"/>
          <w:color w:val="000000"/>
          <w:sz w:val="20"/>
          <w:lang w:val="en-GB"/>
        </w:rPr>
        <w:br w:type="page"/>
      </w:r>
    </w:p>
    <w:p w14:paraId="4953277B" w14:textId="77777777" w:rsidR="00FA1B0F" w:rsidRPr="004E3721" w:rsidRDefault="00FA1B0F" w:rsidP="00FA1B0F">
      <w:pPr>
        <w:widowControl w:val="0"/>
        <w:pBdr>
          <w:top w:val="nil"/>
          <w:left w:val="nil"/>
          <w:bottom w:val="nil"/>
          <w:right w:val="nil"/>
          <w:between w:val="nil"/>
        </w:pBdr>
        <w:contextualSpacing/>
        <w:rPr>
          <w:rFonts w:ascii="Arial" w:hAnsi="Arial" w:cs="Arial"/>
          <w:b/>
          <w:color w:val="000000"/>
          <w:sz w:val="20"/>
          <w:lang w:val="en-GB"/>
        </w:rPr>
      </w:pPr>
      <w:r w:rsidRPr="00034A0A">
        <w:rPr>
          <w:rFonts w:ascii="Arial" w:hAnsi="Arial" w:cs="Arial"/>
          <w:b/>
          <w:color w:val="000000"/>
          <w:sz w:val="20"/>
          <w:lang w:val="en-GB"/>
        </w:rPr>
        <w:lastRenderedPageBreak/>
        <w:t xml:space="preserve">Supplementary Table 1. Primers for quantitative real time PCR. </w:t>
      </w:r>
    </w:p>
    <w:tbl>
      <w:tblPr>
        <w:tblW w:w="8640" w:type="dxa"/>
        <w:tblBorders>
          <w:top w:val="single" w:sz="8" w:space="0" w:color="4BACC6"/>
          <w:bottom w:val="single" w:sz="8" w:space="0" w:color="4BACC6"/>
        </w:tblBorders>
        <w:tblLayout w:type="fixed"/>
        <w:tblLook w:val="04A0" w:firstRow="1" w:lastRow="0" w:firstColumn="1" w:lastColumn="0" w:noHBand="0" w:noVBand="1"/>
      </w:tblPr>
      <w:tblGrid>
        <w:gridCol w:w="2694"/>
        <w:gridCol w:w="5946"/>
      </w:tblGrid>
      <w:tr w:rsidR="0073637E" w:rsidRPr="00034A0A" w14:paraId="4CE33EC9" w14:textId="77777777" w:rsidTr="00A43FCD">
        <w:tc>
          <w:tcPr>
            <w:tcW w:w="2694" w:type="dxa"/>
            <w:tcBorders>
              <w:top w:val="single" w:sz="8" w:space="0" w:color="4BACC6"/>
              <w:bottom w:val="single" w:sz="8" w:space="0" w:color="4BACC6"/>
              <w:right w:val="single" w:sz="4" w:space="0" w:color="auto"/>
            </w:tcBorders>
            <w:shd w:val="clear" w:color="auto" w:fill="auto"/>
          </w:tcPr>
          <w:p w14:paraId="161E6ECC"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Primers (mouse)</w:t>
            </w:r>
          </w:p>
        </w:tc>
        <w:tc>
          <w:tcPr>
            <w:tcW w:w="5946" w:type="dxa"/>
            <w:tcBorders>
              <w:top w:val="single" w:sz="8" w:space="0" w:color="4BACC6"/>
              <w:left w:val="single" w:sz="4" w:space="0" w:color="auto"/>
              <w:bottom w:val="single" w:sz="8" w:space="0" w:color="4BACC6"/>
            </w:tcBorders>
            <w:shd w:val="clear" w:color="auto" w:fill="auto"/>
          </w:tcPr>
          <w:p w14:paraId="288D397D"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Sequence</w:t>
            </w:r>
          </w:p>
        </w:tc>
      </w:tr>
      <w:tr w:rsidR="0073637E" w:rsidRPr="00034A0A" w14:paraId="22C3BFD4" w14:textId="77777777" w:rsidTr="00A43FCD">
        <w:tc>
          <w:tcPr>
            <w:tcW w:w="2694" w:type="dxa"/>
            <w:tcBorders>
              <w:right w:val="single" w:sz="4" w:space="0" w:color="auto"/>
            </w:tcBorders>
            <w:shd w:val="clear" w:color="auto" w:fill="D2EAF1"/>
          </w:tcPr>
          <w:p w14:paraId="44EC7EB5"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p53 forward</w:t>
            </w:r>
          </w:p>
        </w:tc>
        <w:tc>
          <w:tcPr>
            <w:tcW w:w="5946" w:type="dxa"/>
            <w:tcBorders>
              <w:left w:val="single" w:sz="4" w:space="0" w:color="auto"/>
            </w:tcBorders>
            <w:shd w:val="clear" w:color="auto" w:fill="D2EAF1"/>
          </w:tcPr>
          <w:p w14:paraId="3FC5CFDA"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5’-GTCACAGCACATGACGGAGG-3’</w:t>
            </w:r>
          </w:p>
        </w:tc>
      </w:tr>
      <w:tr w:rsidR="0073637E" w:rsidRPr="00034A0A" w14:paraId="5E3270DD" w14:textId="77777777" w:rsidTr="00A43FCD">
        <w:tc>
          <w:tcPr>
            <w:tcW w:w="2694" w:type="dxa"/>
            <w:tcBorders>
              <w:right w:val="single" w:sz="4" w:space="0" w:color="auto"/>
            </w:tcBorders>
            <w:shd w:val="clear" w:color="auto" w:fill="auto"/>
          </w:tcPr>
          <w:p w14:paraId="4AA2F57E"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p53 reverse</w:t>
            </w:r>
          </w:p>
        </w:tc>
        <w:tc>
          <w:tcPr>
            <w:tcW w:w="5946" w:type="dxa"/>
            <w:tcBorders>
              <w:left w:val="single" w:sz="4" w:space="0" w:color="auto"/>
            </w:tcBorders>
            <w:shd w:val="clear" w:color="auto" w:fill="auto"/>
          </w:tcPr>
          <w:p w14:paraId="68B0B591"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w:t>
            </w:r>
            <w:bookmarkStart w:id="5" w:name="OLE_LINK4"/>
            <w:bookmarkStart w:id="6" w:name="OLE_LINK7"/>
            <w:r w:rsidRPr="00034A0A">
              <w:rPr>
                <w:rFonts w:ascii="Arial" w:hAnsi="Arial" w:cs="Arial"/>
                <w:b/>
                <w:bCs/>
                <w:color w:val="000000"/>
                <w:sz w:val="20"/>
                <w:lang w:val="en-GB"/>
              </w:rPr>
              <w:t>TCTTCCAGATACTCGGGATAC</w:t>
            </w:r>
            <w:bookmarkEnd w:id="5"/>
            <w:bookmarkEnd w:id="6"/>
            <w:r w:rsidRPr="00034A0A">
              <w:rPr>
                <w:rFonts w:ascii="Arial" w:hAnsi="Arial" w:cs="Arial"/>
                <w:b/>
                <w:bCs/>
                <w:color w:val="000000"/>
                <w:sz w:val="20"/>
                <w:lang w:val="en-GB"/>
              </w:rPr>
              <w:t>-3’</w:t>
            </w:r>
          </w:p>
        </w:tc>
      </w:tr>
      <w:tr w:rsidR="0073637E" w:rsidRPr="00034A0A" w14:paraId="5F926130" w14:textId="77777777" w:rsidTr="00A43FCD">
        <w:tc>
          <w:tcPr>
            <w:tcW w:w="2694" w:type="dxa"/>
            <w:tcBorders>
              <w:right w:val="single" w:sz="4" w:space="0" w:color="auto"/>
            </w:tcBorders>
            <w:shd w:val="clear" w:color="auto" w:fill="D2EAF1"/>
          </w:tcPr>
          <w:p w14:paraId="5020AB6C" w14:textId="77777777" w:rsidR="0073637E" w:rsidRPr="007D0D63" w:rsidRDefault="0073637E" w:rsidP="00A43FCD">
            <w:pPr>
              <w:widowControl w:val="0"/>
              <w:pBdr>
                <w:top w:val="nil"/>
                <w:left w:val="nil"/>
                <w:bottom w:val="nil"/>
                <w:right w:val="nil"/>
                <w:between w:val="nil"/>
              </w:pBdr>
              <w:contextualSpacing/>
              <w:rPr>
                <w:rFonts w:ascii="Arial" w:hAnsi="Arial" w:cs="Arial"/>
                <w:b/>
                <w:color w:val="000000"/>
                <w:sz w:val="20"/>
                <w:lang w:val="en-GB"/>
              </w:rPr>
            </w:pPr>
            <w:r w:rsidRPr="007D0D63">
              <w:rPr>
                <w:rFonts w:ascii="Arial" w:hAnsi="Arial" w:cs="Arial"/>
                <w:b/>
                <w:bCs/>
                <w:i/>
                <w:color w:val="000000"/>
                <w:sz w:val="20"/>
                <w:lang w:val="en-GB"/>
              </w:rPr>
              <w:t>Opg</w:t>
            </w:r>
            <w:r w:rsidRPr="007D0D63">
              <w:rPr>
                <w:rFonts w:ascii="Arial" w:hAnsi="Arial" w:cs="Arial"/>
                <w:b/>
                <w:bCs/>
                <w:color w:val="000000"/>
                <w:sz w:val="20"/>
                <w:lang w:val="en-GB"/>
              </w:rPr>
              <w:t xml:space="preserve"> forward</w:t>
            </w:r>
          </w:p>
        </w:tc>
        <w:tc>
          <w:tcPr>
            <w:tcW w:w="5946" w:type="dxa"/>
            <w:tcBorders>
              <w:left w:val="single" w:sz="4" w:space="0" w:color="auto"/>
            </w:tcBorders>
            <w:shd w:val="clear" w:color="auto" w:fill="D2EAF1"/>
          </w:tcPr>
          <w:p w14:paraId="105D1F9C" w14:textId="3132500B" w:rsidR="0073637E" w:rsidRPr="007D0D63" w:rsidRDefault="0073637E" w:rsidP="00AB7573">
            <w:pPr>
              <w:widowControl w:val="0"/>
              <w:pBdr>
                <w:top w:val="nil"/>
                <w:left w:val="nil"/>
                <w:bottom w:val="nil"/>
                <w:right w:val="nil"/>
                <w:between w:val="nil"/>
              </w:pBdr>
              <w:contextualSpacing/>
              <w:rPr>
                <w:rFonts w:ascii="Arial" w:hAnsi="Arial" w:cs="Arial"/>
                <w:b/>
                <w:color w:val="000000"/>
                <w:sz w:val="20"/>
                <w:lang w:val="en-GB"/>
              </w:rPr>
            </w:pPr>
            <w:r w:rsidRPr="007D0D63">
              <w:rPr>
                <w:rFonts w:ascii="Arial" w:hAnsi="Arial" w:cs="Arial"/>
                <w:b/>
                <w:bCs/>
                <w:color w:val="000000"/>
                <w:sz w:val="20"/>
                <w:lang w:val="en-GB"/>
              </w:rPr>
              <w:t>5’-</w:t>
            </w:r>
            <w:r w:rsidR="00AB7573" w:rsidRPr="007D0D63">
              <w:rPr>
                <w:rFonts w:ascii="Arial" w:hAnsi="Arial" w:cs="Arial"/>
                <w:b/>
                <w:bCs/>
                <w:color w:val="000000"/>
                <w:sz w:val="20"/>
                <w:lang w:val="en-GB"/>
              </w:rPr>
              <w:t>ACCCAGAAACTGGTCATCAGC</w:t>
            </w:r>
            <w:r w:rsidRPr="007D0D63">
              <w:rPr>
                <w:rFonts w:ascii="Arial" w:hAnsi="Arial" w:cs="Arial"/>
                <w:b/>
                <w:bCs/>
                <w:color w:val="000000"/>
                <w:sz w:val="20"/>
                <w:lang w:val="en-GB"/>
              </w:rPr>
              <w:t>-3’</w:t>
            </w:r>
          </w:p>
        </w:tc>
      </w:tr>
      <w:tr w:rsidR="0073637E" w:rsidRPr="00034A0A" w14:paraId="5E629A83" w14:textId="77777777" w:rsidTr="00A43FCD">
        <w:tc>
          <w:tcPr>
            <w:tcW w:w="2694" w:type="dxa"/>
            <w:tcBorders>
              <w:right w:val="single" w:sz="4" w:space="0" w:color="auto"/>
            </w:tcBorders>
            <w:shd w:val="clear" w:color="auto" w:fill="auto"/>
          </w:tcPr>
          <w:p w14:paraId="0DA74D26" w14:textId="77777777" w:rsidR="0073637E" w:rsidRPr="007D0D63"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7D0D63">
              <w:rPr>
                <w:rFonts w:ascii="Arial" w:hAnsi="Arial" w:cs="Arial"/>
                <w:b/>
                <w:bCs/>
                <w:i/>
                <w:color w:val="000000"/>
                <w:sz w:val="20"/>
                <w:lang w:val="en-GB"/>
              </w:rPr>
              <w:t>Opg</w:t>
            </w:r>
            <w:r w:rsidRPr="007D0D63">
              <w:rPr>
                <w:rFonts w:ascii="Arial" w:hAnsi="Arial" w:cs="Arial"/>
                <w:b/>
                <w:bCs/>
                <w:color w:val="000000"/>
                <w:sz w:val="20"/>
                <w:lang w:val="en-GB"/>
              </w:rPr>
              <w:t xml:space="preserve"> reverse</w:t>
            </w:r>
          </w:p>
        </w:tc>
        <w:tc>
          <w:tcPr>
            <w:tcW w:w="5946" w:type="dxa"/>
            <w:tcBorders>
              <w:left w:val="single" w:sz="4" w:space="0" w:color="auto"/>
            </w:tcBorders>
            <w:shd w:val="clear" w:color="auto" w:fill="auto"/>
          </w:tcPr>
          <w:p w14:paraId="6647750E" w14:textId="56469F38" w:rsidR="0073637E" w:rsidRPr="007D0D63" w:rsidRDefault="0073637E" w:rsidP="00AB7573">
            <w:pPr>
              <w:widowControl w:val="0"/>
              <w:pBdr>
                <w:top w:val="nil"/>
                <w:left w:val="nil"/>
                <w:bottom w:val="nil"/>
                <w:right w:val="nil"/>
                <w:between w:val="nil"/>
              </w:pBdr>
              <w:contextualSpacing/>
              <w:rPr>
                <w:rFonts w:ascii="Arial" w:hAnsi="Arial" w:cs="Arial"/>
                <w:b/>
                <w:bCs/>
                <w:color w:val="000000"/>
                <w:sz w:val="20"/>
                <w:lang w:val="en-GB"/>
              </w:rPr>
            </w:pPr>
            <w:r w:rsidRPr="007D0D63">
              <w:rPr>
                <w:rFonts w:ascii="Arial" w:hAnsi="Arial" w:cs="Arial"/>
                <w:b/>
                <w:bCs/>
                <w:color w:val="000000"/>
                <w:sz w:val="20"/>
                <w:lang w:val="en-GB"/>
              </w:rPr>
              <w:t>5’-</w:t>
            </w:r>
            <w:r w:rsidR="00AB7573" w:rsidRPr="007D0D63">
              <w:rPr>
                <w:rFonts w:ascii="Arial" w:hAnsi="Arial" w:cs="Arial"/>
                <w:b/>
                <w:bCs/>
                <w:color w:val="000000"/>
                <w:sz w:val="20"/>
                <w:lang w:val="en-GB"/>
              </w:rPr>
              <w:t>CTGCAATACACACACTCATCACT</w:t>
            </w:r>
            <w:r w:rsidRPr="007D0D63">
              <w:rPr>
                <w:rFonts w:ascii="Arial" w:hAnsi="Arial" w:cs="Arial"/>
                <w:b/>
                <w:bCs/>
                <w:color w:val="000000"/>
                <w:sz w:val="20"/>
                <w:lang w:val="en-GB"/>
              </w:rPr>
              <w:t>-3’</w:t>
            </w:r>
          </w:p>
        </w:tc>
      </w:tr>
      <w:tr w:rsidR="0073637E" w:rsidRPr="00034A0A" w14:paraId="0E21003D" w14:textId="77777777" w:rsidTr="00A43FCD">
        <w:tc>
          <w:tcPr>
            <w:tcW w:w="2694" w:type="dxa"/>
            <w:tcBorders>
              <w:right w:val="single" w:sz="4" w:space="0" w:color="auto"/>
            </w:tcBorders>
            <w:shd w:val="clear" w:color="auto" w:fill="D2EAF1"/>
          </w:tcPr>
          <w:p w14:paraId="65D2B23E"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Runx2</w:t>
            </w:r>
            <w:r w:rsidRPr="00034A0A">
              <w:rPr>
                <w:rFonts w:ascii="Arial" w:hAnsi="Arial" w:cs="Arial"/>
                <w:b/>
                <w:bCs/>
                <w:color w:val="000000"/>
                <w:sz w:val="20"/>
                <w:lang w:val="en-GB"/>
              </w:rPr>
              <w:t xml:space="preserve"> forward</w:t>
            </w:r>
          </w:p>
        </w:tc>
        <w:tc>
          <w:tcPr>
            <w:tcW w:w="5946" w:type="dxa"/>
            <w:tcBorders>
              <w:left w:val="single" w:sz="4" w:space="0" w:color="auto"/>
            </w:tcBorders>
            <w:shd w:val="clear" w:color="auto" w:fill="D2EAF1"/>
          </w:tcPr>
          <w:p w14:paraId="5F0CEE5B"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 CCACGGCCCTCCCTGAACTCT -3’</w:t>
            </w:r>
          </w:p>
        </w:tc>
      </w:tr>
      <w:tr w:rsidR="0073637E" w:rsidRPr="00034A0A" w14:paraId="21376E30" w14:textId="77777777" w:rsidTr="00A43FCD">
        <w:tc>
          <w:tcPr>
            <w:tcW w:w="2694" w:type="dxa"/>
            <w:tcBorders>
              <w:right w:val="single" w:sz="4" w:space="0" w:color="auto"/>
            </w:tcBorders>
            <w:shd w:val="clear" w:color="auto" w:fill="auto"/>
          </w:tcPr>
          <w:p w14:paraId="2312DC35"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Runx2</w:t>
            </w:r>
            <w:r w:rsidRPr="00034A0A">
              <w:rPr>
                <w:rFonts w:ascii="Arial" w:hAnsi="Arial" w:cs="Arial"/>
                <w:b/>
                <w:bCs/>
                <w:color w:val="000000"/>
                <w:sz w:val="20"/>
                <w:lang w:val="en-GB"/>
              </w:rPr>
              <w:t xml:space="preserve"> reverse</w:t>
            </w:r>
          </w:p>
        </w:tc>
        <w:tc>
          <w:tcPr>
            <w:tcW w:w="5946" w:type="dxa"/>
            <w:tcBorders>
              <w:left w:val="single" w:sz="4" w:space="0" w:color="auto"/>
            </w:tcBorders>
            <w:shd w:val="clear" w:color="auto" w:fill="auto"/>
          </w:tcPr>
          <w:p w14:paraId="2596B200"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 ACTGGCGGGGTGTAGGTAAAGGTG -3’</w:t>
            </w:r>
          </w:p>
        </w:tc>
      </w:tr>
      <w:tr w:rsidR="0073637E" w:rsidRPr="00034A0A" w14:paraId="60513C33" w14:textId="77777777" w:rsidTr="00A43FCD">
        <w:tc>
          <w:tcPr>
            <w:tcW w:w="2694" w:type="dxa"/>
            <w:tcBorders>
              <w:right w:val="single" w:sz="4" w:space="0" w:color="auto"/>
            </w:tcBorders>
            <w:shd w:val="clear" w:color="auto" w:fill="D2EAF1"/>
          </w:tcPr>
          <w:p w14:paraId="668AE627" w14:textId="77777777" w:rsidR="0073637E" w:rsidRPr="001B00FE" w:rsidRDefault="0073637E" w:rsidP="00A43FCD">
            <w:pPr>
              <w:widowControl w:val="0"/>
              <w:pBdr>
                <w:top w:val="nil"/>
                <w:left w:val="nil"/>
                <w:bottom w:val="nil"/>
                <w:right w:val="nil"/>
                <w:between w:val="nil"/>
              </w:pBdr>
              <w:contextualSpacing/>
              <w:rPr>
                <w:rFonts w:ascii="Arial" w:hAnsi="Arial" w:cs="Arial"/>
                <w:b/>
                <w:bCs/>
                <w:sz w:val="20"/>
                <w:lang w:val="en-GB"/>
              </w:rPr>
            </w:pPr>
            <w:r w:rsidRPr="001B00FE">
              <w:rPr>
                <w:rFonts w:ascii="Arial" w:hAnsi="Arial" w:cs="Arial"/>
                <w:b/>
                <w:bCs/>
                <w:i/>
                <w:sz w:val="20"/>
                <w:lang w:val="en-GB"/>
              </w:rPr>
              <w:t>Osterix</w:t>
            </w:r>
            <w:r w:rsidRPr="001B00FE">
              <w:rPr>
                <w:rFonts w:ascii="Arial" w:hAnsi="Arial" w:cs="Arial"/>
                <w:b/>
                <w:bCs/>
                <w:sz w:val="20"/>
                <w:lang w:val="en-GB"/>
              </w:rPr>
              <w:t xml:space="preserve"> forward</w:t>
            </w:r>
          </w:p>
        </w:tc>
        <w:tc>
          <w:tcPr>
            <w:tcW w:w="5946" w:type="dxa"/>
            <w:tcBorders>
              <w:left w:val="single" w:sz="4" w:space="0" w:color="auto"/>
            </w:tcBorders>
            <w:shd w:val="clear" w:color="auto" w:fill="D2EAF1"/>
          </w:tcPr>
          <w:p w14:paraId="79AC4147"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 ATGGCGTCCTCTCTGCTTG -3’</w:t>
            </w:r>
          </w:p>
        </w:tc>
      </w:tr>
      <w:tr w:rsidR="0073637E" w:rsidRPr="00034A0A" w14:paraId="53EA157E" w14:textId="77777777" w:rsidTr="001B00FE">
        <w:trPr>
          <w:trHeight w:val="70"/>
        </w:trPr>
        <w:tc>
          <w:tcPr>
            <w:tcW w:w="2694" w:type="dxa"/>
            <w:tcBorders>
              <w:right w:val="single" w:sz="4" w:space="0" w:color="auto"/>
            </w:tcBorders>
            <w:shd w:val="clear" w:color="auto" w:fill="auto"/>
          </w:tcPr>
          <w:p w14:paraId="277F50AA" w14:textId="77777777" w:rsidR="0073637E" w:rsidRPr="001B00FE" w:rsidRDefault="0073637E" w:rsidP="00A43FCD">
            <w:pPr>
              <w:widowControl w:val="0"/>
              <w:pBdr>
                <w:top w:val="nil"/>
                <w:left w:val="nil"/>
                <w:bottom w:val="nil"/>
                <w:right w:val="nil"/>
                <w:between w:val="nil"/>
              </w:pBdr>
              <w:contextualSpacing/>
              <w:rPr>
                <w:rFonts w:ascii="Arial" w:hAnsi="Arial" w:cs="Arial"/>
                <w:b/>
                <w:bCs/>
                <w:sz w:val="20"/>
                <w:lang w:val="en-GB"/>
              </w:rPr>
            </w:pPr>
            <w:r w:rsidRPr="001B00FE">
              <w:rPr>
                <w:rFonts w:ascii="Arial" w:hAnsi="Arial" w:cs="Arial"/>
                <w:b/>
                <w:bCs/>
                <w:i/>
                <w:sz w:val="20"/>
                <w:lang w:val="en-GB"/>
              </w:rPr>
              <w:t>Osterix</w:t>
            </w:r>
            <w:r w:rsidRPr="001B00FE">
              <w:rPr>
                <w:rFonts w:ascii="Arial" w:hAnsi="Arial" w:cs="Arial"/>
                <w:b/>
                <w:bCs/>
                <w:sz w:val="20"/>
                <w:lang w:val="en-GB"/>
              </w:rPr>
              <w:t xml:space="preserve"> reverse</w:t>
            </w:r>
          </w:p>
        </w:tc>
        <w:tc>
          <w:tcPr>
            <w:tcW w:w="5946" w:type="dxa"/>
            <w:tcBorders>
              <w:left w:val="single" w:sz="4" w:space="0" w:color="auto"/>
            </w:tcBorders>
            <w:shd w:val="clear" w:color="auto" w:fill="auto"/>
          </w:tcPr>
          <w:p w14:paraId="5A463EF5"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 TGAAAGGTCAGCGTATGGCTT -3’</w:t>
            </w:r>
          </w:p>
        </w:tc>
      </w:tr>
      <w:tr w:rsidR="0073637E" w:rsidRPr="00034A0A" w14:paraId="1442CA2C" w14:textId="77777777" w:rsidTr="00A43FCD">
        <w:tc>
          <w:tcPr>
            <w:tcW w:w="2694" w:type="dxa"/>
            <w:tcBorders>
              <w:right w:val="single" w:sz="4" w:space="0" w:color="auto"/>
            </w:tcBorders>
            <w:shd w:val="clear" w:color="auto" w:fill="D2EAF1"/>
          </w:tcPr>
          <w:p w14:paraId="56477078"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Trap</w:t>
            </w:r>
            <w:r w:rsidRPr="00034A0A">
              <w:rPr>
                <w:rFonts w:ascii="Arial" w:hAnsi="Arial" w:cs="Arial"/>
                <w:b/>
                <w:bCs/>
                <w:color w:val="000000"/>
                <w:sz w:val="20"/>
                <w:lang w:val="en-GB"/>
              </w:rPr>
              <w:t xml:space="preserve"> forward</w:t>
            </w:r>
          </w:p>
        </w:tc>
        <w:tc>
          <w:tcPr>
            <w:tcW w:w="5946" w:type="dxa"/>
            <w:tcBorders>
              <w:left w:val="single" w:sz="4" w:space="0" w:color="auto"/>
            </w:tcBorders>
            <w:shd w:val="clear" w:color="auto" w:fill="D2EAF1"/>
          </w:tcPr>
          <w:p w14:paraId="0DB28270"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5’-CACTCCCACCCTGAGATTTGT-3’</w:t>
            </w:r>
          </w:p>
        </w:tc>
      </w:tr>
      <w:tr w:rsidR="0073637E" w:rsidRPr="00034A0A" w14:paraId="6701408F" w14:textId="77777777" w:rsidTr="00A43FCD">
        <w:tc>
          <w:tcPr>
            <w:tcW w:w="2694" w:type="dxa"/>
            <w:tcBorders>
              <w:right w:val="single" w:sz="4" w:space="0" w:color="auto"/>
            </w:tcBorders>
            <w:shd w:val="clear" w:color="auto" w:fill="auto"/>
          </w:tcPr>
          <w:p w14:paraId="6152B866"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Trap</w:t>
            </w:r>
            <w:r w:rsidRPr="00034A0A">
              <w:rPr>
                <w:rFonts w:ascii="Arial" w:hAnsi="Arial" w:cs="Arial"/>
                <w:b/>
                <w:bCs/>
                <w:color w:val="000000"/>
                <w:sz w:val="20"/>
                <w:lang w:val="en-GB"/>
              </w:rPr>
              <w:t xml:space="preserve"> reverse</w:t>
            </w:r>
          </w:p>
        </w:tc>
        <w:tc>
          <w:tcPr>
            <w:tcW w:w="5946" w:type="dxa"/>
            <w:tcBorders>
              <w:left w:val="single" w:sz="4" w:space="0" w:color="auto"/>
            </w:tcBorders>
            <w:shd w:val="clear" w:color="auto" w:fill="auto"/>
          </w:tcPr>
          <w:p w14:paraId="3D7906A8"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5’-CATCGTCTGCACGGTTCTG-3’</w:t>
            </w:r>
          </w:p>
        </w:tc>
      </w:tr>
      <w:tr w:rsidR="0073637E" w:rsidRPr="00034A0A" w14:paraId="54CF5B96" w14:textId="77777777" w:rsidTr="00A43FCD">
        <w:tc>
          <w:tcPr>
            <w:tcW w:w="2694" w:type="dxa"/>
            <w:tcBorders>
              <w:right w:val="single" w:sz="4" w:space="0" w:color="auto"/>
            </w:tcBorders>
            <w:shd w:val="clear" w:color="auto" w:fill="D2EAF1"/>
          </w:tcPr>
          <w:p w14:paraId="36168C82"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Itgb3</w:t>
            </w:r>
            <w:r w:rsidRPr="00034A0A">
              <w:rPr>
                <w:rFonts w:ascii="Arial" w:hAnsi="Arial" w:cs="Arial"/>
                <w:b/>
                <w:bCs/>
                <w:color w:val="000000"/>
                <w:sz w:val="20"/>
                <w:lang w:val="en-GB"/>
              </w:rPr>
              <w:t xml:space="preserve"> forward</w:t>
            </w:r>
          </w:p>
        </w:tc>
        <w:tc>
          <w:tcPr>
            <w:tcW w:w="5946" w:type="dxa"/>
            <w:tcBorders>
              <w:left w:val="single" w:sz="4" w:space="0" w:color="auto"/>
            </w:tcBorders>
            <w:shd w:val="clear" w:color="auto" w:fill="D2EAF1"/>
          </w:tcPr>
          <w:p w14:paraId="1A1939E9"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5’-CCACACGAGGCGTGAACTC-3’</w:t>
            </w:r>
          </w:p>
        </w:tc>
      </w:tr>
      <w:tr w:rsidR="0073637E" w:rsidRPr="00034A0A" w14:paraId="62667A1E" w14:textId="77777777" w:rsidTr="00A43FCD">
        <w:tc>
          <w:tcPr>
            <w:tcW w:w="2694" w:type="dxa"/>
            <w:tcBorders>
              <w:right w:val="single" w:sz="4" w:space="0" w:color="auto"/>
            </w:tcBorders>
            <w:shd w:val="clear" w:color="auto" w:fill="auto"/>
          </w:tcPr>
          <w:p w14:paraId="31F96F52"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Itgb3</w:t>
            </w:r>
            <w:r w:rsidRPr="00034A0A">
              <w:rPr>
                <w:rFonts w:ascii="Arial" w:hAnsi="Arial" w:cs="Arial"/>
                <w:b/>
                <w:bCs/>
                <w:color w:val="000000"/>
                <w:sz w:val="20"/>
                <w:lang w:val="en-GB"/>
              </w:rPr>
              <w:t xml:space="preserve"> reverse</w:t>
            </w:r>
          </w:p>
        </w:tc>
        <w:tc>
          <w:tcPr>
            <w:tcW w:w="5946" w:type="dxa"/>
            <w:tcBorders>
              <w:left w:val="single" w:sz="4" w:space="0" w:color="auto"/>
            </w:tcBorders>
            <w:shd w:val="clear" w:color="auto" w:fill="auto"/>
          </w:tcPr>
          <w:p w14:paraId="493070DC"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5’-CTTCAGGTTACATCGGGGTGA-3’</w:t>
            </w:r>
          </w:p>
        </w:tc>
      </w:tr>
      <w:tr w:rsidR="0073637E" w:rsidRPr="00034A0A" w14:paraId="1EDF27BB" w14:textId="77777777" w:rsidTr="00A43FCD">
        <w:tc>
          <w:tcPr>
            <w:tcW w:w="2694" w:type="dxa"/>
            <w:tcBorders>
              <w:right w:val="single" w:sz="4" w:space="0" w:color="auto"/>
            </w:tcBorders>
            <w:shd w:val="clear" w:color="auto" w:fill="D2EAF1"/>
          </w:tcPr>
          <w:p w14:paraId="1067B4B5" w14:textId="187D7D1F" w:rsidR="0073637E" w:rsidRPr="00034A0A" w:rsidRDefault="0073637E" w:rsidP="00D76C7E">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Act</w:t>
            </w:r>
            <w:r w:rsidR="00D76C7E">
              <w:rPr>
                <w:rFonts w:ascii="Arial" w:hAnsi="Arial" w:cs="Arial"/>
                <w:b/>
                <w:bCs/>
                <w:i/>
                <w:color w:val="000000"/>
                <w:sz w:val="20"/>
                <w:lang w:val="en-GB"/>
              </w:rPr>
              <w:t>b</w:t>
            </w:r>
            <w:r w:rsidRPr="00034A0A">
              <w:rPr>
                <w:rFonts w:ascii="Arial" w:hAnsi="Arial" w:cs="Arial"/>
                <w:b/>
                <w:bCs/>
                <w:color w:val="000000"/>
                <w:sz w:val="20"/>
                <w:lang w:val="en-GB"/>
              </w:rPr>
              <w:t xml:space="preserve"> forwards</w:t>
            </w:r>
          </w:p>
        </w:tc>
        <w:tc>
          <w:tcPr>
            <w:tcW w:w="5946" w:type="dxa"/>
            <w:tcBorders>
              <w:left w:val="single" w:sz="4" w:space="0" w:color="auto"/>
            </w:tcBorders>
            <w:shd w:val="clear" w:color="auto" w:fill="D2EAF1"/>
          </w:tcPr>
          <w:p w14:paraId="758C3521"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5’-TTCCAGCCTTCCTTCTTGGG-3’</w:t>
            </w:r>
          </w:p>
        </w:tc>
      </w:tr>
      <w:tr w:rsidR="0073637E" w:rsidRPr="00034A0A" w14:paraId="31DB6877" w14:textId="77777777" w:rsidTr="00A43FCD">
        <w:tc>
          <w:tcPr>
            <w:tcW w:w="2694" w:type="dxa"/>
            <w:tcBorders>
              <w:right w:val="single" w:sz="4" w:space="0" w:color="auto"/>
            </w:tcBorders>
            <w:shd w:val="clear" w:color="auto" w:fill="auto"/>
          </w:tcPr>
          <w:p w14:paraId="7203E468" w14:textId="2A2D551B" w:rsidR="0073637E" w:rsidRPr="00034A0A" w:rsidRDefault="0073637E" w:rsidP="00D76C7E">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Act</w:t>
            </w:r>
            <w:r w:rsidR="00D76C7E">
              <w:rPr>
                <w:rFonts w:ascii="Arial" w:hAnsi="Arial" w:cs="Arial"/>
                <w:b/>
                <w:bCs/>
                <w:i/>
                <w:color w:val="000000"/>
                <w:sz w:val="20"/>
                <w:lang w:val="en-GB"/>
              </w:rPr>
              <w:t>b</w:t>
            </w:r>
            <w:r w:rsidRPr="00034A0A">
              <w:rPr>
                <w:rFonts w:ascii="Arial" w:hAnsi="Arial" w:cs="Arial"/>
                <w:b/>
                <w:bCs/>
                <w:color w:val="000000"/>
                <w:sz w:val="20"/>
                <w:lang w:val="en-GB"/>
              </w:rPr>
              <w:t xml:space="preserve"> reverse</w:t>
            </w:r>
          </w:p>
        </w:tc>
        <w:tc>
          <w:tcPr>
            <w:tcW w:w="5946" w:type="dxa"/>
            <w:tcBorders>
              <w:left w:val="single" w:sz="4" w:space="0" w:color="auto"/>
            </w:tcBorders>
            <w:shd w:val="clear" w:color="auto" w:fill="auto"/>
          </w:tcPr>
          <w:p w14:paraId="1A5E61D2" w14:textId="77777777" w:rsidR="0073637E" w:rsidRPr="00034A0A" w:rsidRDefault="0073637E" w:rsidP="00A43FCD">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5’-TGTTGGCATAGAGGTCTTTACGG-3’</w:t>
            </w:r>
          </w:p>
        </w:tc>
      </w:tr>
    </w:tbl>
    <w:p w14:paraId="49437964" w14:textId="77777777" w:rsidR="00FA1B0F" w:rsidRDefault="00FA1B0F" w:rsidP="00FA1B0F">
      <w:pPr>
        <w:widowControl w:val="0"/>
        <w:pBdr>
          <w:top w:val="nil"/>
          <w:left w:val="nil"/>
          <w:bottom w:val="nil"/>
          <w:right w:val="nil"/>
          <w:between w:val="nil"/>
        </w:pBdr>
        <w:contextualSpacing/>
        <w:rPr>
          <w:rFonts w:ascii="Arial" w:hAnsi="Arial" w:cs="Arial"/>
          <w:b/>
          <w:color w:val="000000"/>
          <w:sz w:val="20"/>
          <w:lang w:val="en-GB"/>
        </w:rPr>
      </w:pPr>
    </w:p>
    <w:tbl>
      <w:tblPr>
        <w:tblW w:w="8856" w:type="dxa"/>
        <w:tblBorders>
          <w:top w:val="single" w:sz="8" w:space="0" w:color="4BACC6"/>
          <w:bottom w:val="single" w:sz="8" w:space="0" w:color="4BACC6"/>
        </w:tblBorders>
        <w:tblLayout w:type="fixed"/>
        <w:tblLook w:val="04A0" w:firstRow="1" w:lastRow="0" w:firstColumn="1" w:lastColumn="0" w:noHBand="0" w:noVBand="1"/>
      </w:tblPr>
      <w:tblGrid>
        <w:gridCol w:w="2798"/>
        <w:gridCol w:w="6058"/>
      </w:tblGrid>
      <w:tr w:rsidR="00954F20" w:rsidRPr="00034A0A" w14:paraId="1EC306BC" w14:textId="77777777" w:rsidTr="005A013A">
        <w:tc>
          <w:tcPr>
            <w:tcW w:w="2798" w:type="dxa"/>
            <w:tcBorders>
              <w:top w:val="single" w:sz="8" w:space="0" w:color="4BACC6"/>
              <w:bottom w:val="single" w:sz="8" w:space="0" w:color="4BACC6"/>
              <w:right w:val="single" w:sz="4" w:space="0" w:color="auto"/>
            </w:tcBorders>
            <w:shd w:val="clear" w:color="auto" w:fill="auto"/>
          </w:tcPr>
          <w:p w14:paraId="0803DF92" w14:textId="77777777" w:rsidR="00954F20" w:rsidRPr="00034A0A" w:rsidRDefault="00954F20" w:rsidP="005A013A">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Primers (human)</w:t>
            </w:r>
          </w:p>
        </w:tc>
        <w:tc>
          <w:tcPr>
            <w:tcW w:w="6058" w:type="dxa"/>
            <w:tcBorders>
              <w:top w:val="single" w:sz="8" w:space="0" w:color="4BACC6"/>
              <w:left w:val="single" w:sz="4" w:space="0" w:color="auto"/>
              <w:bottom w:val="single" w:sz="8" w:space="0" w:color="4BACC6"/>
            </w:tcBorders>
            <w:shd w:val="clear" w:color="auto" w:fill="auto"/>
          </w:tcPr>
          <w:p w14:paraId="17A48D07" w14:textId="77777777" w:rsidR="00954F20" w:rsidRPr="00034A0A" w:rsidRDefault="00954F20" w:rsidP="005A013A">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Sequence</w:t>
            </w:r>
          </w:p>
        </w:tc>
      </w:tr>
      <w:tr w:rsidR="00954F20" w:rsidRPr="00034A0A" w14:paraId="193455CF" w14:textId="77777777" w:rsidTr="005A013A">
        <w:tc>
          <w:tcPr>
            <w:tcW w:w="2798" w:type="dxa"/>
            <w:tcBorders>
              <w:right w:val="single" w:sz="4" w:space="0" w:color="auto"/>
            </w:tcBorders>
            <w:shd w:val="clear" w:color="auto" w:fill="D2EAF1"/>
          </w:tcPr>
          <w:p w14:paraId="3AE60ED2" w14:textId="77777777" w:rsidR="00954F20" w:rsidRPr="00034A0A"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034A0A">
              <w:rPr>
                <w:rFonts w:ascii="Arial" w:hAnsi="Arial" w:cs="Arial"/>
                <w:b/>
                <w:bCs/>
                <w:color w:val="000000"/>
                <w:sz w:val="20"/>
                <w:lang w:val="en-GB"/>
              </w:rPr>
              <w:t>p53 forward</w:t>
            </w:r>
          </w:p>
        </w:tc>
        <w:tc>
          <w:tcPr>
            <w:tcW w:w="6058" w:type="dxa"/>
            <w:tcBorders>
              <w:left w:val="single" w:sz="4" w:space="0" w:color="auto"/>
            </w:tcBorders>
            <w:shd w:val="clear" w:color="auto" w:fill="D2EAF1"/>
          </w:tcPr>
          <w:p w14:paraId="26D374CB" w14:textId="77777777" w:rsidR="00954F20" w:rsidRPr="00034A0A"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034A0A">
              <w:rPr>
                <w:rFonts w:ascii="Arial" w:hAnsi="Arial" w:cs="Arial"/>
                <w:b/>
                <w:color w:val="000000"/>
                <w:sz w:val="20"/>
                <w:lang w:val="en-GB"/>
              </w:rPr>
              <w:t>5’-</w:t>
            </w:r>
            <w:r w:rsidRPr="00034A0A">
              <w:rPr>
                <w:rFonts w:ascii="Arial" w:hAnsi="Arial" w:cs="Arial"/>
                <w:b/>
                <w:bCs/>
                <w:color w:val="000000"/>
                <w:sz w:val="20"/>
                <w:lang w:val="en-GB"/>
              </w:rPr>
              <w:t>CCCCTCCTGGCCCCTGTCATCTTC-3’</w:t>
            </w:r>
          </w:p>
        </w:tc>
      </w:tr>
      <w:tr w:rsidR="00954F20" w:rsidRPr="00034A0A" w14:paraId="6E9FC5FF" w14:textId="77777777" w:rsidTr="005A013A">
        <w:tc>
          <w:tcPr>
            <w:tcW w:w="2798" w:type="dxa"/>
            <w:tcBorders>
              <w:right w:val="single" w:sz="4" w:space="0" w:color="auto"/>
            </w:tcBorders>
            <w:shd w:val="clear" w:color="auto" w:fill="auto"/>
          </w:tcPr>
          <w:p w14:paraId="07CC934F" w14:textId="77777777" w:rsidR="00954F20" w:rsidRPr="007D0D63"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7D0D63">
              <w:rPr>
                <w:rFonts w:ascii="Arial" w:hAnsi="Arial" w:cs="Arial"/>
                <w:b/>
                <w:bCs/>
                <w:color w:val="000000"/>
                <w:sz w:val="20"/>
                <w:lang w:val="en-GB"/>
              </w:rPr>
              <w:t>p53 reverse</w:t>
            </w:r>
          </w:p>
        </w:tc>
        <w:tc>
          <w:tcPr>
            <w:tcW w:w="6058" w:type="dxa"/>
            <w:tcBorders>
              <w:left w:val="single" w:sz="4" w:space="0" w:color="auto"/>
            </w:tcBorders>
            <w:shd w:val="clear" w:color="auto" w:fill="auto"/>
          </w:tcPr>
          <w:p w14:paraId="4E3BFE83" w14:textId="77777777" w:rsidR="00954F20" w:rsidRPr="007D0D63"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7D0D63">
              <w:rPr>
                <w:rFonts w:ascii="Arial" w:hAnsi="Arial" w:cs="Arial"/>
                <w:b/>
                <w:bCs/>
                <w:color w:val="000000"/>
                <w:sz w:val="20"/>
                <w:lang w:val="en-GB"/>
              </w:rPr>
              <w:t>5’-GCAGCGCCTCACAACCTCCGTCAT-3’</w:t>
            </w:r>
          </w:p>
        </w:tc>
      </w:tr>
      <w:tr w:rsidR="00954F20" w:rsidRPr="00034A0A" w14:paraId="2D45EEFE" w14:textId="77777777" w:rsidTr="005A013A">
        <w:tc>
          <w:tcPr>
            <w:tcW w:w="2798" w:type="dxa"/>
            <w:tcBorders>
              <w:right w:val="single" w:sz="4" w:space="0" w:color="auto"/>
            </w:tcBorders>
            <w:shd w:val="clear" w:color="auto" w:fill="D2EAF1"/>
          </w:tcPr>
          <w:p w14:paraId="027BC2BF" w14:textId="77777777" w:rsidR="00954F20" w:rsidRPr="007D0D63" w:rsidRDefault="00954F20" w:rsidP="005A013A">
            <w:pPr>
              <w:widowControl w:val="0"/>
              <w:pBdr>
                <w:top w:val="nil"/>
                <w:left w:val="nil"/>
                <w:bottom w:val="nil"/>
                <w:right w:val="nil"/>
                <w:between w:val="nil"/>
              </w:pBdr>
              <w:contextualSpacing/>
              <w:rPr>
                <w:rFonts w:ascii="Arial" w:hAnsi="Arial" w:cs="Arial"/>
                <w:b/>
                <w:bCs/>
                <w:sz w:val="20"/>
                <w:lang w:val="en-GB"/>
              </w:rPr>
            </w:pPr>
            <w:r w:rsidRPr="007D0D63">
              <w:rPr>
                <w:rFonts w:ascii="Arial" w:hAnsi="Arial" w:cs="Arial"/>
                <w:b/>
                <w:bCs/>
                <w:i/>
                <w:sz w:val="20"/>
                <w:lang w:val="en-GB"/>
              </w:rPr>
              <w:t>OPG</w:t>
            </w:r>
            <w:r w:rsidRPr="007D0D63">
              <w:rPr>
                <w:rFonts w:ascii="Arial" w:hAnsi="Arial" w:cs="Arial"/>
                <w:b/>
                <w:bCs/>
                <w:sz w:val="20"/>
                <w:lang w:val="en-GB"/>
              </w:rPr>
              <w:t xml:space="preserve"> forward</w:t>
            </w:r>
          </w:p>
        </w:tc>
        <w:tc>
          <w:tcPr>
            <w:tcW w:w="6058" w:type="dxa"/>
            <w:tcBorders>
              <w:left w:val="single" w:sz="4" w:space="0" w:color="auto"/>
            </w:tcBorders>
            <w:shd w:val="clear" w:color="auto" w:fill="D2EAF1"/>
          </w:tcPr>
          <w:p w14:paraId="60EADDA5" w14:textId="043A11A7" w:rsidR="00954F20" w:rsidRPr="007D0D63" w:rsidRDefault="00954F20" w:rsidP="005A013A">
            <w:pPr>
              <w:widowControl w:val="0"/>
              <w:pBdr>
                <w:top w:val="nil"/>
                <w:left w:val="nil"/>
                <w:bottom w:val="nil"/>
                <w:right w:val="nil"/>
                <w:between w:val="nil"/>
              </w:pBdr>
              <w:contextualSpacing/>
              <w:rPr>
                <w:rFonts w:ascii="Arial" w:hAnsi="Arial" w:cs="Arial"/>
                <w:b/>
                <w:bCs/>
                <w:sz w:val="20"/>
                <w:lang w:val="en-GB"/>
              </w:rPr>
            </w:pPr>
            <w:r w:rsidRPr="007D0D63">
              <w:rPr>
                <w:rFonts w:ascii="Arial" w:hAnsi="Arial" w:cs="Arial"/>
                <w:b/>
                <w:bCs/>
                <w:sz w:val="20"/>
                <w:lang w:val="en-GB"/>
              </w:rPr>
              <w:t>5’-</w:t>
            </w:r>
            <w:r w:rsidR="00C42CBE" w:rsidRPr="007D0D63">
              <w:rPr>
                <w:rFonts w:ascii="Arial" w:hAnsi="Arial" w:cs="Arial"/>
                <w:b/>
                <w:bCs/>
                <w:sz w:val="20"/>
                <w:lang w:val="en-GB"/>
              </w:rPr>
              <w:t>GCGCTCGTGTTTCTGGACA</w:t>
            </w:r>
            <w:r w:rsidRPr="007D0D63">
              <w:rPr>
                <w:rFonts w:ascii="Arial" w:hAnsi="Arial" w:cs="Arial"/>
                <w:b/>
                <w:bCs/>
                <w:sz w:val="20"/>
                <w:lang w:val="en-GB"/>
              </w:rPr>
              <w:t>-3</w:t>
            </w:r>
          </w:p>
        </w:tc>
      </w:tr>
      <w:tr w:rsidR="00954F20" w:rsidRPr="00034A0A" w14:paraId="05BFE94B" w14:textId="77777777" w:rsidTr="005A013A">
        <w:tc>
          <w:tcPr>
            <w:tcW w:w="2798" w:type="dxa"/>
            <w:tcBorders>
              <w:right w:val="single" w:sz="4" w:space="0" w:color="auto"/>
            </w:tcBorders>
            <w:shd w:val="clear" w:color="auto" w:fill="auto"/>
          </w:tcPr>
          <w:p w14:paraId="6EEE4DE7" w14:textId="77777777" w:rsidR="00954F20" w:rsidRPr="007D0D63" w:rsidRDefault="00954F20" w:rsidP="005A013A">
            <w:pPr>
              <w:widowControl w:val="0"/>
              <w:pBdr>
                <w:top w:val="nil"/>
                <w:left w:val="nil"/>
                <w:bottom w:val="nil"/>
                <w:right w:val="nil"/>
                <w:between w:val="nil"/>
              </w:pBdr>
              <w:contextualSpacing/>
              <w:rPr>
                <w:rFonts w:ascii="Arial" w:hAnsi="Arial" w:cs="Arial"/>
                <w:b/>
                <w:bCs/>
                <w:sz w:val="20"/>
                <w:lang w:val="en-GB"/>
              </w:rPr>
            </w:pPr>
            <w:r w:rsidRPr="007D0D63">
              <w:rPr>
                <w:rFonts w:ascii="Arial" w:hAnsi="Arial" w:cs="Arial"/>
                <w:b/>
                <w:bCs/>
                <w:i/>
                <w:sz w:val="20"/>
                <w:lang w:val="en-GB"/>
              </w:rPr>
              <w:t>OPG</w:t>
            </w:r>
            <w:r w:rsidRPr="007D0D63">
              <w:rPr>
                <w:rFonts w:ascii="Arial" w:hAnsi="Arial" w:cs="Arial"/>
                <w:b/>
                <w:bCs/>
                <w:sz w:val="20"/>
                <w:lang w:val="en-GB"/>
              </w:rPr>
              <w:t xml:space="preserve"> reverse</w:t>
            </w:r>
          </w:p>
        </w:tc>
        <w:tc>
          <w:tcPr>
            <w:tcW w:w="6058" w:type="dxa"/>
            <w:tcBorders>
              <w:left w:val="single" w:sz="4" w:space="0" w:color="auto"/>
            </w:tcBorders>
            <w:shd w:val="clear" w:color="auto" w:fill="auto"/>
          </w:tcPr>
          <w:p w14:paraId="472F89A2" w14:textId="42C3E412" w:rsidR="00954F20" w:rsidRPr="007D0D63" w:rsidRDefault="00954F20" w:rsidP="005A013A">
            <w:pPr>
              <w:widowControl w:val="0"/>
              <w:pBdr>
                <w:top w:val="nil"/>
                <w:left w:val="nil"/>
                <w:bottom w:val="nil"/>
                <w:right w:val="nil"/>
                <w:between w:val="nil"/>
              </w:pBdr>
              <w:contextualSpacing/>
              <w:rPr>
                <w:rFonts w:ascii="Arial" w:hAnsi="Arial" w:cs="Arial"/>
                <w:b/>
                <w:bCs/>
                <w:sz w:val="20"/>
                <w:lang w:val="en-GB"/>
              </w:rPr>
            </w:pPr>
            <w:r w:rsidRPr="007D0D63">
              <w:rPr>
                <w:rFonts w:ascii="Arial" w:hAnsi="Arial" w:cs="Arial"/>
                <w:b/>
                <w:bCs/>
                <w:sz w:val="20"/>
                <w:lang w:val="en-GB"/>
              </w:rPr>
              <w:t>5’-</w:t>
            </w:r>
            <w:r w:rsidR="00C42CBE" w:rsidRPr="007D0D63">
              <w:rPr>
                <w:rFonts w:ascii="Arial" w:hAnsi="Arial" w:cs="Arial"/>
                <w:b/>
                <w:bCs/>
                <w:sz w:val="20"/>
                <w:lang w:val="en-GB"/>
              </w:rPr>
              <w:t>AGTATAGACACTCGTCACTGGTG</w:t>
            </w:r>
            <w:r w:rsidRPr="007D0D63">
              <w:rPr>
                <w:rFonts w:ascii="Arial" w:hAnsi="Arial" w:cs="Arial"/>
                <w:b/>
                <w:bCs/>
                <w:sz w:val="20"/>
                <w:lang w:val="en-GB"/>
              </w:rPr>
              <w:t>-3’</w:t>
            </w:r>
          </w:p>
        </w:tc>
      </w:tr>
      <w:tr w:rsidR="00954F20" w:rsidRPr="00034A0A" w14:paraId="199109CB" w14:textId="77777777" w:rsidTr="005A013A">
        <w:tc>
          <w:tcPr>
            <w:tcW w:w="2798" w:type="dxa"/>
            <w:tcBorders>
              <w:right w:val="single" w:sz="4" w:space="0" w:color="auto"/>
            </w:tcBorders>
            <w:shd w:val="clear" w:color="auto" w:fill="D2EAF1"/>
          </w:tcPr>
          <w:p w14:paraId="2E6582C4" w14:textId="77777777" w:rsidR="00954F20" w:rsidRPr="00034A0A"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034A0A">
              <w:rPr>
                <w:rFonts w:ascii="Arial" w:hAnsi="Arial" w:cs="Arial"/>
                <w:b/>
                <w:bCs/>
                <w:i/>
                <w:color w:val="000000"/>
                <w:sz w:val="20"/>
                <w:lang w:val="en-GB"/>
              </w:rPr>
              <w:t>ACTB</w:t>
            </w:r>
            <w:r w:rsidRPr="00034A0A">
              <w:rPr>
                <w:rFonts w:ascii="Arial" w:hAnsi="Arial" w:cs="Arial"/>
                <w:b/>
                <w:bCs/>
                <w:color w:val="000000"/>
                <w:sz w:val="20"/>
                <w:lang w:val="en-GB"/>
              </w:rPr>
              <w:t xml:space="preserve"> forward</w:t>
            </w:r>
          </w:p>
        </w:tc>
        <w:tc>
          <w:tcPr>
            <w:tcW w:w="6058" w:type="dxa"/>
            <w:tcBorders>
              <w:left w:val="single" w:sz="4" w:space="0" w:color="auto"/>
            </w:tcBorders>
            <w:shd w:val="clear" w:color="auto" w:fill="D2EAF1"/>
          </w:tcPr>
          <w:p w14:paraId="07566C9A" w14:textId="77777777" w:rsidR="00954F20" w:rsidRPr="00034A0A" w:rsidRDefault="00954F20" w:rsidP="005A013A">
            <w:pPr>
              <w:widowControl w:val="0"/>
              <w:pBdr>
                <w:top w:val="nil"/>
                <w:left w:val="nil"/>
                <w:bottom w:val="nil"/>
                <w:right w:val="nil"/>
                <w:between w:val="nil"/>
              </w:pBdr>
              <w:contextualSpacing/>
              <w:rPr>
                <w:rFonts w:ascii="Arial" w:hAnsi="Arial" w:cs="Arial"/>
                <w:b/>
                <w:color w:val="000000"/>
                <w:sz w:val="20"/>
                <w:lang w:val="en-GB"/>
              </w:rPr>
            </w:pPr>
            <w:r w:rsidRPr="00034A0A">
              <w:rPr>
                <w:rFonts w:ascii="Arial" w:hAnsi="Arial" w:cs="Arial"/>
                <w:b/>
                <w:bCs/>
                <w:color w:val="000000"/>
                <w:sz w:val="20"/>
                <w:lang w:val="en-GB"/>
              </w:rPr>
              <w:t>5’-GGACTTCGAGCAAGAGATGG-3’</w:t>
            </w:r>
          </w:p>
        </w:tc>
      </w:tr>
      <w:tr w:rsidR="00954F20" w:rsidRPr="00034A0A" w14:paraId="1B094E19" w14:textId="77777777" w:rsidTr="005A013A">
        <w:tc>
          <w:tcPr>
            <w:tcW w:w="2798" w:type="dxa"/>
            <w:tcBorders>
              <w:right w:val="single" w:sz="4" w:space="0" w:color="auto"/>
            </w:tcBorders>
            <w:shd w:val="clear" w:color="auto" w:fill="auto"/>
          </w:tcPr>
          <w:p w14:paraId="6C316CE9" w14:textId="77777777" w:rsidR="00954F20" w:rsidRPr="00034A0A" w:rsidRDefault="00954F20" w:rsidP="005A013A">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i/>
                <w:color w:val="000000"/>
                <w:sz w:val="20"/>
                <w:lang w:val="en-GB"/>
              </w:rPr>
              <w:t xml:space="preserve">ACTB </w:t>
            </w:r>
            <w:r w:rsidRPr="00034A0A">
              <w:rPr>
                <w:rFonts w:ascii="Arial" w:hAnsi="Arial" w:cs="Arial"/>
                <w:b/>
                <w:bCs/>
                <w:color w:val="000000"/>
                <w:sz w:val="20"/>
                <w:lang w:val="en-GB"/>
              </w:rPr>
              <w:t>reverse</w:t>
            </w:r>
          </w:p>
        </w:tc>
        <w:tc>
          <w:tcPr>
            <w:tcW w:w="6058" w:type="dxa"/>
            <w:tcBorders>
              <w:left w:val="single" w:sz="4" w:space="0" w:color="auto"/>
            </w:tcBorders>
            <w:shd w:val="clear" w:color="auto" w:fill="auto"/>
          </w:tcPr>
          <w:p w14:paraId="3F2C2161" w14:textId="77777777" w:rsidR="00954F20" w:rsidRPr="00034A0A" w:rsidRDefault="00954F20" w:rsidP="005A013A">
            <w:pPr>
              <w:widowControl w:val="0"/>
              <w:pBdr>
                <w:top w:val="nil"/>
                <w:left w:val="nil"/>
                <w:bottom w:val="nil"/>
                <w:right w:val="nil"/>
                <w:between w:val="nil"/>
              </w:pBdr>
              <w:contextualSpacing/>
              <w:rPr>
                <w:rFonts w:ascii="Arial" w:hAnsi="Arial" w:cs="Arial"/>
                <w:b/>
                <w:bCs/>
                <w:color w:val="000000"/>
                <w:sz w:val="20"/>
                <w:lang w:val="en-GB"/>
              </w:rPr>
            </w:pPr>
            <w:r w:rsidRPr="00034A0A">
              <w:rPr>
                <w:rFonts w:ascii="Arial" w:hAnsi="Arial" w:cs="Arial"/>
                <w:b/>
                <w:bCs/>
                <w:color w:val="000000"/>
                <w:sz w:val="20"/>
                <w:lang w:val="en-GB"/>
              </w:rPr>
              <w:t>5’-CACCTTCACCGTTCCAGTTT-3’</w:t>
            </w:r>
          </w:p>
        </w:tc>
      </w:tr>
    </w:tbl>
    <w:p w14:paraId="1CBFE012" w14:textId="77777777" w:rsidR="00954F20" w:rsidRPr="00034A0A" w:rsidRDefault="00954F20" w:rsidP="00FA1B0F">
      <w:pPr>
        <w:widowControl w:val="0"/>
        <w:pBdr>
          <w:top w:val="nil"/>
          <w:left w:val="nil"/>
          <w:bottom w:val="nil"/>
          <w:right w:val="nil"/>
          <w:between w:val="nil"/>
        </w:pBdr>
        <w:contextualSpacing/>
        <w:rPr>
          <w:rFonts w:ascii="Arial" w:hAnsi="Arial" w:cs="Arial"/>
          <w:b/>
          <w:color w:val="000000"/>
          <w:sz w:val="20"/>
          <w:lang w:val="en-GB"/>
        </w:rPr>
      </w:pPr>
    </w:p>
    <w:p w14:paraId="73801C4E" w14:textId="77777777" w:rsidR="00FA1B0F" w:rsidRPr="00034A0A" w:rsidRDefault="00FA1B0F" w:rsidP="00FA1B0F">
      <w:pPr>
        <w:widowControl w:val="0"/>
        <w:pBdr>
          <w:top w:val="nil"/>
          <w:left w:val="nil"/>
          <w:bottom w:val="nil"/>
          <w:right w:val="nil"/>
          <w:between w:val="nil"/>
        </w:pBdr>
        <w:contextualSpacing/>
        <w:rPr>
          <w:rFonts w:ascii="Arial" w:hAnsi="Arial" w:cs="Arial"/>
          <w:b/>
          <w:color w:val="000000"/>
          <w:sz w:val="20"/>
          <w:lang w:val="en-GB"/>
        </w:rPr>
      </w:pPr>
    </w:p>
    <w:sectPr w:rsidR="00FA1B0F" w:rsidRPr="00034A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38FB0" w14:textId="77777777" w:rsidR="00EB6DC0" w:rsidRDefault="00EB6DC0" w:rsidP="00FA1B0F">
      <w:pPr>
        <w:spacing w:after="0"/>
      </w:pPr>
      <w:r>
        <w:separator/>
      </w:r>
    </w:p>
  </w:endnote>
  <w:endnote w:type="continuationSeparator" w:id="0">
    <w:p w14:paraId="3AE5436A" w14:textId="77777777" w:rsidR="00EB6DC0" w:rsidRDefault="00EB6DC0" w:rsidP="00FA1B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708AA" w14:textId="77777777" w:rsidR="00EB6DC0" w:rsidRDefault="00EB6DC0" w:rsidP="00FA1B0F">
      <w:pPr>
        <w:spacing w:after="0"/>
      </w:pPr>
      <w:r>
        <w:separator/>
      </w:r>
    </w:p>
  </w:footnote>
  <w:footnote w:type="continuationSeparator" w:id="0">
    <w:p w14:paraId="020E9D13" w14:textId="77777777" w:rsidR="00EB6DC0" w:rsidRDefault="00EB6DC0" w:rsidP="00FA1B0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4794B"/>
    <w:multiLevelType w:val="hybridMultilevel"/>
    <w:tmpl w:val="38289E82"/>
    <w:lvl w:ilvl="0" w:tplc="78A02F8C">
      <w:start w:val="1"/>
      <w:numFmt w:val="upperLetter"/>
      <w:lvlText w:val="(%1)"/>
      <w:lvlJc w:val="left"/>
      <w:pPr>
        <w:ind w:left="360" w:hanging="360"/>
      </w:pPr>
      <w:rPr>
        <w:rFonts w:ascii="Arial" w:eastAsiaTheme="minorEastAsia" w:hAnsi="Arial" w:cs="Arial"/>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71D2C3B"/>
    <w:multiLevelType w:val="hybridMultilevel"/>
    <w:tmpl w:val="121038C4"/>
    <w:lvl w:ilvl="0" w:tplc="34A2A39E">
      <w:start w:val="1"/>
      <w:numFmt w:val="upperLetter"/>
      <w:lvlText w:val="(%1)"/>
      <w:lvlJc w:val="left"/>
      <w:pPr>
        <w:ind w:left="360" w:hanging="360"/>
      </w:pPr>
      <w:rPr>
        <w:rFonts w:ascii="Arial" w:eastAsiaTheme="minorEastAsia" w:hAnsi="Arial" w:cs="Arial"/>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52E26BE"/>
    <w:multiLevelType w:val="multilevel"/>
    <w:tmpl w:val="121038C4"/>
    <w:lvl w:ilvl="0">
      <w:start w:val="1"/>
      <w:numFmt w:val="upperLetter"/>
      <w:lvlText w:val="(%1)"/>
      <w:lvlJc w:val="left"/>
      <w:pPr>
        <w:ind w:left="360" w:hanging="360"/>
      </w:pPr>
      <w:rPr>
        <w:rFonts w:ascii="Arial" w:eastAsiaTheme="minorEastAsia" w:hAnsi="Arial" w:cs="Arial"/>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3FD"/>
    <w:rsid w:val="00003773"/>
    <w:rsid w:val="00044E51"/>
    <w:rsid w:val="00050099"/>
    <w:rsid w:val="000D77CA"/>
    <w:rsid w:val="00100182"/>
    <w:rsid w:val="00155C53"/>
    <w:rsid w:val="00196E8D"/>
    <w:rsid w:val="001973D0"/>
    <w:rsid w:val="001B00FE"/>
    <w:rsid w:val="0027063A"/>
    <w:rsid w:val="00292EB6"/>
    <w:rsid w:val="002C6A22"/>
    <w:rsid w:val="002D4649"/>
    <w:rsid w:val="002E1DED"/>
    <w:rsid w:val="002E6504"/>
    <w:rsid w:val="003070E7"/>
    <w:rsid w:val="003279A6"/>
    <w:rsid w:val="0034207E"/>
    <w:rsid w:val="00361578"/>
    <w:rsid w:val="003A0F21"/>
    <w:rsid w:val="003A2FEB"/>
    <w:rsid w:val="003C3519"/>
    <w:rsid w:val="003E2045"/>
    <w:rsid w:val="004220C9"/>
    <w:rsid w:val="00450C5E"/>
    <w:rsid w:val="00466D76"/>
    <w:rsid w:val="00476FBC"/>
    <w:rsid w:val="004E3721"/>
    <w:rsid w:val="005642C7"/>
    <w:rsid w:val="005763FD"/>
    <w:rsid w:val="005B691B"/>
    <w:rsid w:val="005C4967"/>
    <w:rsid w:val="006302C5"/>
    <w:rsid w:val="00690F4B"/>
    <w:rsid w:val="006C0145"/>
    <w:rsid w:val="006C13A6"/>
    <w:rsid w:val="006E1106"/>
    <w:rsid w:val="006E1BEC"/>
    <w:rsid w:val="006F46C0"/>
    <w:rsid w:val="0073637E"/>
    <w:rsid w:val="0074740B"/>
    <w:rsid w:val="00772042"/>
    <w:rsid w:val="0078400A"/>
    <w:rsid w:val="00784997"/>
    <w:rsid w:val="007B3188"/>
    <w:rsid w:val="007D0D63"/>
    <w:rsid w:val="00865F6E"/>
    <w:rsid w:val="0089240B"/>
    <w:rsid w:val="00894221"/>
    <w:rsid w:val="008E459A"/>
    <w:rsid w:val="00922984"/>
    <w:rsid w:val="0092638D"/>
    <w:rsid w:val="00946AD6"/>
    <w:rsid w:val="00954F20"/>
    <w:rsid w:val="0096664E"/>
    <w:rsid w:val="009A2966"/>
    <w:rsid w:val="009B4347"/>
    <w:rsid w:val="009D1B3C"/>
    <w:rsid w:val="00A42A5D"/>
    <w:rsid w:val="00A72B93"/>
    <w:rsid w:val="00A94A43"/>
    <w:rsid w:val="00AB1EE1"/>
    <w:rsid w:val="00AB7573"/>
    <w:rsid w:val="00AE1847"/>
    <w:rsid w:val="00B227CD"/>
    <w:rsid w:val="00B22EFC"/>
    <w:rsid w:val="00B457D7"/>
    <w:rsid w:val="00B57EDC"/>
    <w:rsid w:val="00BD1A06"/>
    <w:rsid w:val="00C42CBE"/>
    <w:rsid w:val="00C91B45"/>
    <w:rsid w:val="00CC259F"/>
    <w:rsid w:val="00D068C7"/>
    <w:rsid w:val="00D76C7E"/>
    <w:rsid w:val="00DB5A83"/>
    <w:rsid w:val="00E156BC"/>
    <w:rsid w:val="00E374B4"/>
    <w:rsid w:val="00E848F4"/>
    <w:rsid w:val="00EA6912"/>
    <w:rsid w:val="00EB6DC0"/>
    <w:rsid w:val="00EC327B"/>
    <w:rsid w:val="00F02A00"/>
    <w:rsid w:val="00FA1B0F"/>
    <w:rsid w:val="00FC4512"/>
    <w:rsid w:val="00FE71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B352E"/>
  <w15:chartTrackingRefBased/>
  <w15:docId w15:val="{96AD2613-9E67-420B-84AE-72A75681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B0F"/>
    <w:pPr>
      <w:spacing w:after="200"/>
    </w:pPr>
    <w:rPr>
      <w:kern w:val="0"/>
      <w:sz w:val="22"/>
      <w:lang w:eastAsia="en-US"/>
    </w:rPr>
  </w:style>
  <w:style w:type="paragraph" w:styleId="1">
    <w:name w:val="heading 1"/>
    <w:basedOn w:val="a"/>
    <w:next w:val="a"/>
    <w:link w:val="1Char"/>
    <w:uiPriority w:val="9"/>
    <w:qFormat/>
    <w:rsid w:val="00FA1B0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1B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1B0F"/>
    <w:rPr>
      <w:sz w:val="18"/>
      <w:szCs w:val="18"/>
    </w:rPr>
  </w:style>
  <w:style w:type="paragraph" w:styleId="a4">
    <w:name w:val="footer"/>
    <w:basedOn w:val="a"/>
    <w:link w:val="Char0"/>
    <w:uiPriority w:val="99"/>
    <w:unhideWhenUsed/>
    <w:rsid w:val="00FA1B0F"/>
    <w:pPr>
      <w:tabs>
        <w:tab w:val="center" w:pos="4153"/>
        <w:tab w:val="right" w:pos="8306"/>
      </w:tabs>
      <w:snapToGrid w:val="0"/>
    </w:pPr>
    <w:rPr>
      <w:sz w:val="18"/>
      <w:szCs w:val="18"/>
    </w:rPr>
  </w:style>
  <w:style w:type="character" w:customStyle="1" w:styleId="Char0">
    <w:name w:val="页脚 Char"/>
    <w:basedOn w:val="a0"/>
    <w:link w:val="a4"/>
    <w:uiPriority w:val="99"/>
    <w:rsid w:val="00FA1B0F"/>
    <w:rPr>
      <w:sz w:val="18"/>
      <w:szCs w:val="18"/>
    </w:rPr>
  </w:style>
  <w:style w:type="character" w:styleId="a5">
    <w:name w:val="Hyperlink"/>
    <w:basedOn w:val="a0"/>
    <w:uiPriority w:val="99"/>
    <w:unhideWhenUsed/>
    <w:rsid w:val="00FA1B0F"/>
    <w:rPr>
      <w:color w:val="0563C1" w:themeColor="hyperlink"/>
      <w:u w:val="single"/>
    </w:rPr>
  </w:style>
  <w:style w:type="paragraph" w:customStyle="1" w:styleId="SMHeading">
    <w:name w:val="SM Heading"/>
    <w:basedOn w:val="1"/>
    <w:qFormat/>
    <w:rsid w:val="00FA1B0F"/>
    <w:pPr>
      <w:keepLines w:val="0"/>
      <w:spacing w:before="240" w:after="60" w:line="240" w:lineRule="auto"/>
    </w:pPr>
    <w:rPr>
      <w:rFonts w:ascii="Times New Roman" w:hAnsi="Times New Roman" w:cs="Times New Roman"/>
      <w:kern w:val="32"/>
      <w:sz w:val="24"/>
      <w:szCs w:val="24"/>
    </w:rPr>
  </w:style>
  <w:style w:type="paragraph" w:customStyle="1" w:styleId="SMText">
    <w:name w:val="SM Text"/>
    <w:basedOn w:val="a"/>
    <w:qFormat/>
    <w:rsid w:val="00FA1B0F"/>
    <w:pPr>
      <w:spacing w:after="0"/>
      <w:ind w:firstLine="480"/>
    </w:pPr>
    <w:rPr>
      <w:rFonts w:ascii="Times New Roman" w:hAnsi="Times New Roman" w:cs="Times New Roman"/>
      <w:sz w:val="24"/>
      <w:szCs w:val="20"/>
    </w:rPr>
  </w:style>
  <w:style w:type="character" w:customStyle="1" w:styleId="1Char">
    <w:name w:val="标题 1 Char"/>
    <w:basedOn w:val="a0"/>
    <w:link w:val="1"/>
    <w:uiPriority w:val="9"/>
    <w:rsid w:val="00FA1B0F"/>
    <w:rPr>
      <w:b/>
      <w:bCs/>
      <w:kern w:val="44"/>
      <w:sz w:val="44"/>
      <w:szCs w:val="44"/>
      <w:lang w:eastAsia="en-US"/>
    </w:rPr>
  </w:style>
  <w:style w:type="paragraph" w:styleId="a6">
    <w:name w:val="Balloon Text"/>
    <w:basedOn w:val="a"/>
    <w:link w:val="Char1"/>
    <w:uiPriority w:val="99"/>
    <w:semiHidden/>
    <w:unhideWhenUsed/>
    <w:rsid w:val="00FA1B0F"/>
    <w:pPr>
      <w:spacing w:after="0"/>
    </w:pPr>
    <w:rPr>
      <w:sz w:val="18"/>
      <w:szCs w:val="18"/>
    </w:rPr>
  </w:style>
  <w:style w:type="character" w:customStyle="1" w:styleId="Char1">
    <w:name w:val="批注框文本 Char"/>
    <w:basedOn w:val="a0"/>
    <w:link w:val="a6"/>
    <w:uiPriority w:val="99"/>
    <w:semiHidden/>
    <w:rsid w:val="00FA1B0F"/>
    <w:rPr>
      <w:kern w:val="0"/>
      <w:sz w:val="18"/>
      <w:szCs w:val="18"/>
      <w:lang w:eastAsia="en-US"/>
    </w:rPr>
  </w:style>
  <w:style w:type="character" w:styleId="a7">
    <w:name w:val="Strong"/>
    <w:basedOn w:val="a0"/>
    <w:uiPriority w:val="22"/>
    <w:qFormat/>
    <w:rsid w:val="002E1DED"/>
    <w:rPr>
      <w:b/>
      <w:bCs/>
    </w:rPr>
  </w:style>
  <w:style w:type="paragraph" w:styleId="a8">
    <w:name w:val="List Paragraph"/>
    <w:basedOn w:val="a"/>
    <w:uiPriority w:val="34"/>
    <w:qFormat/>
    <w:rsid w:val="006E1BE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1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fangshi@sibs.ac.cn" TargetMode="External"/><Relationship Id="rId3" Type="http://schemas.openxmlformats.org/officeDocument/2006/relationships/settings" Target="settings.xml"/><Relationship Id="rId7" Type="http://schemas.openxmlformats.org/officeDocument/2006/relationships/hyperlink" Target="mailto:gm614@mrc-tox.c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ingwang@sibs.ac.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3</Pages>
  <Words>785</Words>
  <Characters>4479</Characters>
  <Application>Microsoft Office Word</Application>
  <DocSecurity>0</DocSecurity>
  <Lines>37</Lines>
  <Paragraphs>10</Paragraphs>
  <ScaleCrop>false</ScaleCrop>
  <Company>Shanghai Institute for Health Science</Company>
  <LinksUpToDate>false</LinksUpToDate>
  <CharactersWithSpaces>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Yu</dc:creator>
  <cp:keywords/>
  <dc:description/>
  <cp:lastModifiedBy>Wang Yu</cp:lastModifiedBy>
  <cp:revision>56</cp:revision>
  <dcterms:created xsi:type="dcterms:W3CDTF">2019-11-21T05:44:00Z</dcterms:created>
  <dcterms:modified xsi:type="dcterms:W3CDTF">2020-07-08T07:20:00Z</dcterms:modified>
</cp:coreProperties>
</file>