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9212A" w14:textId="752A709C" w:rsidR="00E911ED" w:rsidRPr="005748A2" w:rsidRDefault="005748A2" w:rsidP="005748A2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5748A2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643B8">
        <w:rPr>
          <w:rFonts w:ascii="Arial" w:hAnsi="Arial" w:cs="Arial"/>
          <w:b/>
          <w:bCs/>
          <w:sz w:val="24"/>
          <w:szCs w:val="24"/>
        </w:rPr>
        <w:t>Figure Legends</w:t>
      </w:r>
    </w:p>
    <w:p w14:paraId="1373B398" w14:textId="0F8D4DE6" w:rsidR="004643B8" w:rsidRDefault="005748A2" w:rsidP="004643B8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Hlk46247122"/>
      <w:bookmarkEnd w:id="0"/>
      <w:r>
        <w:rPr>
          <w:rFonts w:ascii="Arial" w:hAnsi="Arial" w:cs="Arial"/>
          <w:b/>
          <w:sz w:val="24"/>
          <w:szCs w:val="24"/>
        </w:rPr>
        <w:t xml:space="preserve">Fig. S1. Exosome characterization. </w:t>
      </w:r>
      <w:r w:rsidRPr="008E33E6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A</w:t>
      </w:r>
      <w:r w:rsidRPr="008E33E6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Representative image of exosome size (125.02 ± 24.6 nm) measured by </w:t>
      </w:r>
      <w:proofErr w:type="spellStart"/>
      <w:r>
        <w:rPr>
          <w:rFonts w:ascii="Arial" w:hAnsi="Arial" w:cs="Arial"/>
          <w:sz w:val="24"/>
          <w:szCs w:val="24"/>
        </w:rPr>
        <w:t>NanoSight</w:t>
      </w:r>
      <w:proofErr w:type="spellEnd"/>
      <w:r>
        <w:rPr>
          <w:rFonts w:ascii="Arial" w:hAnsi="Arial" w:cs="Arial"/>
          <w:sz w:val="24"/>
          <w:szCs w:val="24"/>
        </w:rPr>
        <w:t xml:space="preserve"> NS300</w:t>
      </w:r>
      <w:r w:rsidR="00B554AA">
        <w:rPr>
          <w:rFonts w:ascii="Arial" w:hAnsi="Arial" w:cs="Arial"/>
          <w:sz w:val="24"/>
          <w:szCs w:val="24"/>
        </w:rPr>
        <w:t xml:space="preserve"> (</w:t>
      </w:r>
      <w:r w:rsidR="00B554AA" w:rsidRPr="00B554AA">
        <w:rPr>
          <w:rFonts w:ascii="Arial" w:hAnsi="Arial" w:cs="Arial"/>
          <w:i/>
          <w:iCs/>
          <w:sz w:val="24"/>
          <w:szCs w:val="24"/>
        </w:rPr>
        <w:t>n</w:t>
      </w:r>
      <w:r w:rsidR="00B554AA">
        <w:rPr>
          <w:rFonts w:ascii="Arial" w:hAnsi="Arial" w:cs="Arial"/>
          <w:sz w:val="24"/>
          <w:szCs w:val="24"/>
        </w:rPr>
        <w:t xml:space="preserve"> = 6)</w:t>
      </w:r>
      <w:r>
        <w:rPr>
          <w:rFonts w:ascii="Arial" w:hAnsi="Arial" w:cs="Arial"/>
          <w:sz w:val="24"/>
          <w:szCs w:val="24"/>
        </w:rPr>
        <w:t>. (</w:t>
      </w:r>
      <w:r w:rsidRPr="008E33E6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) Western blot shows the </w:t>
      </w:r>
      <w:r w:rsidR="00FE129C">
        <w:rPr>
          <w:rFonts w:ascii="Arial" w:hAnsi="Arial" w:cs="Arial"/>
          <w:sz w:val="24"/>
          <w:szCs w:val="24"/>
        </w:rPr>
        <w:t>presence</w:t>
      </w:r>
      <w:r>
        <w:rPr>
          <w:rFonts w:ascii="Arial" w:hAnsi="Arial" w:cs="Arial"/>
          <w:sz w:val="24"/>
          <w:szCs w:val="24"/>
        </w:rPr>
        <w:t xml:space="preserve"> of exosomal markers </w:t>
      </w:r>
      <w:r w:rsidR="00FE129C">
        <w:rPr>
          <w:rFonts w:ascii="Arial" w:hAnsi="Arial" w:cs="Arial"/>
          <w:sz w:val="24"/>
          <w:szCs w:val="24"/>
        </w:rPr>
        <w:t xml:space="preserve">and absence of ER protein calnexin </w:t>
      </w:r>
      <w:r>
        <w:rPr>
          <w:rFonts w:ascii="Arial" w:hAnsi="Arial" w:cs="Arial"/>
          <w:sz w:val="24"/>
          <w:szCs w:val="24"/>
        </w:rPr>
        <w:t>in serum derived exosomes.</w:t>
      </w:r>
      <w:r w:rsidR="00FE129C">
        <w:rPr>
          <w:rFonts w:ascii="Arial" w:hAnsi="Arial" w:cs="Arial"/>
          <w:sz w:val="24"/>
          <w:szCs w:val="24"/>
        </w:rPr>
        <w:t xml:space="preserve"> TCL, tall cell lysate. </w:t>
      </w:r>
    </w:p>
    <w:p w14:paraId="5510C3EE" w14:textId="77777777" w:rsidR="004643B8" w:rsidRDefault="001012B9" w:rsidP="004643B8">
      <w:pPr>
        <w:spacing w:line="480" w:lineRule="auto"/>
        <w:rPr>
          <w:rFonts w:ascii="Arial" w:hAnsi="Arial" w:cs="Arial"/>
          <w:sz w:val="24"/>
          <w:szCs w:val="24"/>
        </w:rPr>
      </w:pPr>
      <w:r w:rsidRPr="009410E6">
        <w:rPr>
          <w:rFonts w:ascii="Arial" w:hAnsi="Arial" w:cs="Arial"/>
          <w:b/>
          <w:bCs/>
          <w:sz w:val="24"/>
          <w:szCs w:val="24"/>
        </w:rPr>
        <w:t xml:space="preserve">Fig. S2. </w:t>
      </w:r>
      <w:r>
        <w:rPr>
          <w:rFonts w:ascii="Arial" w:hAnsi="Arial" w:cs="Arial"/>
          <w:b/>
          <w:bCs/>
          <w:sz w:val="24"/>
          <w:szCs w:val="24"/>
        </w:rPr>
        <w:t>Cell death and apoptosis analysis.</w:t>
      </w:r>
      <w:r>
        <w:rPr>
          <w:rFonts w:ascii="Arial" w:hAnsi="Arial" w:cs="Arial"/>
          <w:sz w:val="24"/>
          <w:szCs w:val="24"/>
        </w:rPr>
        <w:t xml:space="preserve"> Flowcytometry analysis of cell death (PI positive staining) and apoptosis (Annexin V positive staining) in RAW 264.7 macrophages treated with different concentrations of lact</w:t>
      </w:r>
      <w:r w:rsidR="000C5AAB">
        <w:rPr>
          <w:rFonts w:ascii="Arial" w:hAnsi="Arial" w:cs="Arial"/>
          <w:sz w:val="24"/>
          <w:szCs w:val="24"/>
        </w:rPr>
        <w:t>ate</w:t>
      </w:r>
      <w:r>
        <w:rPr>
          <w:rFonts w:ascii="Arial" w:hAnsi="Arial" w:cs="Arial"/>
          <w:sz w:val="24"/>
          <w:szCs w:val="24"/>
        </w:rPr>
        <w:t xml:space="preserve"> for up to 24 hours. </w:t>
      </w:r>
    </w:p>
    <w:p w14:paraId="093F6C67" w14:textId="77777777" w:rsidR="004643B8" w:rsidRDefault="000C5AAB" w:rsidP="004643B8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0C5AAB">
        <w:rPr>
          <w:rFonts w:ascii="Arial" w:hAnsi="Arial" w:cs="Arial"/>
          <w:b/>
          <w:bCs/>
          <w:sz w:val="24"/>
          <w:szCs w:val="24"/>
        </w:rPr>
        <w:t>Fig. S3. Macrophages uptake extracellular lactate through MCTs for nuclear protein lactylation.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8C5B54">
        <w:rPr>
          <w:rFonts w:ascii="Arial" w:hAnsi="Arial" w:cs="Arial"/>
          <w:b/>
          <w:sz w:val="24"/>
          <w:szCs w:val="24"/>
        </w:rPr>
        <w:t>A</w:t>
      </w:r>
      <w:r w:rsidRPr="008A3F0D">
        <w:rPr>
          <w:rFonts w:ascii="Arial" w:hAnsi="Arial" w:cs="Arial"/>
          <w:bCs/>
          <w:sz w:val="24"/>
          <w:szCs w:val="24"/>
        </w:rPr>
        <w:t xml:space="preserve">) </w:t>
      </w:r>
      <w:r w:rsidRPr="008C5B54">
        <w:rPr>
          <w:rFonts w:ascii="Arial" w:hAnsi="Arial" w:cs="Arial"/>
          <w:bCs/>
          <w:sz w:val="24"/>
          <w:szCs w:val="24"/>
        </w:rPr>
        <w:t xml:space="preserve">Lactate (10 mM) induced Klac of nuclear proteins in RAW264.7 </w:t>
      </w:r>
      <w:r>
        <w:rPr>
          <w:rFonts w:ascii="Arial" w:hAnsi="Arial" w:cs="Arial"/>
          <w:bCs/>
          <w:sz w:val="24"/>
          <w:szCs w:val="24"/>
        </w:rPr>
        <w:t xml:space="preserve">cells </w:t>
      </w:r>
      <w:r>
        <w:rPr>
          <w:rFonts w:ascii="Arial" w:hAnsi="Arial" w:cs="Arial"/>
          <w:sz w:val="24"/>
          <w:szCs w:val="24"/>
        </w:rPr>
        <w:t>(</w:t>
      </w:r>
      <w:r w:rsidRPr="000144EC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5,</w:t>
      </w:r>
      <w:r w:rsidRPr="00291DB0">
        <w:rPr>
          <w:rFonts w:ascii="Arial" w:hAnsi="Arial" w:cs="Arial"/>
          <w:i/>
          <w:iCs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 xml:space="preserve"> test). (</w:t>
      </w:r>
      <w:r w:rsidRPr="008C5B54">
        <w:rPr>
          <w:rFonts w:ascii="Arial" w:hAnsi="Arial" w:cs="Arial"/>
          <w:b/>
          <w:sz w:val="24"/>
          <w:szCs w:val="24"/>
        </w:rPr>
        <w:t>B</w:t>
      </w:r>
      <w:r w:rsidRPr="008A3F0D">
        <w:rPr>
          <w:rFonts w:ascii="Arial" w:hAnsi="Arial" w:cs="Arial"/>
          <w:bCs/>
          <w:sz w:val="24"/>
          <w:szCs w:val="24"/>
        </w:rPr>
        <w:t>)</w:t>
      </w:r>
      <w:r w:rsidRPr="008C5B54">
        <w:rPr>
          <w:rFonts w:ascii="Arial" w:hAnsi="Arial" w:cs="Arial"/>
          <w:bCs/>
          <w:sz w:val="24"/>
          <w:szCs w:val="24"/>
        </w:rPr>
        <w:t xml:space="preserve"> Hypoxia </w:t>
      </w:r>
      <w:r>
        <w:rPr>
          <w:rFonts w:ascii="Arial" w:hAnsi="Arial" w:cs="Arial"/>
          <w:bCs/>
          <w:sz w:val="24"/>
          <w:szCs w:val="24"/>
        </w:rPr>
        <w:t xml:space="preserve">for 24 hours </w:t>
      </w:r>
      <w:r w:rsidRPr="008C5B54">
        <w:rPr>
          <w:rFonts w:ascii="Arial" w:hAnsi="Arial" w:cs="Arial"/>
          <w:bCs/>
          <w:sz w:val="24"/>
          <w:szCs w:val="24"/>
        </w:rPr>
        <w:t xml:space="preserve">increased Klac of nuclear proteins in RAW264.7 </w:t>
      </w:r>
      <w:r>
        <w:rPr>
          <w:rFonts w:ascii="Arial" w:hAnsi="Arial" w:cs="Arial"/>
          <w:bCs/>
          <w:sz w:val="24"/>
          <w:szCs w:val="24"/>
        </w:rPr>
        <w:t>cells</w:t>
      </w:r>
      <w:r w:rsidRPr="008C5B54">
        <w:rPr>
          <w:rFonts w:ascii="Arial" w:hAnsi="Arial" w:cs="Arial"/>
          <w:bCs/>
          <w:sz w:val="24"/>
          <w:szCs w:val="24"/>
        </w:rPr>
        <w:t>, as compared with normoxia condition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144EC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3,</w:t>
      </w:r>
      <w:r w:rsidRPr="00291DB0">
        <w:rPr>
          <w:rFonts w:ascii="Arial" w:hAnsi="Arial" w:cs="Arial"/>
          <w:i/>
          <w:iCs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 xml:space="preserve"> test). (</w:t>
      </w:r>
      <w:r w:rsidR="00FF63D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) </w:t>
      </w:r>
      <w:r w:rsidRPr="008C5B54">
        <w:rPr>
          <w:rFonts w:ascii="Arial" w:hAnsi="Arial" w:cs="Arial"/>
          <w:bCs/>
          <w:sz w:val="24"/>
          <w:szCs w:val="24"/>
        </w:rPr>
        <w:t xml:space="preserve">RAW 264.7 cells were treated with </w:t>
      </w:r>
      <w:r>
        <w:rPr>
          <w:rFonts w:ascii="Arial" w:hAnsi="Arial" w:cs="Arial"/>
          <w:bCs/>
          <w:sz w:val="24"/>
          <w:szCs w:val="24"/>
        </w:rPr>
        <w:t>CHC</w:t>
      </w:r>
      <w:r w:rsidRPr="008C5B54">
        <w:rPr>
          <w:rFonts w:ascii="Arial" w:hAnsi="Arial" w:cs="Arial"/>
          <w:bCs/>
          <w:sz w:val="24"/>
          <w:szCs w:val="24"/>
        </w:rPr>
        <w:t xml:space="preserve"> (</w:t>
      </w:r>
      <w:r>
        <w:rPr>
          <w:rFonts w:ascii="Arial" w:hAnsi="Arial" w:cs="Arial"/>
          <w:bCs/>
          <w:sz w:val="24"/>
          <w:szCs w:val="24"/>
        </w:rPr>
        <w:t>3</w:t>
      </w:r>
      <w:r w:rsidRPr="008C5B5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</w:t>
      </w:r>
      <w:r w:rsidRPr="008C5B54">
        <w:rPr>
          <w:rFonts w:ascii="Arial" w:hAnsi="Arial" w:cs="Arial"/>
          <w:bCs/>
          <w:sz w:val="24"/>
          <w:szCs w:val="24"/>
        </w:rPr>
        <w:t xml:space="preserve">M) </w:t>
      </w:r>
      <w:r>
        <w:rPr>
          <w:rFonts w:ascii="Arial" w:hAnsi="Arial" w:cs="Arial"/>
          <w:bCs/>
          <w:sz w:val="24"/>
          <w:szCs w:val="24"/>
        </w:rPr>
        <w:t xml:space="preserve">or vehicle </w:t>
      </w:r>
      <w:r w:rsidRPr="008C5B54">
        <w:rPr>
          <w:rFonts w:ascii="Arial" w:hAnsi="Arial" w:cs="Arial"/>
          <w:bCs/>
          <w:sz w:val="24"/>
          <w:szCs w:val="24"/>
        </w:rPr>
        <w:t xml:space="preserve">for 2 hours followed by lactate treatment for 24 hours. </w:t>
      </w:r>
      <w:r>
        <w:rPr>
          <w:rFonts w:ascii="Arial" w:hAnsi="Arial" w:cs="Arial"/>
          <w:bCs/>
          <w:sz w:val="24"/>
          <w:szCs w:val="24"/>
        </w:rPr>
        <w:t>Total Klac levels were examined by western blot (</w:t>
      </w:r>
      <w:r w:rsidRPr="000144EC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4 for each group, two-way ANOVA with Tukey’s test).</w:t>
      </w:r>
    </w:p>
    <w:p w14:paraId="00AD6767" w14:textId="77777777" w:rsidR="004643B8" w:rsidRDefault="000C5AAB" w:rsidP="004643B8">
      <w:pPr>
        <w:spacing w:line="480" w:lineRule="auto"/>
        <w:rPr>
          <w:rFonts w:ascii="Arial" w:hAnsi="Arial" w:cs="Arial"/>
          <w:sz w:val="24"/>
          <w:szCs w:val="24"/>
        </w:rPr>
      </w:pPr>
      <w:r w:rsidRPr="000C5AAB">
        <w:rPr>
          <w:rFonts w:ascii="Arial" w:hAnsi="Arial" w:cs="Arial"/>
          <w:b/>
          <w:bCs/>
          <w:sz w:val="24"/>
          <w:szCs w:val="24"/>
        </w:rPr>
        <w:t>Fig. S4. Lactate promotes HMGB1 acetylation and accumulation in lysosomal organelles.</w:t>
      </w:r>
      <w:r>
        <w:rPr>
          <w:rFonts w:ascii="Arial" w:hAnsi="Arial" w:cs="Arial"/>
          <w:sz w:val="24"/>
          <w:szCs w:val="24"/>
        </w:rPr>
        <w:t xml:space="preserve"> Representative images of immunofluorescent staining shows lactate-induced acetylated-HMGB1 (green, indicated by white arrows) co-localized with Lamp1 (red, indicated by </w:t>
      </w:r>
      <w:r w:rsidR="00E64F45">
        <w:rPr>
          <w:rFonts w:ascii="Arial" w:hAnsi="Arial" w:cs="Arial"/>
          <w:sz w:val="24"/>
          <w:szCs w:val="24"/>
        </w:rPr>
        <w:t>blue</w:t>
      </w:r>
      <w:r>
        <w:rPr>
          <w:rFonts w:ascii="Arial" w:hAnsi="Arial" w:cs="Arial"/>
          <w:sz w:val="24"/>
          <w:szCs w:val="24"/>
        </w:rPr>
        <w:t xml:space="preserve"> arrows) in RAW 264.7 cells. The </w:t>
      </w:r>
      <w:r w:rsidR="004643B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ucleus was stained with DAPI (blue).</w:t>
      </w:r>
    </w:p>
    <w:p w14:paraId="46A99035" w14:textId="77777777" w:rsidR="004643B8" w:rsidRDefault="000C5AAB" w:rsidP="004643B8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39425C">
        <w:rPr>
          <w:rFonts w:ascii="Arial" w:hAnsi="Arial" w:cs="Arial"/>
          <w:b/>
          <w:bCs/>
          <w:sz w:val="24"/>
          <w:szCs w:val="24"/>
        </w:rPr>
        <w:t>Fig. S5. Lactate decreases nuclear expression of YAP and SIRT1</w:t>
      </w:r>
      <w:r w:rsidR="0039425C" w:rsidRPr="0039425C">
        <w:rPr>
          <w:rFonts w:ascii="Arial" w:hAnsi="Arial" w:cs="Arial"/>
          <w:b/>
          <w:bCs/>
          <w:sz w:val="24"/>
          <w:szCs w:val="24"/>
        </w:rPr>
        <w:t>.</w:t>
      </w:r>
      <w:r w:rsidR="003942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Immunofluorescent staining with anti-YAP (green) and anti-SIRT1 (red) shows that </w:t>
      </w:r>
      <w:r>
        <w:rPr>
          <w:rFonts w:ascii="Arial" w:hAnsi="Arial" w:cs="Arial"/>
          <w:sz w:val="24"/>
          <w:szCs w:val="24"/>
        </w:rPr>
        <w:lastRenderedPageBreak/>
        <w:t xml:space="preserve">lactate decreased YAP and SIRT expression and co-localization in the nucleus in RAW 264.7 cells. </w:t>
      </w:r>
      <w:r>
        <w:rPr>
          <w:rFonts w:ascii="Arial" w:hAnsi="Arial" w:cs="Arial"/>
          <w:bCs/>
          <w:sz w:val="24"/>
          <w:szCs w:val="24"/>
        </w:rPr>
        <w:t>Co-localization analysis was performed using Zeiss Zen microscope software.</w:t>
      </w:r>
    </w:p>
    <w:p w14:paraId="7EF93CE5" w14:textId="3FA5EB89" w:rsidR="000C5AAB" w:rsidRPr="00AF4FAD" w:rsidRDefault="0039425C" w:rsidP="004643B8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39425C">
        <w:rPr>
          <w:rFonts w:ascii="Arial" w:hAnsi="Arial" w:cs="Arial"/>
          <w:b/>
          <w:bCs/>
          <w:sz w:val="24"/>
          <w:szCs w:val="24"/>
        </w:rPr>
        <w:t>Fig. S6. Confirmation of YAP knockout in primary peritoneal macrophages.</w:t>
      </w:r>
      <w:r w:rsidRPr="0039425C">
        <w:rPr>
          <w:rFonts w:ascii="Arial" w:hAnsi="Arial" w:cs="Arial"/>
          <w:sz w:val="24"/>
          <w:szCs w:val="24"/>
        </w:rPr>
        <w:t xml:space="preserve"> </w:t>
      </w:r>
      <w:r w:rsidR="001120A3">
        <w:rPr>
          <w:rFonts w:ascii="Arial" w:hAnsi="Arial" w:cs="Arial"/>
          <w:sz w:val="24"/>
          <w:szCs w:val="24"/>
        </w:rPr>
        <w:t>(</w:t>
      </w:r>
      <w:r w:rsidR="001120A3" w:rsidRPr="009B7349">
        <w:rPr>
          <w:rFonts w:ascii="Arial" w:hAnsi="Arial" w:cs="Arial"/>
          <w:b/>
          <w:bCs/>
          <w:sz w:val="24"/>
          <w:szCs w:val="24"/>
        </w:rPr>
        <w:t>A</w:t>
      </w:r>
      <w:r w:rsidR="001120A3">
        <w:rPr>
          <w:rFonts w:ascii="Arial" w:hAnsi="Arial" w:cs="Arial"/>
          <w:sz w:val="24"/>
          <w:szCs w:val="24"/>
        </w:rPr>
        <w:t>) Macrophage-specific YAP deficient mice were generated by crossbreeding YAP knockout mice (</w:t>
      </w:r>
      <w:proofErr w:type="spellStart"/>
      <w:r w:rsidR="001120A3" w:rsidRPr="009B7349">
        <w:rPr>
          <w:rFonts w:ascii="Arial" w:hAnsi="Arial" w:cs="Arial"/>
          <w:i/>
          <w:iCs/>
          <w:sz w:val="24"/>
          <w:szCs w:val="24"/>
        </w:rPr>
        <w:t>YAP</w:t>
      </w:r>
      <w:r w:rsidR="001120A3" w:rsidRPr="009B7349">
        <w:rPr>
          <w:rFonts w:ascii="Arial" w:hAnsi="Arial" w:cs="Arial"/>
          <w:i/>
          <w:iCs/>
          <w:sz w:val="24"/>
          <w:szCs w:val="24"/>
          <w:vertAlign w:val="superscript"/>
        </w:rPr>
        <w:t>fl</w:t>
      </w:r>
      <w:proofErr w:type="spellEnd"/>
      <w:r w:rsidR="001120A3" w:rsidRPr="009B7349">
        <w:rPr>
          <w:rFonts w:ascii="Arial" w:hAnsi="Arial" w:cs="Arial"/>
          <w:i/>
          <w:iCs/>
          <w:sz w:val="24"/>
          <w:szCs w:val="24"/>
          <w:vertAlign w:val="superscript"/>
        </w:rPr>
        <w:t>/</w:t>
      </w:r>
      <w:proofErr w:type="spellStart"/>
      <w:r w:rsidR="001120A3" w:rsidRPr="009B7349">
        <w:rPr>
          <w:rFonts w:ascii="Arial" w:hAnsi="Arial" w:cs="Arial"/>
          <w:i/>
          <w:iCs/>
          <w:sz w:val="24"/>
          <w:szCs w:val="24"/>
          <w:vertAlign w:val="superscript"/>
        </w:rPr>
        <w:t>fl</w:t>
      </w:r>
      <w:proofErr w:type="spellEnd"/>
      <w:r w:rsidR="001120A3">
        <w:rPr>
          <w:rFonts w:ascii="Arial" w:hAnsi="Arial" w:cs="Arial"/>
          <w:sz w:val="24"/>
          <w:szCs w:val="24"/>
        </w:rPr>
        <w:t xml:space="preserve">), in which the exon 2 of the YAP gene was flanked by </w:t>
      </w:r>
      <w:proofErr w:type="spellStart"/>
      <w:r w:rsidR="001120A3">
        <w:rPr>
          <w:rFonts w:ascii="Arial" w:hAnsi="Arial" w:cs="Arial"/>
          <w:sz w:val="24"/>
          <w:szCs w:val="24"/>
        </w:rPr>
        <w:t>loxP</w:t>
      </w:r>
      <w:proofErr w:type="spellEnd"/>
      <w:r w:rsidR="001120A3">
        <w:rPr>
          <w:rFonts w:ascii="Arial" w:hAnsi="Arial" w:cs="Arial"/>
          <w:sz w:val="24"/>
          <w:szCs w:val="24"/>
        </w:rPr>
        <w:t xml:space="preserve"> sites, with lysozyme2-Cre (</w:t>
      </w:r>
      <w:r w:rsidR="001120A3" w:rsidRPr="008C5B54">
        <w:rPr>
          <w:rFonts w:ascii="Arial" w:hAnsi="Arial" w:cs="Arial"/>
          <w:bCs/>
          <w:i/>
          <w:sz w:val="24"/>
          <w:szCs w:val="24"/>
        </w:rPr>
        <w:t>Lyz2-Cre</w:t>
      </w:r>
      <w:r w:rsidR="001120A3" w:rsidRPr="008C5B54">
        <w:rPr>
          <w:rFonts w:ascii="Arial" w:hAnsi="Arial" w:cs="Arial"/>
          <w:bCs/>
          <w:i/>
          <w:sz w:val="24"/>
          <w:szCs w:val="24"/>
          <w:vertAlign w:val="superscript"/>
        </w:rPr>
        <w:t>+</w:t>
      </w:r>
      <w:r w:rsidR="001120A3" w:rsidRPr="008C5B54">
        <w:rPr>
          <w:rFonts w:ascii="Arial" w:hAnsi="Arial" w:cs="Arial"/>
          <w:bCs/>
          <w:iCs/>
          <w:sz w:val="24"/>
          <w:szCs w:val="24"/>
        </w:rPr>
        <w:t>)</w:t>
      </w:r>
      <w:r w:rsidR="001120A3">
        <w:rPr>
          <w:rFonts w:ascii="Arial" w:hAnsi="Arial" w:cs="Arial"/>
          <w:bCs/>
          <w:iCs/>
          <w:sz w:val="24"/>
          <w:szCs w:val="24"/>
        </w:rPr>
        <w:t xml:space="preserve"> mice, in which </w:t>
      </w:r>
      <w:proofErr w:type="spellStart"/>
      <w:r w:rsidR="001120A3">
        <w:rPr>
          <w:rFonts w:ascii="Arial" w:hAnsi="Arial" w:cs="Arial"/>
          <w:bCs/>
          <w:iCs/>
          <w:sz w:val="24"/>
          <w:szCs w:val="24"/>
        </w:rPr>
        <w:t>Cre</w:t>
      </w:r>
      <w:proofErr w:type="spellEnd"/>
      <w:r w:rsidR="001120A3">
        <w:rPr>
          <w:rFonts w:ascii="Arial" w:hAnsi="Arial" w:cs="Arial"/>
          <w:bCs/>
          <w:iCs/>
          <w:sz w:val="24"/>
          <w:szCs w:val="24"/>
        </w:rPr>
        <w:t xml:space="preserve"> is driven by a myeloid cell-specific promoter. </w:t>
      </w:r>
      <w:r>
        <w:rPr>
          <w:rFonts w:ascii="Arial" w:hAnsi="Arial" w:cs="Arial"/>
          <w:sz w:val="24"/>
          <w:szCs w:val="24"/>
        </w:rPr>
        <w:t>(</w:t>
      </w:r>
      <w:r w:rsidR="001120A3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 Peritoneal macrophages were isolated from wild type (WT) and macrophage-specific YAP (</w:t>
      </w:r>
      <w:r w:rsidRPr="00B748E7">
        <w:rPr>
          <w:rFonts w:ascii="Arial" w:hAnsi="Arial" w:cs="Arial"/>
          <w:bCs/>
          <w:i/>
          <w:sz w:val="24"/>
          <w:szCs w:val="24"/>
        </w:rPr>
        <w:t>YAP</w:t>
      </w:r>
      <w:r w:rsidRPr="00B748E7">
        <w:rPr>
          <w:rFonts w:ascii="Arial" w:hAnsi="Arial" w:cs="Arial"/>
          <w:bCs/>
          <w:i/>
          <w:sz w:val="24"/>
          <w:szCs w:val="24"/>
          <w:vertAlign w:val="superscript"/>
        </w:rPr>
        <w:t>-/-</w:t>
      </w:r>
      <w:r>
        <w:rPr>
          <w:rFonts w:ascii="Arial" w:hAnsi="Arial" w:cs="Arial"/>
          <w:sz w:val="24"/>
          <w:szCs w:val="24"/>
        </w:rPr>
        <w:t>) knockout mice. Peritoneal macrophage population was determined by flow cytometry using anti-CD11b and anti-F4/80 antibodies. (</w:t>
      </w:r>
      <w:r w:rsidR="001120A3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Immunofluorescent staining confirms the knockout of YAP (green) in peritoneal macrophages (</w:t>
      </w:r>
      <w:r>
        <w:rPr>
          <w:rFonts w:ascii="Arial" w:hAnsi="Arial" w:cs="Arial" w:hint="eastAsia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4/80, red).  </w:t>
      </w:r>
    </w:p>
    <w:p w14:paraId="5BCA81E6" w14:textId="196F48E8" w:rsidR="00AF4FAD" w:rsidRDefault="0039425C" w:rsidP="005748A2">
      <w:pPr>
        <w:spacing w:line="480" w:lineRule="auto"/>
        <w:rPr>
          <w:rFonts w:ascii="Arial" w:hAnsi="Arial" w:cs="Arial"/>
          <w:sz w:val="24"/>
          <w:szCs w:val="24"/>
        </w:rPr>
      </w:pPr>
      <w:r w:rsidRPr="00AF4FAD">
        <w:rPr>
          <w:rFonts w:ascii="Arial" w:hAnsi="Arial" w:cs="Arial"/>
          <w:b/>
          <w:bCs/>
          <w:sz w:val="24"/>
          <w:szCs w:val="24"/>
        </w:rPr>
        <w:t xml:space="preserve">Fig. S7. Overexpression of YAP </w:t>
      </w:r>
      <w:r w:rsidR="00AF4FAD" w:rsidRPr="00AF4FAD">
        <w:rPr>
          <w:rFonts w:ascii="Arial" w:hAnsi="Arial" w:cs="Arial"/>
          <w:b/>
          <w:bCs/>
          <w:sz w:val="24"/>
          <w:szCs w:val="24"/>
        </w:rPr>
        <w:t>upregulates SIRT1 expression and decreases HMGB1 acetylation in macrophages.</w:t>
      </w:r>
      <w:r w:rsidR="00AF4F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Overexpression of YAP increases SIRT1 expression and decreases HMGB1 acetylation levels in macrophages. RAW 264.7 cells were transduced with Ad-GFP or Ad-YAP</w:t>
      </w:r>
      <w:r w:rsidR="00FE129C">
        <w:rPr>
          <w:rFonts w:ascii="Arial" w:hAnsi="Arial" w:cs="Arial"/>
          <w:sz w:val="24"/>
          <w:szCs w:val="24"/>
        </w:rPr>
        <w:t xml:space="preserve"> for 24 hours</w:t>
      </w:r>
      <w:r>
        <w:rPr>
          <w:rFonts w:ascii="Arial" w:hAnsi="Arial" w:cs="Arial"/>
          <w:sz w:val="24"/>
          <w:szCs w:val="24"/>
        </w:rPr>
        <w:t>. Cytosol expression of YAP, acetylated-HMGB1 (K12), acetylated-HMGB1 (K29) and nuclear expression of YAP and SIRT1 were measured by western blot analysis (</w:t>
      </w:r>
      <w:r w:rsidRPr="0016308E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3</w:t>
      </w:r>
      <w:r w:rsidR="00942714">
        <w:rPr>
          <w:rFonts w:ascii="Arial" w:hAnsi="Arial" w:cs="Arial"/>
          <w:sz w:val="24"/>
          <w:szCs w:val="24"/>
        </w:rPr>
        <w:t xml:space="preserve"> for each group</w:t>
      </w:r>
      <w:r>
        <w:rPr>
          <w:rFonts w:ascii="Arial" w:hAnsi="Arial" w:cs="Arial"/>
          <w:sz w:val="24"/>
          <w:szCs w:val="24"/>
        </w:rPr>
        <w:t xml:space="preserve">, </w:t>
      </w:r>
      <w:r w:rsidRPr="003236DA"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test).</w:t>
      </w:r>
    </w:p>
    <w:p w14:paraId="0E370C16" w14:textId="09A1C721" w:rsidR="00893402" w:rsidRDefault="00893402" w:rsidP="005748A2">
      <w:pPr>
        <w:spacing w:line="480" w:lineRule="auto"/>
        <w:rPr>
          <w:rFonts w:ascii="Arial" w:hAnsi="Arial" w:cs="Arial"/>
          <w:sz w:val="24"/>
          <w:szCs w:val="24"/>
        </w:rPr>
      </w:pPr>
      <w:r w:rsidRPr="00893402">
        <w:rPr>
          <w:rFonts w:ascii="Arial" w:hAnsi="Arial" w:cs="Arial"/>
          <w:b/>
          <w:bCs/>
          <w:sz w:val="24"/>
          <w:szCs w:val="24"/>
        </w:rPr>
        <w:t>Fig. S</w:t>
      </w:r>
      <w:r w:rsidR="00EB7A47">
        <w:rPr>
          <w:rFonts w:ascii="Arial" w:hAnsi="Arial" w:cs="Arial"/>
          <w:b/>
          <w:bCs/>
          <w:sz w:val="24"/>
          <w:szCs w:val="24"/>
        </w:rPr>
        <w:t>8</w:t>
      </w:r>
      <w:r w:rsidRPr="00893402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2B4A37" w:rsidRPr="002B4A37">
        <w:rPr>
          <w:rFonts w:ascii="Arial" w:hAnsi="Arial" w:cs="Arial"/>
          <w:b/>
          <w:bCs/>
          <w:sz w:val="24"/>
          <w:szCs w:val="24"/>
        </w:rPr>
        <w:t>Suppression of YAP transcription activity reduces SIRT1 expression and promotes HMGB1 acetylation.</w:t>
      </w:r>
      <w:r w:rsidR="002B4A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893402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Verteporfin (VP, 0.5 µg/ml) treatment for 24 hours suppressed SIRT1 mRNA expression in RAW 264.7 cells (</w:t>
      </w:r>
      <w:r w:rsidRPr="0016308E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3, </w:t>
      </w:r>
      <w:r w:rsidRPr="003236DA"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test). (</w:t>
      </w:r>
      <w:r w:rsidRPr="00893402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) VP suppressed SIRT1 protein levels and increased levels of acetylated-HMGB1 (K12) and </w:t>
      </w:r>
      <w:r>
        <w:rPr>
          <w:rFonts w:ascii="Arial" w:hAnsi="Arial" w:cs="Arial"/>
          <w:sz w:val="24"/>
          <w:szCs w:val="24"/>
        </w:rPr>
        <w:lastRenderedPageBreak/>
        <w:t xml:space="preserve">HMGB1 (K29) in a dose dependent manner </w:t>
      </w:r>
      <w:r>
        <w:rPr>
          <w:rFonts w:ascii="Arial" w:hAnsi="Arial" w:cs="Arial"/>
          <w:bCs/>
          <w:sz w:val="24"/>
          <w:szCs w:val="24"/>
        </w:rPr>
        <w:t>(</w:t>
      </w:r>
      <w:r w:rsidRPr="000144EC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3, one-way ANOVA with Tukey’s test). VP, verteporfin. </w:t>
      </w:r>
    </w:p>
    <w:p w14:paraId="64E12BA6" w14:textId="1F802394" w:rsidR="00AF4FAD" w:rsidRDefault="002B3092" w:rsidP="005748A2">
      <w:pPr>
        <w:spacing w:line="480" w:lineRule="auto"/>
        <w:rPr>
          <w:rFonts w:ascii="Arial" w:hAnsi="Arial" w:cs="Arial"/>
          <w:sz w:val="24"/>
          <w:szCs w:val="24"/>
        </w:rPr>
      </w:pPr>
      <w:r w:rsidRPr="002B3092">
        <w:rPr>
          <w:rFonts w:ascii="Arial" w:hAnsi="Arial" w:cs="Arial"/>
          <w:b/>
          <w:bCs/>
          <w:sz w:val="24"/>
          <w:szCs w:val="24"/>
        </w:rPr>
        <w:t>Fig. S</w:t>
      </w:r>
      <w:r w:rsidR="00EB7A47">
        <w:rPr>
          <w:rFonts w:ascii="Arial" w:hAnsi="Arial" w:cs="Arial"/>
          <w:b/>
          <w:bCs/>
          <w:sz w:val="24"/>
          <w:szCs w:val="24"/>
        </w:rPr>
        <w:t>9</w:t>
      </w:r>
      <w:r w:rsidRPr="002B3092">
        <w:rPr>
          <w:rFonts w:ascii="Arial" w:hAnsi="Arial" w:cs="Arial"/>
          <w:b/>
          <w:bCs/>
          <w:sz w:val="24"/>
          <w:szCs w:val="24"/>
        </w:rPr>
        <w:t>. Lactate induces the interaction among p300, CBP and HMGB1 in macrophages.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 xml:space="preserve">A </w:t>
      </w:r>
      <w:r w:rsidRPr="000913ED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b/>
          <w:bCs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) Lactate-induced interaction between p300 and CBP was assayed by immunoprecipitations using anti-p300 (B) or anti-CBP (C) antibodies followed by immunoblotting with anti-CBP (B) and anti-p300 (C) antibodies, respectively. (</w:t>
      </w:r>
      <w:r w:rsidR="00FF63D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Lactate-induced interaction between p300/CBP and HMGB1 was evidenced by immunoprecipitation with anti-HMGB1 antibodies followed by immunoblotting using anti-p300 and anti-CBP antibodies.</w:t>
      </w:r>
      <w:r w:rsidR="00942714">
        <w:rPr>
          <w:rFonts w:ascii="Arial" w:hAnsi="Arial" w:cs="Arial"/>
          <w:sz w:val="24"/>
          <w:szCs w:val="24"/>
        </w:rPr>
        <w:t xml:space="preserve"> </w:t>
      </w:r>
      <w:r w:rsidR="00942714">
        <w:rPr>
          <w:rFonts w:ascii="Arial" w:hAnsi="Arial" w:cs="Arial"/>
          <w:sz w:val="24"/>
          <w:szCs w:val="24"/>
        </w:rPr>
        <w:t>Values are mean ± SD</w:t>
      </w:r>
      <w:r w:rsidR="00942714">
        <w:rPr>
          <w:rFonts w:ascii="Arial" w:hAnsi="Arial" w:cs="Arial"/>
          <w:i/>
          <w:iCs/>
          <w:sz w:val="24"/>
          <w:szCs w:val="24"/>
        </w:rPr>
        <w:t xml:space="preserve">. </w:t>
      </w:r>
      <w:r w:rsidR="00942714" w:rsidRPr="0016308E">
        <w:rPr>
          <w:rFonts w:ascii="Arial" w:hAnsi="Arial" w:cs="Arial"/>
          <w:i/>
          <w:iCs/>
          <w:sz w:val="24"/>
          <w:szCs w:val="24"/>
        </w:rPr>
        <w:t>n</w:t>
      </w:r>
      <w:r w:rsidR="00942714">
        <w:rPr>
          <w:rFonts w:ascii="Arial" w:hAnsi="Arial" w:cs="Arial"/>
          <w:sz w:val="24"/>
          <w:szCs w:val="24"/>
        </w:rPr>
        <w:t xml:space="preserve"> = 3 for each group, </w:t>
      </w:r>
      <w:r w:rsidR="00942714" w:rsidRPr="003236DA">
        <w:rPr>
          <w:rFonts w:ascii="Arial" w:hAnsi="Arial" w:cs="Arial"/>
          <w:i/>
          <w:iCs/>
          <w:sz w:val="24"/>
          <w:szCs w:val="24"/>
        </w:rPr>
        <w:t>t</w:t>
      </w:r>
      <w:r w:rsidR="00942714">
        <w:rPr>
          <w:rFonts w:ascii="Arial" w:hAnsi="Arial" w:cs="Arial"/>
          <w:sz w:val="24"/>
          <w:szCs w:val="24"/>
        </w:rPr>
        <w:t xml:space="preserve"> test</w:t>
      </w:r>
      <w:r w:rsidR="00942714">
        <w:rPr>
          <w:rFonts w:ascii="Arial" w:hAnsi="Arial" w:cs="Arial"/>
          <w:sz w:val="24"/>
          <w:szCs w:val="24"/>
        </w:rPr>
        <w:t xml:space="preserve">. </w:t>
      </w:r>
    </w:p>
    <w:p w14:paraId="5B26846C" w14:textId="0E9BD5CB" w:rsidR="00EB7A47" w:rsidRDefault="00EB7A47" w:rsidP="005748A2">
      <w:pPr>
        <w:spacing w:line="480" w:lineRule="auto"/>
        <w:rPr>
          <w:rFonts w:ascii="Arial" w:hAnsi="Arial" w:cs="Arial"/>
          <w:sz w:val="24"/>
          <w:szCs w:val="24"/>
        </w:rPr>
      </w:pPr>
      <w:r w:rsidRPr="00EB7A47">
        <w:rPr>
          <w:rFonts w:ascii="Arial" w:hAnsi="Arial" w:cs="Arial"/>
          <w:b/>
          <w:bCs/>
          <w:sz w:val="24"/>
          <w:szCs w:val="24"/>
        </w:rPr>
        <w:t>Fig. S10. Knockdown p300 and CBP expressions by specific siRNAs attenuates lactate-induced HMGB1 acetylation in macrophages.</w:t>
      </w:r>
      <w:r>
        <w:rPr>
          <w:rFonts w:ascii="Arial" w:hAnsi="Arial" w:cs="Arial"/>
          <w:sz w:val="24"/>
          <w:szCs w:val="24"/>
        </w:rPr>
        <w:t xml:space="preserve"> RAW 264.7 cells were transfected either siRNA-p300 (A) or siRNA-CBP (B) for 24 hours followed by lactate (10 mM) stimulation for 6 hours. Expression of acetylated-HMGB1 (K29) was assessed by western blot (</w:t>
      </w:r>
      <w:r w:rsidRPr="000144EC"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= 3</w:t>
      </w:r>
      <w:r w:rsidR="00236440">
        <w:rPr>
          <w:rFonts w:ascii="Arial" w:hAnsi="Arial" w:cs="Arial"/>
          <w:sz w:val="24"/>
          <w:szCs w:val="24"/>
        </w:rPr>
        <w:t xml:space="preserve"> for each group</w:t>
      </w:r>
      <w:r>
        <w:rPr>
          <w:rFonts w:ascii="Arial" w:hAnsi="Arial" w:cs="Arial"/>
          <w:sz w:val="24"/>
          <w:szCs w:val="24"/>
        </w:rPr>
        <w:t xml:space="preserve">, two-way ANOVA with Tukey’s test). </w:t>
      </w:r>
    </w:p>
    <w:p w14:paraId="0E765439" w14:textId="32A01BE9" w:rsidR="00641853" w:rsidRDefault="00641853" w:rsidP="005748A2">
      <w:pPr>
        <w:spacing w:line="480" w:lineRule="auto"/>
        <w:rPr>
          <w:rFonts w:ascii="Arial" w:hAnsi="Arial" w:cs="Arial"/>
          <w:bCs/>
          <w:iCs/>
          <w:sz w:val="24"/>
          <w:szCs w:val="24"/>
        </w:rPr>
      </w:pPr>
      <w:r w:rsidRPr="00641853">
        <w:rPr>
          <w:rFonts w:ascii="Arial" w:hAnsi="Arial" w:cs="Arial"/>
          <w:b/>
          <w:bCs/>
          <w:sz w:val="24"/>
          <w:szCs w:val="24"/>
        </w:rPr>
        <w:t>Fig. S</w:t>
      </w:r>
      <w:r w:rsidR="002B3092">
        <w:rPr>
          <w:rFonts w:ascii="Arial" w:hAnsi="Arial" w:cs="Arial"/>
          <w:b/>
          <w:bCs/>
          <w:sz w:val="24"/>
          <w:szCs w:val="24"/>
        </w:rPr>
        <w:t>1</w:t>
      </w:r>
      <w:r w:rsidR="00CF628B">
        <w:rPr>
          <w:rFonts w:ascii="Arial" w:hAnsi="Arial" w:cs="Arial"/>
          <w:b/>
          <w:bCs/>
          <w:sz w:val="24"/>
          <w:szCs w:val="24"/>
        </w:rPr>
        <w:t>1</w:t>
      </w:r>
      <w:r w:rsidRPr="00641853">
        <w:rPr>
          <w:rFonts w:ascii="Arial" w:hAnsi="Arial" w:cs="Arial"/>
          <w:b/>
          <w:bCs/>
          <w:sz w:val="24"/>
          <w:szCs w:val="24"/>
        </w:rPr>
        <w:t xml:space="preserve">. Lactate induces </w:t>
      </w:r>
      <w:r w:rsidRPr="00641853">
        <w:rPr>
          <w:rFonts w:ascii="Arial" w:hAnsi="Arial" w:cs="Arial"/>
          <w:b/>
          <w:bCs/>
          <w:iCs/>
          <w:sz w:val="24"/>
          <w:szCs w:val="24"/>
        </w:rPr>
        <w:sym w:font="Symbol" w:char="F062"/>
      </w:r>
      <w:r w:rsidRPr="00641853">
        <w:rPr>
          <w:rFonts w:ascii="Arial" w:hAnsi="Arial" w:cs="Arial"/>
          <w:b/>
          <w:bCs/>
          <w:iCs/>
          <w:sz w:val="24"/>
          <w:szCs w:val="24"/>
        </w:rPr>
        <w:t>-</w:t>
      </w:r>
      <w:r w:rsidRPr="00362B5E">
        <w:rPr>
          <w:rFonts w:ascii="Arial" w:hAnsi="Arial" w:cs="Arial"/>
          <w:b/>
          <w:iCs/>
          <w:sz w:val="24"/>
          <w:szCs w:val="24"/>
        </w:rPr>
        <w:t>arrestin2</w:t>
      </w:r>
      <w:r>
        <w:rPr>
          <w:rFonts w:ascii="Arial" w:hAnsi="Arial" w:cs="Arial"/>
          <w:b/>
          <w:iCs/>
          <w:sz w:val="24"/>
          <w:szCs w:val="24"/>
        </w:rPr>
        <w:t xml:space="preserve"> nuclear translocation and HMGB1 acetylation.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Representative images of immunofluorescent staining using anti</w:t>
      </w:r>
      <w:r w:rsidRPr="004157D2">
        <w:rPr>
          <w:rFonts w:ascii="Arial" w:hAnsi="Arial" w:cs="Arial"/>
          <w:sz w:val="24"/>
          <w:szCs w:val="24"/>
        </w:rPr>
        <w:t>-</w:t>
      </w:r>
      <w:r w:rsidRPr="004157D2">
        <w:rPr>
          <w:rFonts w:ascii="Arial" w:hAnsi="Arial" w:cs="Arial"/>
          <w:iCs/>
          <w:sz w:val="24"/>
          <w:szCs w:val="24"/>
        </w:rPr>
        <w:sym w:font="Symbol" w:char="F062"/>
      </w:r>
      <w:r w:rsidRPr="004157D2">
        <w:rPr>
          <w:rFonts w:ascii="Arial" w:hAnsi="Arial" w:cs="Arial"/>
          <w:iCs/>
          <w:sz w:val="24"/>
          <w:szCs w:val="24"/>
        </w:rPr>
        <w:t>-arrestin2</w:t>
      </w:r>
      <w:r>
        <w:rPr>
          <w:rFonts w:ascii="Arial" w:hAnsi="Arial" w:cs="Arial"/>
          <w:iCs/>
          <w:sz w:val="24"/>
          <w:szCs w:val="24"/>
        </w:rPr>
        <w:t xml:space="preserve"> (red) and anti-acetylated HMGB1 (green) show that lactate induced</w:t>
      </w:r>
      <w:r w:rsidRPr="004157D2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4157D2">
        <w:rPr>
          <w:rFonts w:ascii="Arial" w:hAnsi="Arial" w:cs="Arial"/>
          <w:bCs/>
          <w:iCs/>
          <w:sz w:val="24"/>
          <w:szCs w:val="24"/>
        </w:rPr>
        <w:sym w:font="Symbol" w:char="F062"/>
      </w:r>
      <w:r w:rsidRPr="004157D2">
        <w:rPr>
          <w:rFonts w:ascii="Arial" w:hAnsi="Arial" w:cs="Arial"/>
          <w:bCs/>
          <w:iCs/>
          <w:sz w:val="24"/>
          <w:szCs w:val="24"/>
        </w:rPr>
        <w:t>-arrestin2</w:t>
      </w:r>
      <w:r>
        <w:rPr>
          <w:rFonts w:ascii="Arial" w:hAnsi="Arial" w:cs="Arial"/>
          <w:bCs/>
          <w:iCs/>
          <w:sz w:val="24"/>
          <w:szCs w:val="24"/>
        </w:rPr>
        <w:t xml:space="preserve"> nuclear translocation and increased HMGB1 acetylation (indicated by white arrows). (</w:t>
      </w:r>
      <w:r>
        <w:rPr>
          <w:rFonts w:ascii="Arial" w:hAnsi="Arial" w:cs="Arial"/>
          <w:b/>
          <w:iCs/>
          <w:sz w:val="24"/>
          <w:szCs w:val="24"/>
        </w:rPr>
        <w:t>B</w:t>
      </w:r>
      <w:r>
        <w:rPr>
          <w:rFonts w:ascii="Arial" w:hAnsi="Arial" w:cs="Arial"/>
          <w:bCs/>
          <w:iCs/>
          <w:sz w:val="24"/>
          <w:szCs w:val="24"/>
        </w:rPr>
        <w:t xml:space="preserve">) Lactate induced </w:t>
      </w:r>
      <w:r w:rsidRPr="004157D2">
        <w:rPr>
          <w:rFonts w:ascii="Arial" w:hAnsi="Arial" w:cs="Arial"/>
          <w:bCs/>
          <w:iCs/>
          <w:sz w:val="24"/>
          <w:szCs w:val="24"/>
        </w:rPr>
        <w:sym w:font="Symbol" w:char="F062"/>
      </w:r>
      <w:r w:rsidRPr="004157D2">
        <w:rPr>
          <w:rFonts w:ascii="Arial" w:hAnsi="Arial" w:cs="Arial"/>
          <w:bCs/>
          <w:iCs/>
          <w:sz w:val="24"/>
          <w:szCs w:val="24"/>
        </w:rPr>
        <w:t>-arrestin2</w:t>
      </w:r>
      <w:r>
        <w:rPr>
          <w:rFonts w:ascii="Arial" w:hAnsi="Arial" w:cs="Arial"/>
          <w:bCs/>
          <w:iCs/>
          <w:sz w:val="24"/>
          <w:szCs w:val="24"/>
        </w:rPr>
        <w:t xml:space="preserve"> (green) nuclear translocation in primary BMDMs.</w:t>
      </w:r>
    </w:p>
    <w:p w14:paraId="435B7CA1" w14:textId="21375E95" w:rsidR="00CF628B" w:rsidRDefault="00CF628B" w:rsidP="005748A2">
      <w:pPr>
        <w:spacing w:line="480" w:lineRule="auto"/>
        <w:rPr>
          <w:rFonts w:ascii="Arial" w:hAnsi="Arial" w:cs="Arial"/>
          <w:bCs/>
          <w:iCs/>
          <w:sz w:val="24"/>
          <w:szCs w:val="24"/>
        </w:rPr>
      </w:pPr>
      <w:r w:rsidRPr="00601F5E">
        <w:rPr>
          <w:rFonts w:ascii="Arial" w:hAnsi="Arial" w:cs="Arial"/>
          <w:b/>
          <w:iCs/>
          <w:sz w:val="24"/>
          <w:szCs w:val="24"/>
        </w:rPr>
        <w:t xml:space="preserve">Fig. S12. Knockdown of p300 and CBP by siRNA transfection or adenovirus-mediated expression of YAP protect endothelial cell against macrophage </w:t>
      </w:r>
      <w:r w:rsidRPr="00601F5E">
        <w:rPr>
          <w:rFonts w:ascii="Arial" w:hAnsi="Arial" w:cs="Arial"/>
          <w:b/>
          <w:iCs/>
          <w:sz w:val="24"/>
          <w:szCs w:val="24"/>
        </w:rPr>
        <w:lastRenderedPageBreak/>
        <w:t>exosome-induced downregulation of junctional proteins and upregulation of ICAM1.</w:t>
      </w:r>
      <w:r w:rsidRPr="00601F5E">
        <w:rPr>
          <w:rFonts w:ascii="Arial" w:hAnsi="Arial" w:cs="Arial"/>
          <w:bCs/>
          <w:iCs/>
          <w:sz w:val="24"/>
          <w:szCs w:val="24"/>
        </w:rPr>
        <w:t xml:space="preserve"> </w:t>
      </w:r>
      <w:r w:rsidR="00601F5E" w:rsidRPr="00601F5E">
        <w:rPr>
          <w:rFonts w:ascii="Arial" w:hAnsi="Arial" w:cs="Arial"/>
          <w:bCs/>
          <w:iCs/>
          <w:sz w:val="24"/>
          <w:szCs w:val="24"/>
        </w:rPr>
        <w:t>(</w:t>
      </w:r>
      <w:r w:rsidR="00601F5E">
        <w:rPr>
          <w:rFonts w:ascii="Arial" w:hAnsi="Arial" w:cs="Arial"/>
          <w:b/>
          <w:iCs/>
          <w:sz w:val="24"/>
          <w:szCs w:val="24"/>
        </w:rPr>
        <w:t>A-B</w:t>
      </w:r>
      <w:r w:rsidR="00601F5E" w:rsidRPr="00601F5E">
        <w:rPr>
          <w:rFonts w:ascii="Arial" w:hAnsi="Arial" w:cs="Arial"/>
          <w:bCs/>
          <w:iCs/>
          <w:sz w:val="24"/>
          <w:szCs w:val="24"/>
        </w:rPr>
        <w:t>)</w:t>
      </w:r>
      <w:r w:rsidR="00601F5E">
        <w:rPr>
          <w:rFonts w:ascii="Arial" w:hAnsi="Arial" w:cs="Arial"/>
          <w:b/>
          <w:iCs/>
          <w:sz w:val="24"/>
          <w:szCs w:val="24"/>
        </w:rPr>
        <w:t xml:space="preserve"> </w:t>
      </w:r>
      <w:r w:rsidR="00601F5E">
        <w:rPr>
          <w:rFonts w:ascii="Arial" w:hAnsi="Arial" w:cs="Arial"/>
          <w:bCs/>
          <w:sz w:val="24"/>
          <w:szCs w:val="24"/>
        </w:rPr>
        <w:t xml:space="preserve">RAW 264.7 cells were transfected with either p300 (A) or CBP (B) siRNAs or control siRNA for 24 hours followed by lactate stimulation. </w:t>
      </w:r>
      <w:r w:rsidR="00601F5E">
        <w:rPr>
          <w:rFonts w:ascii="Arial" w:hAnsi="Arial" w:cs="Arial"/>
          <w:sz w:val="24"/>
          <w:szCs w:val="24"/>
        </w:rPr>
        <w:t>(</w:t>
      </w:r>
      <w:r w:rsidR="00601F5E" w:rsidRPr="00601F5E">
        <w:rPr>
          <w:rFonts w:ascii="Arial" w:hAnsi="Arial" w:cs="Arial"/>
          <w:b/>
          <w:bCs/>
          <w:sz w:val="24"/>
          <w:szCs w:val="24"/>
        </w:rPr>
        <w:t>C</w:t>
      </w:r>
      <w:r w:rsidR="00601F5E">
        <w:rPr>
          <w:rFonts w:ascii="Arial" w:hAnsi="Arial" w:cs="Arial"/>
          <w:sz w:val="24"/>
          <w:szCs w:val="24"/>
        </w:rPr>
        <w:t>) RAW 264.7 cells were transduced with Ad-YAP or Ad-GFP for 24 hours followed by lactate stimulation.</w:t>
      </w:r>
      <w:r w:rsidR="00601F5E" w:rsidRPr="00601F5E">
        <w:rPr>
          <w:rFonts w:ascii="Arial" w:hAnsi="Arial" w:cs="Arial"/>
          <w:bCs/>
          <w:sz w:val="24"/>
          <w:szCs w:val="24"/>
        </w:rPr>
        <w:t xml:space="preserve"> </w:t>
      </w:r>
      <w:r w:rsidR="00601F5E">
        <w:rPr>
          <w:rFonts w:ascii="Arial" w:hAnsi="Arial" w:cs="Arial"/>
          <w:bCs/>
          <w:sz w:val="24"/>
          <w:szCs w:val="24"/>
        </w:rPr>
        <w:t xml:space="preserve">Exosomes were collected from supernatants and added to endothelial cell culture. Expression of endothelial VE-cadherin, claudin 5 and ICAM1 was assayed by western blot </w:t>
      </w:r>
      <w:r w:rsidR="00601F5E">
        <w:rPr>
          <w:rFonts w:ascii="Arial" w:hAnsi="Arial" w:cs="Arial"/>
          <w:sz w:val="24"/>
          <w:szCs w:val="24"/>
        </w:rPr>
        <w:t>(</w:t>
      </w:r>
      <w:r w:rsidR="00601F5E" w:rsidRPr="000144EC">
        <w:rPr>
          <w:rFonts w:ascii="Arial" w:hAnsi="Arial" w:cs="Arial"/>
          <w:i/>
          <w:iCs/>
          <w:sz w:val="24"/>
          <w:szCs w:val="24"/>
        </w:rPr>
        <w:t>n</w:t>
      </w:r>
      <w:r w:rsidR="00601F5E">
        <w:rPr>
          <w:rFonts w:ascii="Arial" w:hAnsi="Arial" w:cs="Arial"/>
          <w:sz w:val="24"/>
          <w:szCs w:val="24"/>
        </w:rPr>
        <w:t xml:space="preserve"> = 3</w:t>
      </w:r>
      <w:r w:rsidR="00236440">
        <w:rPr>
          <w:rFonts w:ascii="Arial" w:hAnsi="Arial" w:cs="Arial"/>
          <w:sz w:val="24"/>
          <w:szCs w:val="24"/>
        </w:rPr>
        <w:t xml:space="preserve"> for each group</w:t>
      </w:r>
      <w:r w:rsidR="00601F5E">
        <w:rPr>
          <w:rFonts w:ascii="Arial" w:hAnsi="Arial" w:cs="Arial"/>
          <w:sz w:val="24"/>
          <w:szCs w:val="24"/>
        </w:rPr>
        <w:t>, two-way ANOVA with Tukey’s test).</w:t>
      </w:r>
    </w:p>
    <w:p w14:paraId="28193D44" w14:textId="5886DABE" w:rsidR="005748A2" w:rsidRPr="001C0BCC" w:rsidRDefault="00641853" w:rsidP="00C066D0">
      <w:pPr>
        <w:spacing w:line="480" w:lineRule="auto"/>
        <w:rPr>
          <w:rFonts w:ascii="Arial" w:hAnsi="Arial" w:cs="Arial"/>
          <w:sz w:val="24"/>
          <w:szCs w:val="24"/>
        </w:rPr>
      </w:pPr>
      <w:r w:rsidRPr="00641853">
        <w:rPr>
          <w:rFonts w:ascii="Arial" w:hAnsi="Arial" w:cs="Arial"/>
          <w:b/>
          <w:bCs/>
          <w:sz w:val="24"/>
          <w:szCs w:val="24"/>
        </w:rPr>
        <w:t xml:space="preserve">Table S1. Antibodies and reagents. </w:t>
      </w:r>
    </w:p>
    <w:sectPr w:rsidR="005748A2" w:rsidRPr="001C0BCC" w:rsidSect="00C066D0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87CD3" w14:textId="77777777" w:rsidR="001369BF" w:rsidRDefault="001369BF" w:rsidP="00B7161A">
      <w:pPr>
        <w:spacing w:after="0" w:line="240" w:lineRule="auto"/>
      </w:pPr>
      <w:r>
        <w:separator/>
      </w:r>
    </w:p>
  </w:endnote>
  <w:endnote w:type="continuationSeparator" w:id="0">
    <w:p w14:paraId="7B183BCE" w14:textId="77777777" w:rsidR="001369BF" w:rsidRDefault="001369BF" w:rsidP="00B71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5809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F378DD" w14:textId="48818DE3" w:rsidR="00C066D0" w:rsidRDefault="00C066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319B3C" w14:textId="77777777" w:rsidR="00C066D0" w:rsidRDefault="00C06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DD790" w14:textId="77777777" w:rsidR="001369BF" w:rsidRDefault="001369BF" w:rsidP="00B7161A">
      <w:pPr>
        <w:spacing w:after="0" w:line="240" w:lineRule="auto"/>
      </w:pPr>
      <w:r>
        <w:separator/>
      </w:r>
    </w:p>
  </w:footnote>
  <w:footnote w:type="continuationSeparator" w:id="0">
    <w:p w14:paraId="1425DA8E" w14:textId="77777777" w:rsidR="001369BF" w:rsidRDefault="001369BF" w:rsidP="00B71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A4"/>
    <w:rsid w:val="000A5CB0"/>
    <w:rsid w:val="000C5AAB"/>
    <w:rsid w:val="001012B9"/>
    <w:rsid w:val="001120A3"/>
    <w:rsid w:val="001369BF"/>
    <w:rsid w:val="001C0BCC"/>
    <w:rsid w:val="00236440"/>
    <w:rsid w:val="002A02FA"/>
    <w:rsid w:val="002B3092"/>
    <w:rsid w:val="002B4A37"/>
    <w:rsid w:val="002E2472"/>
    <w:rsid w:val="003407FC"/>
    <w:rsid w:val="0039425C"/>
    <w:rsid w:val="004643B8"/>
    <w:rsid w:val="004C464C"/>
    <w:rsid w:val="005748A2"/>
    <w:rsid w:val="005B5730"/>
    <w:rsid w:val="00601F5E"/>
    <w:rsid w:val="00641853"/>
    <w:rsid w:val="00893402"/>
    <w:rsid w:val="008A4D90"/>
    <w:rsid w:val="008E3508"/>
    <w:rsid w:val="00942714"/>
    <w:rsid w:val="009A4C07"/>
    <w:rsid w:val="00AC3671"/>
    <w:rsid w:val="00AF4FAD"/>
    <w:rsid w:val="00B554AA"/>
    <w:rsid w:val="00B7161A"/>
    <w:rsid w:val="00C066D0"/>
    <w:rsid w:val="00CF628B"/>
    <w:rsid w:val="00E64F45"/>
    <w:rsid w:val="00E911ED"/>
    <w:rsid w:val="00EB7A47"/>
    <w:rsid w:val="00ED390B"/>
    <w:rsid w:val="00EF32A4"/>
    <w:rsid w:val="00FE129C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C09FA"/>
  <w15:chartTrackingRefBased/>
  <w15:docId w15:val="{1423CF65-B834-4DBF-A12B-5778BCAE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61A"/>
  </w:style>
  <w:style w:type="paragraph" w:styleId="Footer">
    <w:name w:val="footer"/>
    <w:basedOn w:val="Normal"/>
    <w:link w:val="FooterChar"/>
    <w:uiPriority w:val="99"/>
    <w:unhideWhenUsed/>
    <w:rsid w:val="00B71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61A"/>
  </w:style>
  <w:style w:type="character" w:styleId="LineNumber">
    <w:name w:val="line number"/>
    <w:basedOn w:val="DefaultParagraphFont"/>
    <w:uiPriority w:val="99"/>
    <w:semiHidden/>
    <w:unhideWhenUsed/>
    <w:rsid w:val="00C06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Yang</dc:creator>
  <cp:keywords/>
  <dc:description/>
  <cp:lastModifiedBy>Kun Yang</cp:lastModifiedBy>
  <cp:revision>22</cp:revision>
  <dcterms:created xsi:type="dcterms:W3CDTF">2020-07-21T16:05:00Z</dcterms:created>
  <dcterms:modified xsi:type="dcterms:W3CDTF">2021-03-17T18:39:00Z</dcterms:modified>
</cp:coreProperties>
</file>