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D802A9" w14:textId="11AD39ED" w:rsidR="007E5F1A" w:rsidRPr="00BE0689" w:rsidRDefault="007E5F1A" w:rsidP="007C363A">
      <w:pPr>
        <w:pStyle w:val="MDPI12title"/>
        <w:spacing w:after="0" w:line="240" w:lineRule="auto"/>
        <w:jc w:val="both"/>
        <w:rPr>
          <w:sz w:val="24"/>
          <w:szCs w:val="24"/>
        </w:rPr>
      </w:pPr>
      <w:r w:rsidRPr="00BE0689">
        <w:rPr>
          <w:sz w:val="24"/>
          <w:szCs w:val="24"/>
        </w:rPr>
        <w:t>Supplementa</w:t>
      </w:r>
      <w:r w:rsidR="00891533">
        <w:rPr>
          <w:sz w:val="24"/>
          <w:szCs w:val="24"/>
        </w:rPr>
        <w:t>ry</w:t>
      </w:r>
      <w:r w:rsidRPr="00BE0689">
        <w:rPr>
          <w:sz w:val="24"/>
          <w:szCs w:val="24"/>
        </w:rPr>
        <w:t xml:space="preserve"> </w:t>
      </w:r>
      <w:r w:rsidR="0088638C">
        <w:rPr>
          <w:sz w:val="24"/>
          <w:szCs w:val="24"/>
        </w:rPr>
        <w:t>Material</w:t>
      </w:r>
    </w:p>
    <w:p w14:paraId="5017C7F9" w14:textId="77777777" w:rsidR="00CD56A2" w:rsidRDefault="00CD56A2">
      <w:pPr>
        <w:pStyle w:val="MDPI12title"/>
        <w:spacing w:after="0" w:line="240" w:lineRule="auto"/>
        <w:jc w:val="both"/>
        <w:rPr>
          <w:rFonts w:eastAsia="SimSun"/>
          <w:bCs/>
          <w:noProof/>
          <w:snapToGrid/>
          <w:sz w:val="24"/>
          <w:szCs w:val="24"/>
          <w:lang w:eastAsia="zh-CN" w:bidi="ar-SA"/>
        </w:rPr>
      </w:pPr>
    </w:p>
    <w:p w14:paraId="61100A71" w14:textId="0D0D3E32" w:rsidR="00836C73" w:rsidRPr="00836C73" w:rsidRDefault="00836C73" w:rsidP="007C363A">
      <w:pPr>
        <w:pStyle w:val="MDPI12title"/>
        <w:spacing w:after="0" w:line="240" w:lineRule="auto"/>
        <w:jc w:val="both"/>
        <w:rPr>
          <w:rFonts w:eastAsia="SimSun"/>
          <w:bCs/>
          <w:noProof/>
          <w:snapToGrid/>
          <w:sz w:val="24"/>
          <w:szCs w:val="24"/>
          <w:lang w:eastAsia="zh-CN" w:bidi="ar-SA"/>
        </w:rPr>
      </w:pPr>
      <w:r w:rsidRPr="00836C73">
        <w:rPr>
          <w:rFonts w:eastAsia="SimSun"/>
          <w:bCs/>
          <w:noProof/>
          <w:snapToGrid/>
          <w:sz w:val="24"/>
          <w:szCs w:val="24"/>
          <w:lang w:eastAsia="zh-CN" w:bidi="ar-SA"/>
        </w:rPr>
        <w:t>Targeting Mitochondrial Metabolism for Precision Medicine in Cancer</w:t>
      </w:r>
    </w:p>
    <w:p w14:paraId="7475F084" w14:textId="77777777" w:rsidR="00CD56A2" w:rsidRDefault="00CD56A2" w:rsidP="000E018D">
      <w:pPr>
        <w:rPr>
          <w:rFonts w:ascii="Palatino Linotype" w:eastAsia="SimSun" w:hAnsi="Palatino Linotype" w:cs="Times New Roman"/>
          <w:noProof/>
          <w:color w:val="000000"/>
          <w:sz w:val="20"/>
          <w:szCs w:val="20"/>
          <w:lang w:val="en-US" w:eastAsia="zh-CN"/>
        </w:rPr>
      </w:pPr>
    </w:p>
    <w:p w14:paraId="2453D35C" w14:textId="2E4A5399" w:rsidR="0016646C" w:rsidRPr="00FC79F5" w:rsidRDefault="0016646C" w:rsidP="000E018D">
      <w:pPr>
        <w:rPr>
          <w:rFonts w:ascii="Palatino Linotype" w:eastAsia="SimSun" w:hAnsi="Palatino Linotype" w:cs="Times New Roman"/>
          <w:noProof/>
          <w:color w:val="000000"/>
          <w:sz w:val="20"/>
          <w:szCs w:val="20"/>
          <w:lang w:val="en-US" w:eastAsia="zh-CN"/>
        </w:rPr>
      </w:pPr>
      <w:r w:rsidRPr="00FC79F5">
        <w:rPr>
          <w:rFonts w:ascii="Palatino Linotype" w:eastAsia="SimSun" w:hAnsi="Palatino Linotype" w:cs="Times New Roman"/>
          <w:noProof/>
          <w:color w:val="000000"/>
          <w:sz w:val="20"/>
          <w:szCs w:val="20"/>
          <w:lang w:val="en-US" w:eastAsia="zh-CN"/>
        </w:rPr>
        <w:t xml:space="preserve">Running title: Mitochondrial metabolism in precision cancer therapy </w:t>
      </w:r>
    </w:p>
    <w:p w14:paraId="3EE026F8" w14:textId="77777777" w:rsidR="0016646C" w:rsidRPr="00FC79F5" w:rsidRDefault="0016646C" w:rsidP="000E018D">
      <w:pPr>
        <w:rPr>
          <w:rFonts w:ascii="Palatino Linotype" w:eastAsia="SimSun" w:hAnsi="Palatino Linotype" w:cs="Times New Roman"/>
          <w:noProof/>
          <w:color w:val="000000"/>
          <w:sz w:val="20"/>
          <w:szCs w:val="20"/>
          <w:lang w:val="en-US" w:eastAsia="zh-CN"/>
        </w:rPr>
      </w:pPr>
    </w:p>
    <w:p w14:paraId="3843DAED" w14:textId="1A2315BF" w:rsidR="006620EA" w:rsidRPr="003C4EF1" w:rsidRDefault="0016646C" w:rsidP="007C363A">
      <w:pPr>
        <w:pStyle w:val="MDPI13authornames"/>
        <w:spacing w:after="0" w:line="240" w:lineRule="auto"/>
        <w:jc w:val="both"/>
        <w:rPr>
          <w:rFonts w:eastAsia="SimSun"/>
          <w:noProof/>
          <w:szCs w:val="20"/>
          <w:lang w:val="es-ES" w:eastAsia="zh-CN"/>
        </w:rPr>
      </w:pPr>
      <w:r w:rsidRPr="00FC79F5">
        <w:rPr>
          <w:rFonts w:eastAsia="SimSun"/>
          <w:b w:val="0"/>
          <w:noProof/>
          <w:szCs w:val="20"/>
          <w:lang w:val="es-ES" w:eastAsia="zh-CN" w:bidi="ar-SA"/>
        </w:rPr>
        <w:t>L</w:t>
      </w:r>
      <w:r w:rsidR="00915E5C" w:rsidRPr="00FC79F5">
        <w:rPr>
          <w:rFonts w:eastAsia="SimSun"/>
          <w:b w:val="0"/>
          <w:noProof/>
          <w:szCs w:val="20"/>
          <w:lang w:val="es-ES" w:eastAsia="zh-CN" w:bidi="ar-SA"/>
        </w:rPr>
        <w:t>our</w:t>
      </w:r>
      <w:r w:rsidRPr="00FC79F5">
        <w:rPr>
          <w:rFonts w:eastAsia="SimSun"/>
          <w:b w:val="0"/>
          <w:noProof/>
          <w:szCs w:val="20"/>
          <w:lang w:val="es-ES" w:eastAsia="zh-CN" w:bidi="ar-SA"/>
        </w:rPr>
        <w:t>des Sainero-Alcolado</w:t>
      </w:r>
      <w:r w:rsidR="009E57B3" w:rsidRPr="003C4EF1">
        <w:rPr>
          <w:rFonts w:eastAsia="SimSun"/>
          <w:b w:val="0"/>
          <w:noProof/>
          <w:szCs w:val="20"/>
          <w:vertAlign w:val="superscript"/>
          <w:lang w:val="es-ES" w:eastAsia="zh-CN" w:bidi="ar-SA"/>
        </w:rPr>
        <w:t>1</w:t>
      </w:r>
      <w:r w:rsidR="00390B73" w:rsidRPr="003C4EF1">
        <w:rPr>
          <w:rFonts w:eastAsia="SimSun"/>
          <w:b w:val="0"/>
          <w:noProof/>
          <w:szCs w:val="20"/>
          <w:vertAlign w:val="superscript"/>
          <w:lang w:val="es-ES" w:eastAsia="zh-CN" w:bidi="ar-SA"/>
        </w:rPr>
        <w:t>,2</w:t>
      </w:r>
      <w:r w:rsidR="00390B73">
        <w:rPr>
          <w:rFonts w:eastAsia="SimSun"/>
          <w:b w:val="0"/>
          <w:noProof/>
          <w:szCs w:val="20"/>
          <w:lang w:val="es-ES" w:eastAsia="zh-CN" w:bidi="ar-SA"/>
        </w:rPr>
        <w:t>,</w:t>
      </w:r>
      <w:r w:rsidRPr="00FC79F5">
        <w:rPr>
          <w:rFonts w:eastAsia="SimSun"/>
          <w:b w:val="0"/>
          <w:noProof/>
          <w:szCs w:val="20"/>
          <w:lang w:val="es-ES" w:eastAsia="zh-CN" w:bidi="ar-SA"/>
        </w:rPr>
        <w:t xml:space="preserve"> Judit Liaño-Pons</w:t>
      </w:r>
      <w:r w:rsidR="009E57B3" w:rsidRPr="003C4EF1">
        <w:rPr>
          <w:rFonts w:eastAsia="SimSun"/>
          <w:b w:val="0"/>
          <w:noProof/>
          <w:szCs w:val="20"/>
          <w:vertAlign w:val="superscript"/>
          <w:lang w:val="es-ES" w:eastAsia="zh-CN" w:bidi="ar-SA"/>
        </w:rPr>
        <w:t>1</w:t>
      </w:r>
      <w:r w:rsidR="00390B73" w:rsidRPr="003C4EF1">
        <w:rPr>
          <w:rFonts w:eastAsia="SimSun"/>
          <w:b w:val="0"/>
          <w:noProof/>
          <w:szCs w:val="20"/>
          <w:vertAlign w:val="superscript"/>
          <w:lang w:val="es-ES" w:eastAsia="zh-CN" w:bidi="ar-SA"/>
        </w:rPr>
        <w:t>,2</w:t>
      </w:r>
      <w:r w:rsidR="00390B73">
        <w:rPr>
          <w:rFonts w:eastAsia="SimSun"/>
          <w:b w:val="0"/>
          <w:noProof/>
          <w:szCs w:val="20"/>
          <w:lang w:val="es-ES" w:eastAsia="zh-CN" w:bidi="ar-SA"/>
        </w:rPr>
        <w:t>,</w:t>
      </w:r>
      <w:r w:rsidRPr="00FC79F5">
        <w:rPr>
          <w:rFonts w:eastAsia="SimSun"/>
          <w:b w:val="0"/>
          <w:noProof/>
          <w:szCs w:val="20"/>
          <w:lang w:val="es-ES" w:eastAsia="zh-CN" w:bidi="ar-SA"/>
        </w:rPr>
        <w:t xml:space="preserve"> María Victoria Ruiz-Pérez</w:t>
      </w:r>
      <w:r w:rsidR="009E57B3" w:rsidRPr="003C4EF1">
        <w:rPr>
          <w:rFonts w:eastAsia="SimSun"/>
          <w:b w:val="0"/>
          <w:noProof/>
          <w:szCs w:val="20"/>
          <w:vertAlign w:val="superscript"/>
          <w:lang w:val="es-ES" w:eastAsia="zh-CN" w:bidi="ar-SA"/>
        </w:rPr>
        <w:t>1</w:t>
      </w:r>
      <w:r w:rsidRPr="00FC79F5">
        <w:rPr>
          <w:rFonts w:eastAsia="SimSun"/>
          <w:b w:val="0"/>
          <w:noProof/>
          <w:szCs w:val="20"/>
          <w:lang w:val="es-ES" w:eastAsia="zh-CN" w:bidi="ar-SA"/>
        </w:rPr>
        <w:t>, and Marie Arsenian-Henriksson</w:t>
      </w:r>
      <w:r w:rsidR="009E57B3" w:rsidRPr="003C4EF1">
        <w:rPr>
          <w:rFonts w:eastAsia="SimSun"/>
          <w:b w:val="0"/>
          <w:noProof/>
          <w:szCs w:val="20"/>
          <w:vertAlign w:val="superscript"/>
          <w:lang w:val="es-ES" w:eastAsia="zh-CN" w:bidi="ar-SA"/>
        </w:rPr>
        <w:t>1*</w:t>
      </w:r>
    </w:p>
    <w:p w14:paraId="1E327FFB" w14:textId="77777777" w:rsidR="006620EA" w:rsidRPr="00D945EC" w:rsidRDefault="006620EA" w:rsidP="007C363A">
      <w:pPr>
        <w:pStyle w:val="MDPI16affiliation"/>
        <w:spacing w:line="240" w:lineRule="auto"/>
        <w:ind w:left="0" w:firstLine="0"/>
        <w:jc w:val="both"/>
      </w:pPr>
      <w:r w:rsidRPr="00092478">
        <w:rPr>
          <w:vertAlign w:val="superscript"/>
        </w:rPr>
        <w:t>1</w:t>
      </w:r>
      <w:r w:rsidR="00F10E19">
        <w:t xml:space="preserve"> </w:t>
      </w:r>
      <w:r w:rsidRPr="007E034B">
        <w:t>Department of Microbiology, Tumor and Cell Biology</w:t>
      </w:r>
      <w:r>
        <w:t xml:space="preserve"> (MTC)</w:t>
      </w:r>
      <w:r w:rsidRPr="007E034B">
        <w:t xml:space="preserve">, </w:t>
      </w:r>
      <w:proofErr w:type="spellStart"/>
      <w:r w:rsidRPr="007E034B">
        <w:t>Biomedicum</w:t>
      </w:r>
      <w:proofErr w:type="spellEnd"/>
      <w:r w:rsidRPr="007E034B">
        <w:t xml:space="preserve"> B7, Karolinska </w:t>
      </w:r>
      <w:proofErr w:type="spellStart"/>
      <w:r w:rsidRPr="007E034B">
        <w:t>Institutet</w:t>
      </w:r>
      <w:proofErr w:type="spellEnd"/>
      <w:r w:rsidRPr="007E034B">
        <w:t xml:space="preserve">, SE-171 65 Stockholm, Sweden. </w:t>
      </w:r>
      <w:r>
        <w:t xml:space="preserve">L.S-A, </w:t>
      </w:r>
      <w:r w:rsidRPr="007E034B">
        <w:t>lourdes.sainero.alcolado@ki.se</w:t>
      </w:r>
      <w:r>
        <w:t xml:space="preserve">; J.L-P, </w:t>
      </w:r>
      <w:r w:rsidRPr="007E034B">
        <w:t>judit.liano.pons@ki.se</w:t>
      </w:r>
      <w:r>
        <w:t xml:space="preserve">; M.V.R-P, </w:t>
      </w:r>
      <w:r w:rsidRPr="007E034B">
        <w:t>maria.ruiz.perez@ki.se</w:t>
      </w:r>
      <w:r>
        <w:t>; M.A-H, marie.arsenian.henriksson@ki.se</w:t>
      </w:r>
    </w:p>
    <w:p w14:paraId="12647769" w14:textId="77777777" w:rsidR="006620EA" w:rsidRPr="007E034B" w:rsidRDefault="006620EA" w:rsidP="007C363A">
      <w:pPr>
        <w:pStyle w:val="MDPI16affiliation"/>
        <w:spacing w:line="240" w:lineRule="auto"/>
        <w:ind w:left="0" w:firstLine="0"/>
        <w:jc w:val="both"/>
      </w:pPr>
      <w:r>
        <w:rPr>
          <w:vertAlign w:val="superscript"/>
        </w:rPr>
        <w:t xml:space="preserve">2      </w:t>
      </w:r>
      <w:r w:rsidRPr="007E034B">
        <w:t>These authors contributed equally to this work</w:t>
      </w:r>
    </w:p>
    <w:p w14:paraId="3345A59A" w14:textId="77777777" w:rsidR="006620EA" w:rsidRDefault="006620EA" w:rsidP="007C363A">
      <w:pPr>
        <w:pStyle w:val="MDPI16affiliation"/>
        <w:spacing w:line="240" w:lineRule="auto"/>
        <w:ind w:left="0" w:firstLine="0"/>
        <w:jc w:val="both"/>
        <w:rPr>
          <w:color w:val="auto"/>
        </w:rPr>
      </w:pPr>
      <w:r w:rsidRPr="00315B80">
        <w:rPr>
          <w:b/>
          <w:color w:val="auto"/>
        </w:rPr>
        <w:t>*</w:t>
      </w:r>
      <w:r w:rsidR="00F10E19">
        <w:rPr>
          <w:color w:val="auto"/>
        </w:rPr>
        <w:t xml:space="preserve"> </w:t>
      </w:r>
      <w:r w:rsidRPr="00315B80">
        <w:rPr>
          <w:color w:val="auto"/>
        </w:rPr>
        <w:t xml:space="preserve">Correspondence: marie.arsenian.henriksson@ki.se; Tel.: +46852486205 </w:t>
      </w:r>
    </w:p>
    <w:p w14:paraId="11EED01A" w14:textId="3DDA444C" w:rsidR="006620EA" w:rsidRDefault="006620EA" w:rsidP="000E018D">
      <w:pPr>
        <w:rPr>
          <w:b/>
          <w:lang w:val="en-US" w:eastAsia="zh-CN"/>
        </w:rPr>
      </w:pPr>
    </w:p>
    <w:p w14:paraId="797AF438" w14:textId="77777777" w:rsidR="00A0540A" w:rsidRPr="003C4EF1" w:rsidRDefault="00A0540A" w:rsidP="000E018D">
      <w:pPr>
        <w:rPr>
          <w:b/>
          <w:lang w:val="en-US" w:eastAsia="zh-CN"/>
        </w:rPr>
      </w:pPr>
    </w:p>
    <w:p w14:paraId="75C19AA5" w14:textId="47A6734F" w:rsidR="004D1267" w:rsidRDefault="00D21A19" w:rsidP="007C363A">
      <w:pPr>
        <w:pStyle w:val="MDPI41tablecaption"/>
        <w:spacing w:before="0" w:after="0" w:line="240" w:lineRule="auto"/>
        <w:ind w:left="0"/>
        <w:jc w:val="both"/>
        <w:rPr>
          <w:rFonts w:eastAsia="SimSun" w:cs="Times New Roman"/>
          <w:noProof/>
          <w:sz w:val="20"/>
          <w:szCs w:val="20"/>
          <w:lang w:eastAsia="zh-CN" w:bidi="ar-SA"/>
        </w:rPr>
      </w:pPr>
      <w:bookmarkStart w:id="0" w:name="_Hlk86351288"/>
      <w:r>
        <w:rPr>
          <w:rFonts w:cs="Times New Roman"/>
          <w:b/>
          <w:sz w:val="20"/>
          <w:szCs w:val="20"/>
          <w:u w:val="single"/>
        </w:rPr>
        <w:t xml:space="preserve">Supplementary </w:t>
      </w:r>
      <w:r w:rsidRPr="00D21A19">
        <w:rPr>
          <w:rFonts w:cs="Times New Roman"/>
          <w:b/>
          <w:sz w:val="20"/>
          <w:szCs w:val="20"/>
          <w:u w:val="single"/>
        </w:rPr>
        <w:t>Table 1.</w:t>
      </w:r>
      <w:r w:rsidRPr="004F77C8">
        <w:rPr>
          <w:rFonts w:cs="Times New Roman"/>
          <w:b/>
          <w:sz w:val="20"/>
          <w:szCs w:val="20"/>
        </w:rPr>
        <w:t xml:space="preserve"> Main Metabolic Pathway of Tumors.</w:t>
      </w:r>
      <w:r w:rsidRPr="004F77C8">
        <w:rPr>
          <w:b/>
          <w:bCs/>
        </w:rPr>
        <w:t xml:space="preserve"> </w:t>
      </w:r>
      <w:bookmarkStart w:id="1" w:name="_Hlk86839762"/>
      <w:bookmarkEnd w:id="0"/>
      <w:r w:rsidRPr="00D21A19">
        <w:rPr>
          <w:rFonts w:eastAsia="SimSun" w:cs="Times New Roman"/>
          <w:noProof/>
          <w:sz w:val="20"/>
          <w:szCs w:val="20"/>
          <w:lang w:eastAsia="zh-CN" w:bidi="ar-SA"/>
        </w:rPr>
        <w:t>Tumor type and main metabolic pathway</w:t>
      </w:r>
      <w:r w:rsidR="004D1267">
        <w:rPr>
          <w:rFonts w:eastAsia="SimSun" w:cs="Times New Roman"/>
          <w:noProof/>
          <w:sz w:val="20"/>
          <w:szCs w:val="20"/>
          <w:lang w:eastAsia="zh-CN" w:bidi="ar-SA"/>
        </w:rPr>
        <w:t>s</w:t>
      </w:r>
      <w:r w:rsidRPr="00D21A19">
        <w:rPr>
          <w:rFonts w:eastAsia="SimSun" w:cs="Times New Roman"/>
          <w:noProof/>
          <w:sz w:val="20"/>
          <w:szCs w:val="20"/>
          <w:lang w:eastAsia="zh-CN" w:bidi="ar-SA"/>
        </w:rPr>
        <w:t xml:space="preserve"> for ATP production, Glycolysis or OXPHOS, are specified together with the main fuel used, a</w:t>
      </w:r>
      <w:r w:rsidR="004D1267">
        <w:rPr>
          <w:rFonts w:eastAsia="SimSun" w:cs="Times New Roman"/>
          <w:noProof/>
          <w:sz w:val="20"/>
          <w:szCs w:val="20"/>
          <w:lang w:eastAsia="zh-CN" w:bidi="ar-SA"/>
        </w:rPr>
        <w:t>s well as</w:t>
      </w:r>
      <w:r w:rsidRPr="00D21A19">
        <w:rPr>
          <w:rFonts w:eastAsia="SimSun" w:cs="Times New Roman"/>
          <w:noProof/>
          <w:sz w:val="20"/>
          <w:szCs w:val="20"/>
          <w:lang w:eastAsia="zh-CN" w:bidi="ar-SA"/>
        </w:rPr>
        <w:t xml:space="preserve"> related mutations if described. </w:t>
      </w:r>
      <w:r w:rsidR="004D1267">
        <w:rPr>
          <w:rFonts w:eastAsia="SimSun" w:cs="Times New Roman"/>
          <w:noProof/>
          <w:sz w:val="20"/>
          <w:szCs w:val="20"/>
          <w:lang w:eastAsia="zh-CN" w:bidi="ar-SA"/>
        </w:rPr>
        <w:t xml:space="preserve">Abbreviations: </w:t>
      </w:r>
      <w:r w:rsidRPr="00D21A19">
        <w:rPr>
          <w:rFonts w:eastAsia="SimSun" w:cs="Times New Roman"/>
          <w:noProof/>
          <w:sz w:val="20"/>
          <w:szCs w:val="20"/>
          <w:lang w:eastAsia="zh-CN" w:bidi="ar-SA"/>
        </w:rPr>
        <w:t xml:space="preserve">OXPHOS, oxidative phosphorylation; AML, acute myeloid leukemia; CSC, cancer stem cells; </w:t>
      </w:r>
      <w:r w:rsidRPr="007C363A">
        <w:rPr>
          <w:rFonts w:eastAsia="SimSun" w:cs="Times New Roman"/>
          <w:i/>
          <w:iCs/>
          <w:noProof/>
          <w:sz w:val="20"/>
          <w:szCs w:val="20"/>
          <w:lang w:eastAsia="zh-CN" w:bidi="ar-SA"/>
        </w:rPr>
        <w:t>MYCN</w:t>
      </w:r>
      <w:r w:rsidRPr="00D21A19">
        <w:rPr>
          <w:rFonts w:eastAsia="SimSun" w:cs="Times New Roman"/>
          <w:noProof/>
          <w:sz w:val="20"/>
          <w:szCs w:val="20"/>
          <w:lang w:eastAsia="zh-CN" w:bidi="ar-SA"/>
        </w:rPr>
        <w:t xml:space="preserve">-amp, </w:t>
      </w:r>
      <w:r w:rsidRPr="007C363A">
        <w:rPr>
          <w:rFonts w:eastAsia="SimSun" w:cs="Times New Roman"/>
          <w:i/>
          <w:iCs/>
          <w:noProof/>
          <w:sz w:val="20"/>
          <w:szCs w:val="20"/>
          <w:lang w:eastAsia="zh-CN" w:bidi="ar-SA"/>
        </w:rPr>
        <w:t>MYCN</w:t>
      </w:r>
      <w:r w:rsidRPr="00D21A19">
        <w:rPr>
          <w:rFonts w:eastAsia="SimSun" w:cs="Times New Roman"/>
          <w:noProof/>
          <w:sz w:val="20"/>
          <w:szCs w:val="20"/>
          <w:lang w:eastAsia="zh-CN" w:bidi="ar-SA"/>
        </w:rPr>
        <w:t>-amplified; ETC, electron transport chain; CI, complex I; DLBCL, diffuse large B-cell lymphoma; SCLC, small cell lung cancer; MGPDH, Mitochondrial glycerophosphate dehydrogenase; PGC-1α, peroxisome proliferator-activated receptor (PPAR) γ coactivator 1-α.</w:t>
      </w:r>
      <w:bookmarkEnd w:id="1"/>
      <w:r w:rsidRPr="00D21A19">
        <w:rPr>
          <w:rFonts w:eastAsia="SimSun" w:cs="Times New Roman"/>
          <w:noProof/>
          <w:sz w:val="20"/>
          <w:szCs w:val="20"/>
          <w:lang w:eastAsia="zh-CN" w:bidi="ar-SA"/>
        </w:rPr>
        <w:t>; ccRCC, clear cell renal cell carcinoma; FH, fumarate hydratase; HLRCC, hereditary leiomyomatosis and renal cell cancer; VHL, von Hippel-Lindau; SDH, succinate dehydrogenase; ND, not determined.</w:t>
      </w:r>
    </w:p>
    <w:p w14:paraId="587A5541" w14:textId="77777777" w:rsidR="004D1267" w:rsidRPr="007C363A" w:rsidRDefault="004D1267" w:rsidP="007C363A">
      <w:pPr>
        <w:pStyle w:val="MDPI41tablecaption"/>
        <w:spacing w:before="0" w:after="0" w:line="240" w:lineRule="auto"/>
        <w:ind w:left="0"/>
        <w:jc w:val="both"/>
        <w:rPr>
          <w:rFonts w:eastAsia="SimSun" w:cs="Times New Roman"/>
          <w:noProof/>
          <w:sz w:val="20"/>
          <w:szCs w:val="20"/>
          <w:lang w:eastAsia="zh-CN" w:bidi="ar-SA"/>
        </w:rPr>
      </w:pPr>
    </w:p>
    <w:tbl>
      <w:tblPr>
        <w:tblStyle w:val="GridTable1Light"/>
        <w:tblW w:w="8926" w:type="dxa"/>
        <w:tblLayout w:type="fixed"/>
        <w:tblCellMar>
          <w:top w:w="57" w:type="dxa"/>
          <w:bottom w:w="57" w:type="dxa"/>
        </w:tblCellMar>
        <w:tblLook w:val="04A0" w:firstRow="1" w:lastRow="0" w:firstColumn="1" w:lastColumn="0" w:noHBand="0" w:noVBand="1"/>
      </w:tblPr>
      <w:tblGrid>
        <w:gridCol w:w="2405"/>
        <w:gridCol w:w="1843"/>
        <w:gridCol w:w="1843"/>
        <w:gridCol w:w="2835"/>
      </w:tblGrid>
      <w:tr w:rsidR="0016423F" w:rsidRPr="00192D3E" w14:paraId="01FC5127" w14:textId="77777777" w:rsidTr="0016423F">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2405" w:type="dxa"/>
            <w:vAlign w:val="center"/>
          </w:tcPr>
          <w:p w14:paraId="39B4AAE2" w14:textId="77777777" w:rsidR="0016423F" w:rsidRPr="00192D3E" w:rsidRDefault="0016423F" w:rsidP="000E018D">
            <w:pPr>
              <w:jc w:val="center"/>
              <w:rPr>
                <w:rFonts w:ascii="Palatino Linotype" w:hAnsi="Palatino Linotype" w:cs="Calibri"/>
                <w:sz w:val="18"/>
                <w:szCs w:val="18"/>
                <w:shd w:val="clear" w:color="auto" w:fill="FFFFFF"/>
              </w:rPr>
            </w:pPr>
            <w:r w:rsidRPr="00192D3E">
              <w:rPr>
                <w:rFonts w:ascii="Palatino Linotype" w:hAnsi="Palatino Linotype" w:cs="Calibri"/>
                <w:sz w:val="18"/>
                <w:szCs w:val="18"/>
                <w:shd w:val="clear" w:color="auto" w:fill="FFFFFF"/>
              </w:rPr>
              <w:t>Tumor type</w:t>
            </w:r>
          </w:p>
        </w:tc>
        <w:tc>
          <w:tcPr>
            <w:tcW w:w="1843" w:type="dxa"/>
            <w:vAlign w:val="center"/>
          </w:tcPr>
          <w:p w14:paraId="630C663C" w14:textId="77777777" w:rsidR="0016423F" w:rsidRPr="00192D3E" w:rsidRDefault="0016423F" w:rsidP="000E018D">
            <w:pPr>
              <w:jc w:val="center"/>
              <w:cnfStyle w:val="100000000000" w:firstRow="1" w:lastRow="0" w:firstColumn="0" w:lastColumn="0" w:oddVBand="0" w:evenVBand="0" w:oddHBand="0" w:evenHBand="0" w:firstRowFirstColumn="0" w:firstRowLastColumn="0" w:lastRowFirstColumn="0" w:lastRowLastColumn="0"/>
              <w:rPr>
                <w:rFonts w:ascii="Palatino Linotype" w:hAnsi="Palatino Linotype" w:cs="Calibri"/>
                <w:sz w:val="18"/>
                <w:szCs w:val="18"/>
                <w:shd w:val="clear" w:color="auto" w:fill="FFFFFF"/>
              </w:rPr>
            </w:pPr>
            <w:r w:rsidRPr="00192D3E">
              <w:rPr>
                <w:rFonts w:ascii="Palatino Linotype" w:hAnsi="Palatino Linotype" w:cs="Calibri"/>
                <w:color w:val="000000" w:themeColor="text1"/>
                <w:sz w:val="18"/>
                <w:szCs w:val="18"/>
                <w:shd w:val="clear" w:color="auto" w:fill="FFFFFF"/>
              </w:rPr>
              <w:t>Metabolic profile</w:t>
            </w:r>
          </w:p>
        </w:tc>
        <w:tc>
          <w:tcPr>
            <w:tcW w:w="1843" w:type="dxa"/>
            <w:vAlign w:val="center"/>
          </w:tcPr>
          <w:p w14:paraId="6DBAE63C" w14:textId="77777777" w:rsidR="0016423F" w:rsidRPr="00192D3E" w:rsidRDefault="0016423F" w:rsidP="000E018D">
            <w:pPr>
              <w:jc w:val="center"/>
              <w:cnfStyle w:val="100000000000" w:firstRow="1" w:lastRow="0" w:firstColumn="0" w:lastColumn="0" w:oddVBand="0" w:evenVBand="0" w:oddHBand="0" w:evenHBand="0" w:firstRowFirstColumn="0" w:firstRowLastColumn="0" w:lastRowFirstColumn="0" w:lastRowLastColumn="0"/>
              <w:rPr>
                <w:rFonts w:ascii="Palatino Linotype" w:hAnsi="Palatino Linotype" w:cs="Calibri"/>
                <w:sz w:val="18"/>
                <w:szCs w:val="18"/>
                <w:shd w:val="clear" w:color="auto" w:fill="FFFFFF"/>
              </w:rPr>
            </w:pPr>
            <w:r w:rsidRPr="00192D3E">
              <w:rPr>
                <w:rFonts w:ascii="Palatino Linotype" w:hAnsi="Palatino Linotype" w:cs="Calibri"/>
                <w:sz w:val="18"/>
                <w:szCs w:val="18"/>
                <w:shd w:val="clear" w:color="auto" w:fill="FFFFFF"/>
              </w:rPr>
              <w:t>Main fuel</w:t>
            </w:r>
          </w:p>
        </w:tc>
        <w:tc>
          <w:tcPr>
            <w:tcW w:w="2835" w:type="dxa"/>
            <w:vAlign w:val="center"/>
          </w:tcPr>
          <w:p w14:paraId="361F6EDA" w14:textId="77777777" w:rsidR="0016423F" w:rsidRPr="00192D3E" w:rsidRDefault="0016423F" w:rsidP="000E018D">
            <w:pPr>
              <w:jc w:val="center"/>
              <w:cnfStyle w:val="100000000000" w:firstRow="1" w:lastRow="0" w:firstColumn="0" w:lastColumn="0" w:oddVBand="0" w:evenVBand="0" w:oddHBand="0" w:evenHBand="0" w:firstRowFirstColumn="0" w:firstRowLastColumn="0" w:lastRowFirstColumn="0" w:lastRowLastColumn="0"/>
              <w:rPr>
                <w:rFonts w:ascii="Palatino Linotype" w:hAnsi="Palatino Linotype" w:cs="Calibri"/>
                <w:sz w:val="18"/>
                <w:szCs w:val="18"/>
                <w:shd w:val="clear" w:color="auto" w:fill="FFFFFF"/>
              </w:rPr>
            </w:pPr>
            <w:r w:rsidRPr="00192D3E">
              <w:rPr>
                <w:rFonts w:ascii="Palatino Linotype" w:hAnsi="Palatino Linotype" w:cs="Calibri"/>
                <w:sz w:val="18"/>
                <w:szCs w:val="18"/>
                <w:shd w:val="clear" w:color="auto" w:fill="FFFFFF"/>
              </w:rPr>
              <w:t>Related mutations</w:t>
            </w:r>
          </w:p>
        </w:tc>
      </w:tr>
      <w:tr w:rsidR="0016423F" w:rsidRPr="00F01823" w14:paraId="5848AEFA" w14:textId="77777777" w:rsidTr="0016423F">
        <w:tc>
          <w:tcPr>
            <w:cnfStyle w:val="001000000000" w:firstRow="0" w:lastRow="0" w:firstColumn="1" w:lastColumn="0" w:oddVBand="0" w:evenVBand="0" w:oddHBand="0" w:evenHBand="0" w:firstRowFirstColumn="0" w:firstRowLastColumn="0" w:lastRowFirstColumn="0" w:lastRowLastColumn="0"/>
            <w:tcW w:w="2405" w:type="dxa"/>
            <w:vAlign w:val="center"/>
          </w:tcPr>
          <w:p w14:paraId="47C1ECA8" w14:textId="77777777" w:rsidR="0016423F" w:rsidRPr="00192D3E" w:rsidRDefault="0016423F" w:rsidP="000E018D">
            <w:pPr>
              <w:jc w:val="center"/>
              <w:rPr>
                <w:rFonts w:ascii="Palatino Linotype" w:hAnsi="Palatino Linotype" w:cs="Calibri"/>
                <w:b w:val="0"/>
                <w:bCs w:val="0"/>
                <w:sz w:val="18"/>
                <w:szCs w:val="18"/>
                <w:shd w:val="clear" w:color="auto" w:fill="FFFFFF"/>
              </w:rPr>
            </w:pPr>
            <w:r w:rsidRPr="00192D3E">
              <w:rPr>
                <w:rFonts w:ascii="Palatino Linotype" w:hAnsi="Palatino Linotype" w:cs="Calibri"/>
                <w:b w:val="0"/>
                <w:bCs w:val="0"/>
                <w:sz w:val="18"/>
                <w:szCs w:val="18"/>
                <w:shd w:val="clear" w:color="auto" w:fill="FFFFFF"/>
              </w:rPr>
              <w:t>Melanoma</w:t>
            </w:r>
          </w:p>
        </w:tc>
        <w:tc>
          <w:tcPr>
            <w:tcW w:w="1843" w:type="dxa"/>
            <w:vAlign w:val="center"/>
          </w:tcPr>
          <w:p w14:paraId="75A0B84E" w14:textId="77777777" w:rsidR="0016423F" w:rsidRPr="00192D3E" w:rsidRDefault="0016423F" w:rsidP="000E018D">
            <w:pPr>
              <w:jc w:val="center"/>
              <w:cnfStyle w:val="000000000000" w:firstRow="0" w:lastRow="0" w:firstColumn="0" w:lastColumn="0" w:oddVBand="0" w:evenVBand="0" w:oddHBand="0" w:evenHBand="0" w:firstRowFirstColumn="0" w:firstRowLastColumn="0" w:lastRowFirstColumn="0" w:lastRowLastColumn="0"/>
              <w:rPr>
                <w:rFonts w:ascii="Palatino Linotype" w:hAnsi="Palatino Linotype" w:cs="Calibri"/>
                <w:sz w:val="18"/>
                <w:szCs w:val="18"/>
                <w:shd w:val="clear" w:color="auto" w:fill="FFFFFF"/>
              </w:rPr>
            </w:pPr>
            <w:r w:rsidRPr="00192D3E">
              <w:rPr>
                <w:rFonts w:ascii="Palatino Linotype" w:hAnsi="Palatino Linotype" w:cs="Calibri"/>
                <w:sz w:val="18"/>
                <w:szCs w:val="18"/>
                <w:shd w:val="clear" w:color="auto" w:fill="FFFFFF"/>
              </w:rPr>
              <w:t>OXPHOS</w:t>
            </w:r>
          </w:p>
        </w:tc>
        <w:tc>
          <w:tcPr>
            <w:tcW w:w="1843" w:type="dxa"/>
            <w:vAlign w:val="center"/>
          </w:tcPr>
          <w:p w14:paraId="31CB7FEC" w14:textId="77777777" w:rsidR="0016423F" w:rsidRPr="00192D3E" w:rsidRDefault="0016423F" w:rsidP="000E018D">
            <w:pPr>
              <w:jc w:val="center"/>
              <w:cnfStyle w:val="000000000000" w:firstRow="0" w:lastRow="0" w:firstColumn="0" w:lastColumn="0" w:oddVBand="0" w:evenVBand="0" w:oddHBand="0" w:evenHBand="0" w:firstRowFirstColumn="0" w:firstRowLastColumn="0" w:lastRowFirstColumn="0" w:lastRowLastColumn="0"/>
              <w:rPr>
                <w:rFonts w:ascii="Palatino Linotype" w:hAnsi="Palatino Linotype" w:cs="Calibri"/>
                <w:sz w:val="18"/>
                <w:szCs w:val="18"/>
                <w:shd w:val="clear" w:color="auto" w:fill="FFFFFF"/>
              </w:rPr>
            </w:pPr>
            <w:r w:rsidRPr="00192D3E">
              <w:rPr>
                <w:rFonts w:ascii="Palatino Linotype" w:hAnsi="Palatino Linotype" w:cs="Calibri"/>
                <w:sz w:val="18"/>
                <w:szCs w:val="18"/>
                <w:shd w:val="clear" w:color="auto" w:fill="FFFFFF"/>
              </w:rPr>
              <w:t>ND</w:t>
            </w:r>
          </w:p>
        </w:tc>
        <w:tc>
          <w:tcPr>
            <w:tcW w:w="2835" w:type="dxa"/>
            <w:vAlign w:val="center"/>
          </w:tcPr>
          <w:p w14:paraId="66F756AD" w14:textId="77777777" w:rsidR="0016423F" w:rsidRPr="00192D3E" w:rsidRDefault="0016423F" w:rsidP="000E018D">
            <w:pPr>
              <w:jc w:val="center"/>
              <w:cnfStyle w:val="000000000000" w:firstRow="0" w:lastRow="0" w:firstColumn="0" w:lastColumn="0" w:oddVBand="0" w:evenVBand="0" w:oddHBand="0" w:evenHBand="0" w:firstRowFirstColumn="0" w:firstRowLastColumn="0" w:lastRowFirstColumn="0" w:lastRowLastColumn="0"/>
              <w:rPr>
                <w:rFonts w:ascii="Palatino Linotype" w:hAnsi="Palatino Linotype" w:cs="Calibri"/>
                <w:sz w:val="18"/>
                <w:szCs w:val="18"/>
                <w:shd w:val="clear" w:color="auto" w:fill="FFFFFF"/>
              </w:rPr>
            </w:pPr>
            <w:r w:rsidRPr="00192D3E">
              <w:rPr>
                <w:rFonts w:ascii="Palatino Linotype" w:eastAsia="Times New Roman" w:hAnsi="Palatino Linotype" w:cs="Calibri"/>
                <w:sz w:val="18"/>
                <w:szCs w:val="18"/>
                <w:lang w:eastAsia="en-GB"/>
              </w:rPr>
              <w:t>Increase of PGC1α</w:t>
            </w:r>
          </w:p>
        </w:tc>
      </w:tr>
      <w:tr w:rsidR="0016423F" w:rsidRPr="007C363A" w14:paraId="3E8F6597" w14:textId="77777777" w:rsidTr="0016423F">
        <w:tc>
          <w:tcPr>
            <w:cnfStyle w:val="001000000000" w:firstRow="0" w:lastRow="0" w:firstColumn="1" w:lastColumn="0" w:oddVBand="0" w:evenVBand="0" w:oddHBand="0" w:evenHBand="0" w:firstRowFirstColumn="0" w:firstRowLastColumn="0" w:lastRowFirstColumn="0" w:lastRowLastColumn="0"/>
            <w:tcW w:w="2405" w:type="dxa"/>
            <w:vAlign w:val="center"/>
          </w:tcPr>
          <w:p w14:paraId="776D8DED" w14:textId="77777777" w:rsidR="0016423F" w:rsidRPr="00192D3E" w:rsidRDefault="0016423F" w:rsidP="000E018D">
            <w:pPr>
              <w:jc w:val="center"/>
              <w:rPr>
                <w:rFonts w:ascii="Palatino Linotype" w:hAnsi="Palatino Linotype" w:cs="Calibri"/>
                <w:b w:val="0"/>
                <w:bCs w:val="0"/>
                <w:sz w:val="18"/>
                <w:szCs w:val="18"/>
                <w:shd w:val="clear" w:color="auto" w:fill="FFFFFF"/>
              </w:rPr>
            </w:pPr>
            <w:r w:rsidRPr="00192D3E">
              <w:rPr>
                <w:rFonts w:ascii="Palatino Linotype" w:hAnsi="Palatino Linotype" w:cs="Calibri"/>
                <w:b w:val="0"/>
                <w:bCs w:val="0"/>
                <w:sz w:val="18"/>
                <w:szCs w:val="18"/>
                <w:shd w:val="clear" w:color="auto" w:fill="FFFFFF"/>
              </w:rPr>
              <w:t>Melanoma: BRAF activating mutation</w:t>
            </w:r>
          </w:p>
        </w:tc>
        <w:tc>
          <w:tcPr>
            <w:tcW w:w="1843" w:type="dxa"/>
            <w:vAlign w:val="center"/>
          </w:tcPr>
          <w:p w14:paraId="40EAA686" w14:textId="77777777" w:rsidR="0016423F" w:rsidRPr="00192D3E" w:rsidRDefault="0016423F" w:rsidP="000E018D">
            <w:pPr>
              <w:jc w:val="center"/>
              <w:cnfStyle w:val="000000000000" w:firstRow="0" w:lastRow="0" w:firstColumn="0" w:lastColumn="0" w:oddVBand="0" w:evenVBand="0" w:oddHBand="0" w:evenHBand="0" w:firstRowFirstColumn="0" w:firstRowLastColumn="0" w:lastRowFirstColumn="0" w:lastRowLastColumn="0"/>
              <w:rPr>
                <w:rFonts w:ascii="Palatino Linotype" w:hAnsi="Palatino Linotype" w:cs="Calibri"/>
                <w:sz w:val="18"/>
                <w:szCs w:val="18"/>
                <w:shd w:val="clear" w:color="auto" w:fill="FFFFFF"/>
              </w:rPr>
            </w:pPr>
            <w:r w:rsidRPr="00192D3E">
              <w:rPr>
                <w:rFonts w:ascii="Palatino Linotype" w:eastAsia="Times New Roman" w:hAnsi="Palatino Linotype" w:cs="Calibri"/>
                <w:sz w:val="18"/>
                <w:szCs w:val="18"/>
                <w:lang w:eastAsia="en-GB"/>
              </w:rPr>
              <w:t xml:space="preserve">OXPHOS </w:t>
            </w:r>
          </w:p>
        </w:tc>
        <w:tc>
          <w:tcPr>
            <w:tcW w:w="1843" w:type="dxa"/>
            <w:vAlign w:val="center"/>
          </w:tcPr>
          <w:p w14:paraId="05032C0A" w14:textId="77777777" w:rsidR="0016423F" w:rsidRPr="00192D3E" w:rsidRDefault="0016423F" w:rsidP="000E018D">
            <w:pPr>
              <w:jc w:val="center"/>
              <w:cnfStyle w:val="000000000000" w:firstRow="0" w:lastRow="0" w:firstColumn="0" w:lastColumn="0" w:oddVBand="0" w:evenVBand="0" w:oddHBand="0" w:evenHBand="0" w:firstRowFirstColumn="0" w:firstRowLastColumn="0" w:lastRowFirstColumn="0" w:lastRowLastColumn="0"/>
              <w:rPr>
                <w:rFonts w:ascii="Palatino Linotype" w:hAnsi="Palatino Linotype" w:cs="Calibri"/>
                <w:sz w:val="18"/>
                <w:szCs w:val="18"/>
                <w:shd w:val="clear" w:color="auto" w:fill="FFFFFF"/>
              </w:rPr>
            </w:pPr>
            <w:r w:rsidRPr="00192D3E">
              <w:rPr>
                <w:rFonts w:ascii="Palatino Linotype" w:hAnsi="Palatino Linotype" w:cs="Calibri"/>
                <w:sz w:val="18"/>
                <w:szCs w:val="18"/>
                <w:shd w:val="clear" w:color="auto" w:fill="FFFFFF"/>
              </w:rPr>
              <w:t>ND</w:t>
            </w:r>
          </w:p>
        </w:tc>
        <w:tc>
          <w:tcPr>
            <w:tcW w:w="2835" w:type="dxa"/>
            <w:vAlign w:val="center"/>
          </w:tcPr>
          <w:p w14:paraId="65BD2870" w14:textId="77777777" w:rsidR="0016423F" w:rsidRPr="00192D3E" w:rsidRDefault="0016423F" w:rsidP="000E018D">
            <w:pPr>
              <w:jc w:val="center"/>
              <w:cnfStyle w:val="000000000000" w:firstRow="0" w:lastRow="0" w:firstColumn="0" w:lastColumn="0" w:oddVBand="0" w:evenVBand="0" w:oddHBand="0" w:evenHBand="0" w:firstRowFirstColumn="0" w:firstRowLastColumn="0" w:lastRowFirstColumn="0" w:lastRowLastColumn="0"/>
              <w:rPr>
                <w:rFonts w:ascii="Palatino Linotype" w:hAnsi="Palatino Linotype" w:cs="Calibri"/>
                <w:sz w:val="18"/>
                <w:szCs w:val="18"/>
                <w:u w:val="single"/>
                <w:shd w:val="clear" w:color="auto" w:fill="FFFFFF"/>
              </w:rPr>
            </w:pPr>
            <w:r w:rsidRPr="00192D3E">
              <w:rPr>
                <w:rFonts w:ascii="Palatino Linotype" w:eastAsia="Times New Roman" w:hAnsi="Palatino Linotype" w:cs="Calibri"/>
                <w:sz w:val="18"/>
                <w:szCs w:val="18"/>
                <w:lang w:eastAsia="en-GB"/>
              </w:rPr>
              <w:t>Activating mutation in BRAF and increase of PGC1α</w:t>
            </w:r>
          </w:p>
        </w:tc>
      </w:tr>
      <w:tr w:rsidR="0016423F" w:rsidRPr="00F01823" w14:paraId="56352107" w14:textId="77777777" w:rsidTr="0016423F">
        <w:trPr>
          <w:trHeight w:val="784"/>
        </w:trPr>
        <w:tc>
          <w:tcPr>
            <w:cnfStyle w:val="001000000000" w:firstRow="0" w:lastRow="0" w:firstColumn="1" w:lastColumn="0" w:oddVBand="0" w:evenVBand="0" w:oddHBand="0" w:evenHBand="0" w:firstRowFirstColumn="0" w:firstRowLastColumn="0" w:lastRowFirstColumn="0" w:lastRowLastColumn="0"/>
            <w:tcW w:w="2405" w:type="dxa"/>
            <w:vAlign w:val="center"/>
          </w:tcPr>
          <w:p w14:paraId="1E39251A" w14:textId="77777777" w:rsidR="0016423F" w:rsidRPr="00192D3E" w:rsidRDefault="0016423F" w:rsidP="000E018D">
            <w:pPr>
              <w:jc w:val="center"/>
              <w:rPr>
                <w:rFonts w:ascii="Palatino Linotype" w:hAnsi="Palatino Linotype" w:cs="Calibri"/>
                <w:b w:val="0"/>
                <w:bCs w:val="0"/>
                <w:sz w:val="18"/>
                <w:szCs w:val="18"/>
                <w:shd w:val="clear" w:color="auto" w:fill="FFFFFF"/>
              </w:rPr>
            </w:pPr>
            <w:r w:rsidRPr="00192D3E">
              <w:rPr>
                <w:rFonts w:ascii="Palatino Linotype" w:hAnsi="Palatino Linotype" w:cs="Calibri"/>
                <w:b w:val="0"/>
                <w:bCs w:val="0"/>
                <w:sz w:val="18"/>
                <w:szCs w:val="18"/>
                <w:shd w:val="clear" w:color="auto" w:fill="FFFFFF"/>
              </w:rPr>
              <w:t>Leukemic cells driven by BCR-ABL</w:t>
            </w:r>
          </w:p>
        </w:tc>
        <w:tc>
          <w:tcPr>
            <w:tcW w:w="1843" w:type="dxa"/>
            <w:vAlign w:val="center"/>
          </w:tcPr>
          <w:p w14:paraId="115128B8" w14:textId="77777777" w:rsidR="0016423F" w:rsidRPr="00192D3E" w:rsidRDefault="0016423F" w:rsidP="000E018D">
            <w:pPr>
              <w:jc w:val="center"/>
              <w:cnfStyle w:val="000000000000" w:firstRow="0" w:lastRow="0" w:firstColumn="0" w:lastColumn="0" w:oddVBand="0" w:evenVBand="0" w:oddHBand="0" w:evenHBand="0" w:firstRowFirstColumn="0" w:firstRowLastColumn="0" w:lastRowFirstColumn="0" w:lastRowLastColumn="0"/>
              <w:rPr>
                <w:rFonts w:ascii="Palatino Linotype" w:hAnsi="Palatino Linotype" w:cs="Calibri"/>
                <w:sz w:val="18"/>
                <w:szCs w:val="18"/>
                <w:shd w:val="clear" w:color="auto" w:fill="FFFFFF"/>
              </w:rPr>
            </w:pPr>
            <w:r w:rsidRPr="00192D3E">
              <w:rPr>
                <w:rFonts w:ascii="Palatino Linotype" w:eastAsia="Times New Roman" w:hAnsi="Palatino Linotype" w:cs="Calibri"/>
                <w:sz w:val="18"/>
                <w:szCs w:val="18"/>
                <w:lang w:eastAsia="en-GB"/>
              </w:rPr>
              <w:t xml:space="preserve">OXPHOS </w:t>
            </w:r>
          </w:p>
        </w:tc>
        <w:tc>
          <w:tcPr>
            <w:tcW w:w="1843" w:type="dxa"/>
            <w:vAlign w:val="center"/>
          </w:tcPr>
          <w:p w14:paraId="7193DF40" w14:textId="77777777" w:rsidR="0016423F" w:rsidRPr="00192D3E" w:rsidRDefault="0016423F" w:rsidP="000E018D">
            <w:pPr>
              <w:jc w:val="center"/>
              <w:cnfStyle w:val="000000000000" w:firstRow="0" w:lastRow="0" w:firstColumn="0" w:lastColumn="0" w:oddVBand="0" w:evenVBand="0" w:oddHBand="0" w:evenHBand="0" w:firstRowFirstColumn="0" w:firstRowLastColumn="0" w:lastRowFirstColumn="0" w:lastRowLastColumn="0"/>
              <w:rPr>
                <w:rFonts w:ascii="Palatino Linotype" w:hAnsi="Palatino Linotype" w:cs="Calibri"/>
                <w:sz w:val="18"/>
                <w:szCs w:val="18"/>
                <w:shd w:val="clear" w:color="auto" w:fill="FFFFFF"/>
              </w:rPr>
            </w:pPr>
            <w:r w:rsidRPr="00192D3E">
              <w:rPr>
                <w:rFonts w:ascii="Palatino Linotype" w:hAnsi="Palatino Linotype" w:cs="Calibri"/>
                <w:sz w:val="18"/>
                <w:szCs w:val="18"/>
                <w:shd w:val="clear" w:color="auto" w:fill="FFFFFF"/>
              </w:rPr>
              <w:t>ND</w:t>
            </w:r>
          </w:p>
        </w:tc>
        <w:tc>
          <w:tcPr>
            <w:tcW w:w="2835" w:type="dxa"/>
            <w:vAlign w:val="center"/>
          </w:tcPr>
          <w:p w14:paraId="50E8943C" w14:textId="77777777" w:rsidR="0016423F" w:rsidRPr="00192D3E" w:rsidRDefault="0016423F" w:rsidP="000E018D">
            <w:pPr>
              <w:jc w:val="center"/>
              <w:cnfStyle w:val="000000000000" w:firstRow="0" w:lastRow="0" w:firstColumn="0" w:lastColumn="0" w:oddVBand="0" w:evenVBand="0" w:oddHBand="0" w:evenHBand="0" w:firstRowFirstColumn="0" w:firstRowLastColumn="0" w:lastRowFirstColumn="0" w:lastRowLastColumn="0"/>
              <w:rPr>
                <w:rFonts w:ascii="Palatino Linotype" w:hAnsi="Palatino Linotype" w:cs="Calibri"/>
                <w:sz w:val="18"/>
                <w:szCs w:val="18"/>
                <w:shd w:val="clear" w:color="auto" w:fill="FFFFFF"/>
              </w:rPr>
            </w:pPr>
            <w:r w:rsidRPr="00192D3E">
              <w:rPr>
                <w:rFonts w:ascii="Palatino Linotype" w:eastAsia="Times New Roman" w:hAnsi="Palatino Linotype" w:cs="Calibri"/>
                <w:sz w:val="18"/>
                <w:szCs w:val="18"/>
                <w:lang w:eastAsia="en-GB"/>
              </w:rPr>
              <w:t>BCR-ABL</w:t>
            </w:r>
          </w:p>
        </w:tc>
      </w:tr>
      <w:tr w:rsidR="0016423F" w:rsidRPr="00192D3E" w14:paraId="6ADB4628" w14:textId="77777777" w:rsidTr="0016423F">
        <w:tc>
          <w:tcPr>
            <w:cnfStyle w:val="001000000000" w:firstRow="0" w:lastRow="0" w:firstColumn="1" w:lastColumn="0" w:oddVBand="0" w:evenVBand="0" w:oddHBand="0" w:evenHBand="0" w:firstRowFirstColumn="0" w:firstRowLastColumn="0" w:lastRowFirstColumn="0" w:lastRowLastColumn="0"/>
            <w:tcW w:w="2405" w:type="dxa"/>
            <w:vAlign w:val="center"/>
          </w:tcPr>
          <w:p w14:paraId="4F40DF09" w14:textId="77777777" w:rsidR="0016423F" w:rsidRPr="00192D3E" w:rsidRDefault="0016423F" w:rsidP="000E018D">
            <w:pPr>
              <w:jc w:val="center"/>
              <w:rPr>
                <w:rFonts w:ascii="Palatino Linotype" w:hAnsi="Palatino Linotype" w:cs="Calibri"/>
                <w:b w:val="0"/>
                <w:bCs w:val="0"/>
                <w:sz w:val="18"/>
                <w:szCs w:val="18"/>
                <w:shd w:val="clear" w:color="auto" w:fill="FFFFFF"/>
              </w:rPr>
            </w:pPr>
            <w:r w:rsidRPr="00192D3E">
              <w:rPr>
                <w:rFonts w:ascii="Palatino Linotype" w:hAnsi="Palatino Linotype" w:cs="Calibri"/>
                <w:b w:val="0"/>
                <w:bCs w:val="0"/>
                <w:sz w:val="18"/>
                <w:szCs w:val="18"/>
                <w:shd w:val="clear" w:color="auto" w:fill="FFFFFF"/>
              </w:rPr>
              <w:t>Leukemic stem cells from AML</w:t>
            </w:r>
          </w:p>
        </w:tc>
        <w:tc>
          <w:tcPr>
            <w:tcW w:w="1843" w:type="dxa"/>
            <w:vAlign w:val="center"/>
          </w:tcPr>
          <w:p w14:paraId="06B93FC7" w14:textId="77777777" w:rsidR="0016423F" w:rsidRPr="00192D3E" w:rsidRDefault="0016423F" w:rsidP="000E018D">
            <w:pPr>
              <w:jc w:val="center"/>
              <w:cnfStyle w:val="000000000000" w:firstRow="0" w:lastRow="0" w:firstColumn="0" w:lastColumn="0" w:oddVBand="0" w:evenVBand="0" w:oddHBand="0" w:evenHBand="0" w:firstRowFirstColumn="0" w:firstRowLastColumn="0" w:lastRowFirstColumn="0" w:lastRowLastColumn="0"/>
              <w:rPr>
                <w:rFonts w:ascii="Palatino Linotype" w:eastAsia="Times New Roman" w:hAnsi="Palatino Linotype" w:cs="Calibri"/>
                <w:sz w:val="18"/>
                <w:szCs w:val="18"/>
                <w:lang w:eastAsia="en-GB"/>
              </w:rPr>
            </w:pPr>
            <w:r w:rsidRPr="00192D3E">
              <w:rPr>
                <w:rFonts w:ascii="Palatino Linotype" w:eastAsia="Times New Roman" w:hAnsi="Palatino Linotype" w:cs="Calibri"/>
                <w:sz w:val="18"/>
                <w:szCs w:val="18"/>
                <w:lang w:eastAsia="en-GB"/>
              </w:rPr>
              <w:t>OXPHOS</w:t>
            </w:r>
          </w:p>
        </w:tc>
        <w:tc>
          <w:tcPr>
            <w:tcW w:w="1843" w:type="dxa"/>
            <w:vAlign w:val="center"/>
          </w:tcPr>
          <w:p w14:paraId="0BD0712A" w14:textId="77777777" w:rsidR="0016423F" w:rsidRPr="00192D3E" w:rsidRDefault="0016423F" w:rsidP="000E018D">
            <w:pPr>
              <w:jc w:val="center"/>
              <w:cnfStyle w:val="000000000000" w:firstRow="0" w:lastRow="0" w:firstColumn="0" w:lastColumn="0" w:oddVBand="0" w:evenVBand="0" w:oddHBand="0" w:evenHBand="0" w:firstRowFirstColumn="0" w:firstRowLastColumn="0" w:lastRowFirstColumn="0" w:lastRowLastColumn="0"/>
              <w:rPr>
                <w:rFonts w:ascii="Palatino Linotype" w:hAnsi="Palatino Linotype" w:cs="Calibri"/>
                <w:sz w:val="18"/>
                <w:szCs w:val="18"/>
                <w:shd w:val="clear" w:color="auto" w:fill="FFFFFF"/>
              </w:rPr>
            </w:pPr>
            <w:r w:rsidRPr="00192D3E">
              <w:rPr>
                <w:rFonts w:ascii="Palatino Linotype" w:hAnsi="Palatino Linotype" w:cs="Calibri"/>
                <w:sz w:val="18"/>
                <w:szCs w:val="18"/>
                <w:shd w:val="clear" w:color="auto" w:fill="FFFFFF"/>
              </w:rPr>
              <w:t>Amino acids and fatty acids</w:t>
            </w:r>
          </w:p>
        </w:tc>
        <w:tc>
          <w:tcPr>
            <w:tcW w:w="2835" w:type="dxa"/>
            <w:vAlign w:val="center"/>
          </w:tcPr>
          <w:p w14:paraId="569210C1" w14:textId="77777777" w:rsidR="0016423F" w:rsidRPr="00192D3E" w:rsidRDefault="0016423F" w:rsidP="000E018D">
            <w:pPr>
              <w:jc w:val="center"/>
              <w:cnfStyle w:val="000000000000" w:firstRow="0" w:lastRow="0" w:firstColumn="0" w:lastColumn="0" w:oddVBand="0" w:evenVBand="0" w:oddHBand="0" w:evenHBand="0" w:firstRowFirstColumn="0" w:firstRowLastColumn="0" w:lastRowFirstColumn="0" w:lastRowLastColumn="0"/>
              <w:rPr>
                <w:rFonts w:ascii="Palatino Linotype" w:eastAsia="Times New Roman" w:hAnsi="Palatino Linotype" w:cs="Calibri"/>
                <w:sz w:val="18"/>
                <w:szCs w:val="18"/>
                <w:lang w:eastAsia="en-GB"/>
              </w:rPr>
            </w:pPr>
            <w:r w:rsidRPr="00192D3E">
              <w:rPr>
                <w:rFonts w:ascii="Palatino Linotype" w:eastAsia="Times New Roman" w:hAnsi="Palatino Linotype" w:cs="Calibri"/>
                <w:sz w:val="18"/>
                <w:szCs w:val="18"/>
                <w:lang w:eastAsia="en-GB"/>
              </w:rPr>
              <w:t>ND</w:t>
            </w:r>
          </w:p>
        </w:tc>
      </w:tr>
      <w:tr w:rsidR="0016423F" w:rsidRPr="00192D3E" w14:paraId="62942161" w14:textId="77777777" w:rsidTr="0016423F">
        <w:tc>
          <w:tcPr>
            <w:cnfStyle w:val="001000000000" w:firstRow="0" w:lastRow="0" w:firstColumn="1" w:lastColumn="0" w:oddVBand="0" w:evenVBand="0" w:oddHBand="0" w:evenHBand="0" w:firstRowFirstColumn="0" w:firstRowLastColumn="0" w:lastRowFirstColumn="0" w:lastRowLastColumn="0"/>
            <w:tcW w:w="2405" w:type="dxa"/>
            <w:vAlign w:val="center"/>
          </w:tcPr>
          <w:p w14:paraId="791F53DB" w14:textId="77777777" w:rsidR="0016423F" w:rsidRPr="00192D3E" w:rsidRDefault="0016423F" w:rsidP="000E018D">
            <w:pPr>
              <w:jc w:val="center"/>
              <w:rPr>
                <w:rFonts w:ascii="Palatino Linotype" w:hAnsi="Palatino Linotype" w:cs="Calibri"/>
                <w:sz w:val="18"/>
                <w:szCs w:val="18"/>
                <w:shd w:val="clear" w:color="auto" w:fill="FFFFFF"/>
                <w:lang w:val="es-ES"/>
              </w:rPr>
            </w:pPr>
            <w:r w:rsidRPr="00192D3E">
              <w:rPr>
                <w:rFonts w:ascii="Palatino Linotype" w:hAnsi="Palatino Linotype" w:cs="Calibri"/>
                <w:b w:val="0"/>
                <w:bCs w:val="0"/>
                <w:sz w:val="18"/>
                <w:szCs w:val="18"/>
                <w:shd w:val="clear" w:color="auto" w:fill="FFFFFF"/>
                <w:lang w:val="es-ES"/>
              </w:rPr>
              <w:t xml:space="preserve">Peritoneal </w:t>
            </w:r>
            <w:proofErr w:type="spellStart"/>
            <w:r w:rsidRPr="00192D3E">
              <w:rPr>
                <w:rFonts w:ascii="Palatino Linotype" w:hAnsi="Palatino Linotype" w:cs="Calibri"/>
                <w:b w:val="0"/>
                <w:bCs w:val="0"/>
                <w:sz w:val="18"/>
                <w:szCs w:val="18"/>
                <w:shd w:val="clear" w:color="auto" w:fill="FFFFFF"/>
                <w:lang w:val="es-ES"/>
              </w:rPr>
              <w:t>cancer</w:t>
            </w:r>
            <w:proofErr w:type="spellEnd"/>
            <w:r w:rsidRPr="00192D3E">
              <w:rPr>
                <w:rFonts w:ascii="Palatino Linotype" w:hAnsi="Palatino Linotype" w:cs="Calibri"/>
                <w:b w:val="0"/>
                <w:bCs w:val="0"/>
                <w:sz w:val="18"/>
                <w:szCs w:val="18"/>
                <w:shd w:val="clear" w:color="auto" w:fill="FFFFFF"/>
                <w:lang w:val="es-ES"/>
              </w:rPr>
              <w:t xml:space="preserve"> </w:t>
            </w:r>
          </w:p>
          <w:p w14:paraId="41E0E4FB" w14:textId="77777777" w:rsidR="0016423F" w:rsidRPr="00192D3E" w:rsidRDefault="0016423F" w:rsidP="000E018D">
            <w:pPr>
              <w:jc w:val="center"/>
              <w:rPr>
                <w:rFonts w:ascii="Palatino Linotype" w:hAnsi="Palatino Linotype" w:cs="Calibri"/>
                <w:b w:val="0"/>
                <w:bCs w:val="0"/>
                <w:sz w:val="18"/>
                <w:szCs w:val="18"/>
                <w:shd w:val="clear" w:color="auto" w:fill="FFFFFF"/>
                <w:lang w:val="es-ES"/>
              </w:rPr>
            </w:pPr>
            <w:r w:rsidRPr="00192D3E">
              <w:rPr>
                <w:rFonts w:ascii="Palatino Linotype" w:hAnsi="Palatino Linotype" w:cs="Calibri"/>
                <w:b w:val="0"/>
                <w:bCs w:val="0"/>
                <w:sz w:val="18"/>
                <w:szCs w:val="18"/>
                <w:shd w:val="clear" w:color="auto" w:fill="FFFFFF"/>
                <w:lang w:val="es-ES"/>
              </w:rPr>
              <w:t>(</w:t>
            </w:r>
            <w:proofErr w:type="spellStart"/>
            <w:r w:rsidRPr="00192D3E">
              <w:rPr>
                <w:rFonts w:ascii="Palatino Linotype" w:hAnsi="Palatino Linotype" w:cs="Calibri"/>
                <w:b w:val="0"/>
                <w:bCs w:val="0"/>
                <w:sz w:val="18"/>
                <w:szCs w:val="18"/>
                <w:shd w:val="clear" w:color="auto" w:fill="FFFFFF"/>
                <w:lang w:val="es-ES"/>
              </w:rPr>
              <w:t>serous</w:t>
            </w:r>
            <w:proofErr w:type="spellEnd"/>
            <w:r w:rsidRPr="00192D3E">
              <w:rPr>
                <w:rFonts w:ascii="Palatino Linotype" w:hAnsi="Palatino Linotype" w:cs="Calibri"/>
                <w:b w:val="0"/>
                <w:bCs w:val="0"/>
                <w:sz w:val="18"/>
                <w:szCs w:val="18"/>
                <w:shd w:val="clear" w:color="auto" w:fill="FFFFFF"/>
                <w:lang w:val="es-ES"/>
              </w:rPr>
              <w:t xml:space="preserve"> adenocarcinoma)</w:t>
            </w:r>
          </w:p>
        </w:tc>
        <w:tc>
          <w:tcPr>
            <w:tcW w:w="1843" w:type="dxa"/>
            <w:vAlign w:val="center"/>
          </w:tcPr>
          <w:p w14:paraId="6BBD44BA" w14:textId="77777777" w:rsidR="0016423F" w:rsidRPr="00192D3E" w:rsidRDefault="0016423F" w:rsidP="000E018D">
            <w:pPr>
              <w:jc w:val="center"/>
              <w:cnfStyle w:val="000000000000" w:firstRow="0" w:lastRow="0" w:firstColumn="0" w:lastColumn="0" w:oddVBand="0" w:evenVBand="0" w:oddHBand="0" w:evenHBand="0" w:firstRowFirstColumn="0" w:firstRowLastColumn="0" w:lastRowFirstColumn="0" w:lastRowLastColumn="0"/>
              <w:rPr>
                <w:rFonts w:ascii="Palatino Linotype" w:hAnsi="Palatino Linotype" w:cs="Calibri"/>
                <w:sz w:val="18"/>
                <w:szCs w:val="18"/>
                <w:shd w:val="clear" w:color="auto" w:fill="FFFFFF"/>
                <w:lang w:val="es-ES"/>
              </w:rPr>
            </w:pPr>
            <w:r w:rsidRPr="00192D3E">
              <w:rPr>
                <w:rFonts w:ascii="Palatino Linotype" w:hAnsi="Palatino Linotype" w:cs="Calibri"/>
                <w:sz w:val="18"/>
                <w:szCs w:val="18"/>
                <w:shd w:val="clear" w:color="auto" w:fill="FFFFFF"/>
                <w:lang w:val="es-ES"/>
              </w:rPr>
              <w:t>OXPHOS</w:t>
            </w:r>
          </w:p>
        </w:tc>
        <w:tc>
          <w:tcPr>
            <w:tcW w:w="1843" w:type="dxa"/>
            <w:vAlign w:val="center"/>
          </w:tcPr>
          <w:p w14:paraId="570281B7" w14:textId="77777777" w:rsidR="0016423F" w:rsidRPr="00192D3E" w:rsidRDefault="0016423F" w:rsidP="000E018D">
            <w:pPr>
              <w:jc w:val="center"/>
              <w:cnfStyle w:val="000000000000" w:firstRow="0" w:lastRow="0" w:firstColumn="0" w:lastColumn="0" w:oddVBand="0" w:evenVBand="0" w:oddHBand="0" w:evenHBand="0" w:firstRowFirstColumn="0" w:firstRowLastColumn="0" w:lastRowFirstColumn="0" w:lastRowLastColumn="0"/>
              <w:rPr>
                <w:rFonts w:ascii="Palatino Linotype" w:hAnsi="Palatino Linotype" w:cs="Calibri"/>
                <w:sz w:val="18"/>
                <w:szCs w:val="18"/>
                <w:shd w:val="clear" w:color="auto" w:fill="FFFFFF"/>
                <w:lang w:val="es-ES"/>
              </w:rPr>
            </w:pPr>
            <w:r w:rsidRPr="00192D3E">
              <w:rPr>
                <w:rFonts w:ascii="Palatino Linotype" w:hAnsi="Palatino Linotype" w:cs="Calibri"/>
                <w:sz w:val="18"/>
                <w:szCs w:val="18"/>
                <w:shd w:val="clear" w:color="auto" w:fill="FFFFFF"/>
                <w:lang w:val="es-ES"/>
              </w:rPr>
              <w:t>ND</w:t>
            </w:r>
          </w:p>
        </w:tc>
        <w:tc>
          <w:tcPr>
            <w:tcW w:w="2835" w:type="dxa"/>
            <w:vAlign w:val="center"/>
          </w:tcPr>
          <w:p w14:paraId="163723EC" w14:textId="77777777" w:rsidR="0016423F" w:rsidRPr="00192D3E" w:rsidRDefault="0016423F" w:rsidP="000E018D">
            <w:pPr>
              <w:jc w:val="center"/>
              <w:cnfStyle w:val="000000000000" w:firstRow="0" w:lastRow="0" w:firstColumn="0" w:lastColumn="0" w:oddVBand="0" w:evenVBand="0" w:oddHBand="0" w:evenHBand="0" w:firstRowFirstColumn="0" w:firstRowLastColumn="0" w:lastRowFirstColumn="0" w:lastRowLastColumn="0"/>
              <w:rPr>
                <w:rFonts w:ascii="Palatino Linotype" w:hAnsi="Palatino Linotype" w:cs="Calibri"/>
                <w:sz w:val="18"/>
                <w:szCs w:val="18"/>
                <w:shd w:val="clear" w:color="auto" w:fill="FFFFFF"/>
                <w:lang w:val="es-ES"/>
              </w:rPr>
            </w:pPr>
            <w:r w:rsidRPr="00192D3E">
              <w:rPr>
                <w:rFonts w:ascii="Palatino Linotype" w:eastAsia="Times New Roman" w:hAnsi="Palatino Linotype" w:cs="Calibri"/>
                <w:sz w:val="18"/>
                <w:szCs w:val="18"/>
                <w:lang w:val="es-ES" w:eastAsia="en-GB"/>
              </w:rPr>
              <w:t>ND</w:t>
            </w:r>
          </w:p>
        </w:tc>
      </w:tr>
      <w:tr w:rsidR="0016423F" w:rsidRPr="00192D3E" w14:paraId="30F2C039" w14:textId="77777777" w:rsidTr="0016423F">
        <w:tc>
          <w:tcPr>
            <w:cnfStyle w:val="001000000000" w:firstRow="0" w:lastRow="0" w:firstColumn="1" w:lastColumn="0" w:oddVBand="0" w:evenVBand="0" w:oddHBand="0" w:evenHBand="0" w:firstRowFirstColumn="0" w:firstRowLastColumn="0" w:lastRowFirstColumn="0" w:lastRowLastColumn="0"/>
            <w:tcW w:w="2405" w:type="dxa"/>
            <w:vAlign w:val="center"/>
          </w:tcPr>
          <w:p w14:paraId="67D17DD2" w14:textId="77777777" w:rsidR="0016423F" w:rsidRPr="00192D3E" w:rsidRDefault="0016423F" w:rsidP="000E018D">
            <w:pPr>
              <w:jc w:val="center"/>
              <w:rPr>
                <w:rFonts w:ascii="Palatino Linotype" w:hAnsi="Palatino Linotype" w:cs="Calibri"/>
                <w:sz w:val="18"/>
                <w:szCs w:val="18"/>
                <w:shd w:val="clear" w:color="auto" w:fill="FFFFFF"/>
              </w:rPr>
            </w:pPr>
            <w:r w:rsidRPr="00192D3E">
              <w:rPr>
                <w:rFonts w:ascii="Palatino Linotype" w:hAnsi="Palatino Linotype" w:cs="Calibri"/>
                <w:b w:val="0"/>
                <w:bCs w:val="0"/>
                <w:sz w:val="18"/>
                <w:szCs w:val="18"/>
                <w:shd w:val="clear" w:color="auto" w:fill="FFFFFF"/>
              </w:rPr>
              <w:t xml:space="preserve">Ovarian cancer </w:t>
            </w:r>
          </w:p>
          <w:p w14:paraId="6AD4DD98" w14:textId="77777777" w:rsidR="0016423F" w:rsidRPr="00192D3E" w:rsidRDefault="0016423F" w:rsidP="000E018D">
            <w:pPr>
              <w:jc w:val="center"/>
              <w:rPr>
                <w:rFonts w:ascii="Palatino Linotype" w:hAnsi="Palatino Linotype" w:cs="Calibri"/>
                <w:b w:val="0"/>
                <w:bCs w:val="0"/>
                <w:sz w:val="18"/>
                <w:szCs w:val="18"/>
                <w:shd w:val="clear" w:color="auto" w:fill="FFFFFF"/>
              </w:rPr>
            </w:pPr>
            <w:r w:rsidRPr="00192D3E">
              <w:rPr>
                <w:rFonts w:ascii="Palatino Linotype" w:hAnsi="Palatino Linotype" w:cs="Calibri"/>
                <w:b w:val="0"/>
                <w:bCs w:val="0"/>
                <w:sz w:val="18"/>
                <w:szCs w:val="18"/>
                <w:shd w:val="clear" w:color="auto" w:fill="FFFFFF"/>
              </w:rPr>
              <w:t>(</w:t>
            </w:r>
            <w:proofErr w:type="gramStart"/>
            <w:r w:rsidRPr="00192D3E">
              <w:rPr>
                <w:rFonts w:ascii="Palatino Linotype" w:hAnsi="Palatino Linotype" w:cs="Calibri"/>
                <w:b w:val="0"/>
                <w:bCs w:val="0"/>
                <w:sz w:val="18"/>
                <w:szCs w:val="18"/>
                <w:shd w:val="clear" w:color="auto" w:fill="FFFFFF"/>
              </w:rPr>
              <w:t>serous</w:t>
            </w:r>
            <w:proofErr w:type="gramEnd"/>
            <w:r w:rsidRPr="00192D3E">
              <w:rPr>
                <w:rFonts w:ascii="Palatino Linotype" w:hAnsi="Palatino Linotype" w:cs="Calibri"/>
                <w:b w:val="0"/>
                <w:bCs w:val="0"/>
                <w:sz w:val="18"/>
                <w:szCs w:val="18"/>
                <w:shd w:val="clear" w:color="auto" w:fill="FFFFFF"/>
              </w:rPr>
              <w:t xml:space="preserve"> adenocarcinoma)</w:t>
            </w:r>
          </w:p>
        </w:tc>
        <w:tc>
          <w:tcPr>
            <w:tcW w:w="1843" w:type="dxa"/>
            <w:vAlign w:val="center"/>
          </w:tcPr>
          <w:p w14:paraId="0345F72D" w14:textId="77777777" w:rsidR="0016423F" w:rsidRPr="00192D3E" w:rsidRDefault="0016423F" w:rsidP="000E018D">
            <w:pPr>
              <w:jc w:val="center"/>
              <w:cnfStyle w:val="000000000000" w:firstRow="0" w:lastRow="0" w:firstColumn="0" w:lastColumn="0" w:oddVBand="0" w:evenVBand="0" w:oddHBand="0" w:evenHBand="0" w:firstRowFirstColumn="0" w:firstRowLastColumn="0" w:lastRowFirstColumn="0" w:lastRowLastColumn="0"/>
              <w:rPr>
                <w:rFonts w:ascii="Palatino Linotype" w:hAnsi="Palatino Linotype" w:cs="Calibri"/>
                <w:sz w:val="18"/>
                <w:szCs w:val="18"/>
                <w:shd w:val="clear" w:color="auto" w:fill="FFFFFF"/>
              </w:rPr>
            </w:pPr>
            <w:r w:rsidRPr="00192D3E">
              <w:rPr>
                <w:rFonts w:ascii="Palatino Linotype" w:hAnsi="Palatino Linotype" w:cs="Calibri"/>
                <w:sz w:val="18"/>
                <w:szCs w:val="18"/>
                <w:shd w:val="clear" w:color="auto" w:fill="FFFFFF"/>
              </w:rPr>
              <w:t>OXPHOS</w:t>
            </w:r>
          </w:p>
        </w:tc>
        <w:tc>
          <w:tcPr>
            <w:tcW w:w="1843" w:type="dxa"/>
            <w:vAlign w:val="center"/>
          </w:tcPr>
          <w:p w14:paraId="2E281CA4" w14:textId="77777777" w:rsidR="0016423F" w:rsidRPr="00192D3E" w:rsidRDefault="0016423F" w:rsidP="000E018D">
            <w:pPr>
              <w:jc w:val="center"/>
              <w:cnfStyle w:val="000000000000" w:firstRow="0" w:lastRow="0" w:firstColumn="0" w:lastColumn="0" w:oddVBand="0" w:evenVBand="0" w:oddHBand="0" w:evenHBand="0" w:firstRowFirstColumn="0" w:firstRowLastColumn="0" w:lastRowFirstColumn="0" w:lastRowLastColumn="0"/>
              <w:rPr>
                <w:rFonts w:ascii="Palatino Linotype" w:hAnsi="Palatino Linotype" w:cs="Calibri"/>
                <w:sz w:val="18"/>
                <w:szCs w:val="18"/>
                <w:shd w:val="clear" w:color="auto" w:fill="FFFFFF"/>
              </w:rPr>
            </w:pPr>
            <w:r w:rsidRPr="00192D3E">
              <w:rPr>
                <w:rFonts w:ascii="Palatino Linotype" w:hAnsi="Palatino Linotype" w:cs="Calibri"/>
                <w:sz w:val="18"/>
                <w:szCs w:val="18"/>
                <w:shd w:val="clear" w:color="auto" w:fill="FFFFFF"/>
              </w:rPr>
              <w:t>ND</w:t>
            </w:r>
          </w:p>
        </w:tc>
        <w:tc>
          <w:tcPr>
            <w:tcW w:w="2835" w:type="dxa"/>
            <w:vAlign w:val="center"/>
          </w:tcPr>
          <w:p w14:paraId="53DF8843" w14:textId="77777777" w:rsidR="0016423F" w:rsidRPr="00192D3E" w:rsidRDefault="0016423F" w:rsidP="000E018D">
            <w:pPr>
              <w:jc w:val="center"/>
              <w:cnfStyle w:val="000000000000" w:firstRow="0" w:lastRow="0" w:firstColumn="0" w:lastColumn="0" w:oddVBand="0" w:evenVBand="0" w:oddHBand="0" w:evenHBand="0" w:firstRowFirstColumn="0" w:firstRowLastColumn="0" w:lastRowFirstColumn="0" w:lastRowLastColumn="0"/>
              <w:rPr>
                <w:rFonts w:ascii="Palatino Linotype" w:hAnsi="Palatino Linotype" w:cs="Calibri"/>
                <w:sz w:val="18"/>
                <w:szCs w:val="18"/>
                <w:shd w:val="clear" w:color="auto" w:fill="FFFFFF"/>
              </w:rPr>
            </w:pPr>
            <w:r w:rsidRPr="00192D3E">
              <w:rPr>
                <w:rFonts w:ascii="Palatino Linotype" w:eastAsia="Times New Roman" w:hAnsi="Palatino Linotype" w:cs="Calibri"/>
                <w:sz w:val="18"/>
                <w:szCs w:val="18"/>
                <w:lang w:eastAsia="en-GB"/>
              </w:rPr>
              <w:t>ND</w:t>
            </w:r>
          </w:p>
        </w:tc>
      </w:tr>
      <w:tr w:rsidR="0016423F" w:rsidRPr="00192D3E" w14:paraId="491844DD" w14:textId="77777777" w:rsidTr="0016423F">
        <w:tc>
          <w:tcPr>
            <w:cnfStyle w:val="001000000000" w:firstRow="0" w:lastRow="0" w:firstColumn="1" w:lastColumn="0" w:oddVBand="0" w:evenVBand="0" w:oddHBand="0" w:evenHBand="0" w:firstRowFirstColumn="0" w:firstRowLastColumn="0" w:lastRowFirstColumn="0" w:lastRowLastColumn="0"/>
            <w:tcW w:w="2405" w:type="dxa"/>
            <w:vAlign w:val="center"/>
          </w:tcPr>
          <w:p w14:paraId="6BC510B0" w14:textId="77777777" w:rsidR="0016423F" w:rsidRPr="00192D3E" w:rsidRDefault="0016423F" w:rsidP="000E018D">
            <w:pPr>
              <w:jc w:val="center"/>
              <w:rPr>
                <w:rFonts w:ascii="Palatino Linotype" w:hAnsi="Palatino Linotype" w:cs="Calibri"/>
                <w:color w:val="000000" w:themeColor="text1"/>
                <w:sz w:val="18"/>
                <w:szCs w:val="18"/>
                <w:shd w:val="clear" w:color="auto" w:fill="FFFFFF"/>
              </w:rPr>
            </w:pPr>
            <w:r w:rsidRPr="00192D3E">
              <w:rPr>
                <w:rFonts w:ascii="Palatino Linotype" w:hAnsi="Palatino Linotype" w:cs="Calibri"/>
                <w:b w:val="0"/>
                <w:bCs w:val="0"/>
                <w:color w:val="000000" w:themeColor="text1"/>
                <w:sz w:val="18"/>
                <w:szCs w:val="18"/>
                <w:shd w:val="clear" w:color="auto" w:fill="FFFFFF"/>
              </w:rPr>
              <w:t>Glioma cell lines</w:t>
            </w:r>
          </w:p>
          <w:p w14:paraId="021E22CF" w14:textId="77777777" w:rsidR="0016423F" w:rsidRPr="00192D3E" w:rsidRDefault="0016423F" w:rsidP="000E018D">
            <w:pPr>
              <w:jc w:val="center"/>
              <w:rPr>
                <w:rFonts w:ascii="Palatino Linotype" w:hAnsi="Palatino Linotype" w:cs="Calibri"/>
                <w:b w:val="0"/>
                <w:bCs w:val="0"/>
                <w:color w:val="000000" w:themeColor="text1"/>
                <w:sz w:val="18"/>
                <w:szCs w:val="18"/>
                <w:shd w:val="clear" w:color="auto" w:fill="FFFFFF"/>
              </w:rPr>
            </w:pPr>
            <w:r w:rsidRPr="00192D3E">
              <w:rPr>
                <w:rFonts w:ascii="Palatino Linotype" w:hAnsi="Palatino Linotype" w:cs="Calibri"/>
                <w:b w:val="0"/>
                <w:bCs w:val="0"/>
                <w:color w:val="000000" w:themeColor="text1"/>
                <w:sz w:val="18"/>
                <w:szCs w:val="18"/>
                <w:shd w:val="clear" w:color="auto" w:fill="FFFFFF"/>
              </w:rPr>
              <w:t xml:space="preserve"> (D-54MG and GL261)</w:t>
            </w:r>
          </w:p>
        </w:tc>
        <w:tc>
          <w:tcPr>
            <w:tcW w:w="1843" w:type="dxa"/>
            <w:vAlign w:val="center"/>
          </w:tcPr>
          <w:p w14:paraId="5929FDD8" w14:textId="77777777" w:rsidR="0016423F" w:rsidRPr="00192D3E" w:rsidRDefault="0016423F" w:rsidP="000E018D">
            <w:pPr>
              <w:jc w:val="center"/>
              <w:cnfStyle w:val="000000000000" w:firstRow="0" w:lastRow="0" w:firstColumn="0" w:lastColumn="0" w:oddVBand="0" w:evenVBand="0" w:oddHBand="0" w:evenHBand="0" w:firstRowFirstColumn="0" w:firstRowLastColumn="0" w:lastRowFirstColumn="0" w:lastRowLastColumn="0"/>
              <w:rPr>
                <w:rFonts w:ascii="Palatino Linotype" w:hAnsi="Palatino Linotype" w:cs="Calibri"/>
                <w:color w:val="000000" w:themeColor="text1"/>
                <w:sz w:val="18"/>
                <w:szCs w:val="18"/>
                <w:shd w:val="clear" w:color="auto" w:fill="FFFFFF"/>
              </w:rPr>
            </w:pPr>
            <w:r w:rsidRPr="00192D3E">
              <w:rPr>
                <w:rFonts w:ascii="Palatino Linotype" w:hAnsi="Palatino Linotype" w:cs="Calibri"/>
                <w:color w:val="000000" w:themeColor="text1"/>
                <w:sz w:val="18"/>
                <w:szCs w:val="18"/>
                <w:shd w:val="clear" w:color="auto" w:fill="FFFFFF"/>
              </w:rPr>
              <w:t>OXPHOS</w:t>
            </w:r>
          </w:p>
        </w:tc>
        <w:tc>
          <w:tcPr>
            <w:tcW w:w="1843" w:type="dxa"/>
            <w:vAlign w:val="center"/>
          </w:tcPr>
          <w:p w14:paraId="3AFC2C7A" w14:textId="77777777" w:rsidR="0016423F" w:rsidRPr="00192D3E" w:rsidRDefault="0016423F" w:rsidP="000E018D">
            <w:pPr>
              <w:jc w:val="center"/>
              <w:cnfStyle w:val="000000000000" w:firstRow="0" w:lastRow="0" w:firstColumn="0" w:lastColumn="0" w:oddVBand="0" w:evenVBand="0" w:oddHBand="0" w:evenHBand="0" w:firstRowFirstColumn="0" w:firstRowLastColumn="0" w:lastRowFirstColumn="0" w:lastRowLastColumn="0"/>
              <w:rPr>
                <w:rFonts w:ascii="Palatino Linotype" w:hAnsi="Palatino Linotype" w:cs="Calibri"/>
                <w:color w:val="000000" w:themeColor="text1"/>
                <w:sz w:val="18"/>
                <w:szCs w:val="18"/>
                <w:shd w:val="clear" w:color="auto" w:fill="FFFFFF"/>
              </w:rPr>
            </w:pPr>
            <w:r w:rsidRPr="00192D3E">
              <w:rPr>
                <w:rFonts w:ascii="Palatino Linotype" w:hAnsi="Palatino Linotype" w:cs="Calibri"/>
                <w:color w:val="000000" w:themeColor="text1"/>
                <w:sz w:val="18"/>
                <w:szCs w:val="18"/>
                <w:shd w:val="clear" w:color="auto" w:fill="FFFFFF"/>
              </w:rPr>
              <w:t>Glucose</w:t>
            </w:r>
          </w:p>
        </w:tc>
        <w:tc>
          <w:tcPr>
            <w:tcW w:w="2835" w:type="dxa"/>
            <w:vAlign w:val="center"/>
          </w:tcPr>
          <w:p w14:paraId="7743091A" w14:textId="77777777" w:rsidR="0016423F" w:rsidRPr="00192D3E" w:rsidRDefault="0016423F" w:rsidP="000E018D">
            <w:pPr>
              <w:jc w:val="center"/>
              <w:cnfStyle w:val="000000000000" w:firstRow="0" w:lastRow="0" w:firstColumn="0" w:lastColumn="0" w:oddVBand="0" w:evenVBand="0" w:oddHBand="0" w:evenHBand="0" w:firstRowFirstColumn="0" w:firstRowLastColumn="0" w:lastRowFirstColumn="0" w:lastRowLastColumn="0"/>
              <w:rPr>
                <w:rFonts w:ascii="Palatino Linotype" w:hAnsi="Palatino Linotype" w:cs="Calibri"/>
                <w:color w:val="000000" w:themeColor="text1"/>
                <w:sz w:val="18"/>
                <w:szCs w:val="18"/>
                <w:shd w:val="clear" w:color="auto" w:fill="FFFFFF"/>
              </w:rPr>
            </w:pPr>
            <w:r w:rsidRPr="00192D3E">
              <w:rPr>
                <w:rFonts w:ascii="Palatino Linotype" w:eastAsia="Times New Roman" w:hAnsi="Palatino Linotype" w:cs="Calibri"/>
                <w:sz w:val="18"/>
                <w:szCs w:val="18"/>
                <w:lang w:eastAsia="en-GB"/>
              </w:rPr>
              <w:t>ND</w:t>
            </w:r>
          </w:p>
        </w:tc>
      </w:tr>
      <w:tr w:rsidR="0016423F" w:rsidRPr="00192D3E" w14:paraId="3E1BA207" w14:textId="77777777" w:rsidTr="0016423F">
        <w:tc>
          <w:tcPr>
            <w:cnfStyle w:val="001000000000" w:firstRow="0" w:lastRow="0" w:firstColumn="1" w:lastColumn="0" w:oddVBand="0" w:evenVBand="0" w:oddHBand="0" w:evenHBand="0" w:firstRowFirstColumn="0" w:firstRowLastColumn="0" w:lastRowFirstColumn="0" w:lastRowLastColumn="0"/>
            <w:tcW w:w="2405" w:type="dxa"/>
            <w:vAlign w:val="center"/>
          </w:tcPr>
          <w:p w14:paraId="4316B14B" w14:textId="77777777" w:rsidR="0016423F" w:rsidRPr="00192D3E" w:rsidRDefault="0016423F" w:rsidP="000E018D">
            <w:pPr>
              <w:jc w:val="center"/>
              <w:rPr>
                <w:rFonts w:ascii="Palatino Linotype" w:hAnsi="Palatino Linotype" w:cs="Calibri"/>
                <w:color w:val="000000" w:themeColor="text1"/>
                <w:sz w:val="18"/>
                <w:szCs w:val="18"/>
                <w:shd w:val="clear" w:color="auto" w:fill="FFFFFF"/>
              </w:rPr>
            </w:pPr>
            <w:r w:rsidRPr="00192D3E">
              <w:rPr>
                <w:rFonts w:ascii="Palatino Linotype" w:hAnsi="Palatino Linotype" w:cs="Calibri"/>
                <w:b w:val="0"/>
                <w:bCs w:val="0"/>
                <w:color w:val="000000" w:themeColor="text1"/>
                <w:sz w:val="18"/>
                <w:szCs w:val="18"/>
                <w:shd w:val="clear" w:color="auto" w:fill="FFFFFF"/>
              </w:rPr>
              <w:t xml:space="preserve">Glioma cell lines </w:t>
            </w:r>
          </w:p>
          <w:p w14:paraId="589C705F" w14:textId="77777777" w:rsidR="0016423F" w:rsidRPr="00192D3E" w:rsidRDefault="0016423F" w:rsidP="000E018D">
            <w:pPr>
              <w:jc w:val="center"/>
              <w:rPr>
                <w:rFonts w:ascii="Palatino Linotype" w:hAnsi="Palatino Linotype" w:cs="Calibri"/>
                <w:b w:val="0"/>
                <w:bCs w:val="0"/>
                <w:color w:val="000000" w:themeColor="text1"/>
                <w:sz w:val="18"/>
                <w:szCs w:val="18"/>
                <w:shd w:val="clear" w:color="auto" w:fill="FFFFFF"/>
              </w:rPr>
            </w:pPr>
            <w:r w:rsidRPr="00192D3E">
              <w:rPr>
                <w:rFonts w:ascii="Palatino Linotype" w:hAnsi="Palatino Linotype" w:cs="Calibri"/>
                <w:b w:val="0"/>
                <w:bCs w:val="0"/>
                <w:color w:val="000000" w:themeColor="text1"/>
                <w:sz w:val="18"/>
                <w:szCs w:val="18"/>
                <w:shd w:val="clear" w:color="auto" w:fill="FFFFFF"/>
              </w:rPr>
              <w:t>(U-251MG and U-87MG)</w:t>
            </w:r>
          </w:p>
        </w:tc>
        <w:tc>
          <w:tcPr>
            <w:tcW w:w="1843" w:type="dxa"/>
            <w:vAlign w:val="center"/>
          </w:tcPr>
          <w:p w14:paraId="048FDC75" w14:textId="77777777" w:rsidR="0016423F" w:rsidRPr="00192D3E" w:rsidRDefault="0016423F" w:rsidP="000E018D">
            <w:pPr>
              <w:jc w:val="center"/>
              <w:cnfStyle w:val="000000000000" w:firstRow="0" w:lastRow="0" w:firstColumn="0" w:lastColumn="0" w:oddVBand="0" w:evenVBand="0" w:oddHBand="0" w:evenHBand="0" w:firstRowFirstColumn="0" w:firstRowLastColumn="0" w:lastRowFirstColumn="0" w:lastRowLastColumn="0"/>
              <w:rPr>
                <w:rFonts w:ascii="Palatino Linotype" w:hAnsi="Palatino Linotype" w:cs="Calibri"/>
                <w:color w:val="000000" w:themeColor="text1"/>
                <w:sz w:val="18"/>
                <w:szCs w:val="18"/>
                <w:shd w:val="clear" w:color="auto" w:fill="FFFFFF"/>
              </w:rPr>
            </w:pPr>
            <w:r w:rsidRPr="00192D3E">
              <w:rPr>
                <w:rFonts w:ascii="Palatino Linotype" w:hAnsi="Palatino Linotype" w:cs="Calibri"/>
                <w:color w:val="000000" w:themeColor="text1"/>
                <w:sz w:val="18"/>
                <w:szCs w:val="18"/>
                <w:shd w:val="clear" w:color="auto" w:fill="FFFFFF"/>
              </w:rPr>
              <w:t>Glycolytic</w:t>
            </w:r>
          </w:p>
        </w:tc>
        <w:tc>
          <w:tcPr>
            <w:tcW w:w="1843" w:type="dxa"/>
            <w:vAlign w:val="center"/>
          </w:tcPr>
          <w:p w14:paraId="1E093638" w14:textId="77777777" w:rsidR="0016423F" w:rsidRPr="00192D3E" w:rsidRDefault="0016423F" w:rsidP="000E018D">
            <w:pPr>
              <w:jc w:val="center"/>
              <w:cnfStyle w:val="000000000000" w:firstRow="0" w:lastRow="0" w:firstColumn="0" w:lastColumn="0" w:oddVBand="0" w:evenVBand="0" w:oddHBand="0" w:evenHBand="0" w:firstRowFirstColumn="0" w:firstRowLastColumn="0" w:lastRowFirstColumn="0" w:lastRowLastColumn="0"/>
              <w:rPr>
                <w:rFonts w:ascii="Palatino Linotype" w:hAnsi="Palatino Linotype" w:cs="Calibri"/>
                <w:color w:val="000000" w:themeColor="text1"/>
                <w:sz w:val="18"/>
                <w:szCs w:val="18"/>
                <w:shd w:val="clear" w:color="auto" w:fill="FFFFFF"/>
              </w:rPr>
            </w:pPr>
            <w:r w:rsidRPr="00192D3E">
              <w:rPr>
                <w:rFonts w:ascii="Palatino Linotype" w:hAnsi="Palatino Linotype" w:cs="Calibri"/>
                <w:color w:val="000000" w:themeColor="text1"/>
                <w:sz w:val="18"/>
                <w:szCs w:val="18"/>
                <w:shd w:val="clear" w:color="auto" w:fill="FFFFFF"/>
              </w:rPr>
              <w:t>Glucose</w:t>
            </w:r>
          </w:p>
        </w:tc>
        <w:tc>
          <w:tcPr>
            <w:tcW w:w="2835" w:type="dxa"/>
            <w:vAlign w:val="center"/>
          </w:tcPr>
          <w:p w14:paraId="6271C148" w14:textId="77777777" w:rsidR="0016423F" w:rsidRPr="00192D3E" w:rsidRDefault="0016423F" w:rsidP="000E018D">
            <w:pPr>
              <w:jc w:val="center"/>
              <w:cnfStyle w:val="000000000000" w:firstRow="0" w:lastRow="0" w:firstColumn="0" w:lastColumn="0" w:oddVBand="0" w:evenVBand="0" w:oddHBand="0" w:evenHBand="0" w:firstRowFirstColumn="0" w:firstRowLastColumn="0" w:lastRowFirstColumn="0" w:lastRowLastColumn="0"/>
              <w:rPr>
                <w:rFonts w:ascii="Palatino Linotype" w:hAnsi="Palatino Linotype" w:cs="Calibri"/>
                <w:color w:val="FF0000"/>
                <w:sz w:val="18"/>
                <w:szCs w:val="18"/>
                <w:shd w:val="clear" w:color="auto" w:fill="FFFFFF"/>
              </w:rPr>
            </w:pPr>
            <w:r w:rsidRPr="00192D3E">
              <w:rPr>
                <w:rFonts w:ascii="Palatino Linotype" w:eastAsia="Times New Roman" w:hAnsi="Palatino Linotype" w:cs="Calibri"/>
                <w:sz w:val="18"/>
                <w:szCs w:val="18"/>
                <w:lang w:eastAsia="en-GB"/>
              </w:rPr>
              <w:t>ND</w:t>
            </w:r>
          </w:p>
        </w:tc>
      </w:tr>
      <w:tr w:rsidR="0016423F" w:rsidRPr="00192D3E" w14:paraId="7C7EA48F" w14:textId="77777777" w:rsidTr="0016423F">
        <w:tc>
          <w:tcPr>
            <w:cnfStyle w:val="001000000000" w:firstRow="0" w:lastRow="0" w:firstColumn="1" w:lastColumn="0" w:oddVBand="0" w:evenVBand="0" w:oddHBand="0" w:evenHBand="0" w:firstRowFirstColumn="0" w:firstRowLastColumn="0" w:lastRowFirstColumn="0" w:lastRowLastColumn="0"/>
            <w:tcW w:w="2405" w:type="dxa"/>
            <w:vAlign w:val="center"/>
          </w:tcPr>
          <w:p w14:paraId="4523C7BA" w14:textId="77777777" w:rsidR="0016423F" w:rsidRPr="00192D3E" w:rsidRDefault="0016423F" w:rsidP="000E018D">
            <w:pPr>
              <w:jc w:val="center"/>
              <w:rPr>
                <w:rFonts w:ascii="Palatino Linotype" w:hAnsi="Palatino Linotype" w:cs="Calibri"/>
                <w:b w:val="0"/>
                <w:bCs w:val="0"/>
                <w:color w:val="000000" w:themeColor="text1"/>
                <w:sz w:val="18"/>
                <w:szCs w:val="18"/>
                <w:shd w:val="clear" w:color="auto" w:fill="FFFFFF"/>
              </w:rPr>
            </w:pPr>
            <w:r w:rsidRPr="00192D3E">
              <w:rPr>
                <w:rFonts w:ascii="Palatino Linotype" w:hAnsi="Palatino Linotype" w:cs="Calibri"/>
                <w:b w:val="0"/>
                <w:bCs w:val="0"/>
                <w:color w:val="000000" w:themeColor="text1"/>
                <w:sz w:val="18"/>
                <w:szCs w:val="18"/>
                <w:shd w:val="clear" w:color="auto" w:fill="FFFFFF"/>
              </w:rPr>
              <w:t>Glioblastoma</w:t>
            </w:r>
          </w:p>
        </w:tc>
        <w:tc>
          <w:tcPr>
            <w:tcW w:w="1843" w:type="dxa"/>
            <w:vAlign w:val="center"/>
          </w:tcPr>
          <w:p w14:paraId="08B1F49A" w14:textId="77777777" w:rsidR="0016423F" w:rsidRPr="00192D3E" w:rsidRDefault="0016423F" w:rsidP="000E018D">
            <w:pPr>
              <w:jc w:val="center"/>
              <w:cnfStyle w:val="000000000000" w:firstRow="0" w:lastRow="0" w:firstColumn="0" w:lastColumn="0" w:oddVBand="0" w:evenVBand="0" w:oddHBand="0" w:evenHBand="0" w:firstRowFirstColumn="0" w:firstRowLastColumn="0" w:lastRowFirstColumn="0" w:lastRowLastColumn="0"/>
              <w:rPr>
                <w:rFonts w:ascii="Palatino Linotype" w:hAnsi="Palatino Linotype" w:cs="Calibri"/>
                <w:color w:val="000000" w:themeColor="text1"/>
                <w:sz w:val="18"/>
                <w:szCs w:val="18"/>
                <w:shd w:val="clear" w:color="auto" w:fill="FFFFFF"/>
              </w:rPr>
            </w:pPr>
            <w:r w:rsidRPr="00192D3E">
              <w:rPr>
                <w:rFonts w:ascii="Palatino Linotype" w:hAnsi="Palatino Linotype" w:cs="Calibri"/>
                <w:color w:val="000000" w:themeColor="text1"/>
                <w:sz w:val="18"/>
                <w:szCs w:val="18"/>
                <w:shd w:val="clear" w:color="auto" w:fill="FFFFFF"/>
              </w:rPr>
              <w:t>Glycolytic (main) + OXPHOS</w:t>
            </w:r>
          </w:p>
        </w:tc>
        <w:tc>
          <w:tcPr>
            <w:tcW w:w="1843" w:type="dxa"/>
            <w:vAlign w:val="center"/>
          </w:tcPr>
          <w:p w14:paraId="2E017D1B" w14:textId="77777777" w:rsidR="0016423F" w:rsidRPr="00192D3E" w:rsidRDefault="0016423F" w:rsidP="000E018D">
            <w:pPr>
              <w:jc w:val="center"/>
              <w:cnfStyle w:val="000000000000" w:firstRow="0" w:lastRow="0" w:firstColumn="0" w:lastColumn="0" w:oddVBand="0" w:evenVBand="0" w:oddHBand="0" w:evenHBand="0" w:firstRowFirstColumn="0" w:firstRowLastColumn="0" w:lastRowFirstColumn="0" w:lastRowLastColumn="0"/>
              <w:rPr>
                <w:rFonts w:ascii="Palatino Linotype" w:hAnsi="Palatino Linotype" w:cs="Calibri"/>
                <w:color w:val="000000" w:themeColor="text1"/>
                <w:sz w:val="18"/>
                <w:szCs w:val="18"/>
                <w:shd w:val="clear" w:color="auto" w:fill="FFFFFF"/>
              </w:rPr>
            </w:pPr>
            <w:r w:rsidRPr="00192D3E">
              <w:rPr>
                <w:rFonts w:ascii="Palatino Linotype" w:hAnsi="Palatino Linotype" w:cs="Calibri"/>
                <w:color w:val="000000" w:themeColor="text1"/>
                <w:sz w:val="18"/>
                <w:szCs w:val="18"/>
                <w:shd w:val="clear" w:color="auto" w:fill="FFFFFF"/>
              </w:rPr>
              <w:t>Glucose</w:t>
            </w:r>
          </w:p>
        </w:tc>
        <w:tc>
          <w:tcPr>
            <w:tcW w:w="2835" w:type="dxa"/>
            <w:vAlign w:val="center"/>
          </w:tcPr>
          <w:p w14:paraId="0A294164" w14:textId="77777777" w:rsidR="0016423F" w:rsidRPr="00192D3E" w:rsidRDefault="0016423F" w:rsidP="000E018D">
            <w:pPr>
              <w:jc w:val="center"/>
              <w:cnfStyle w:val="000000000000" w:firstRow="0" w:lastRow="0" w:firstColumn="0" w:lastColumn="0" w:oddVBand="0" w:evenVBand="0" w:oddHBand="0" w:evenHBand="0" w:firstRowFirstColumn="0" w:firstRowLastColumn="0" w:lastRowFirstColumn="0" w:lastRowLastColumn="0"/>
              <w:rPr>
                <w:rFonts w:ascii="Palatino Linotype" w:hAnsi="Palatino Linotype" w:cs="Calibri"/>
                <w:color w:val="FF0000"/>
                <w:sz w:val="18"/>
                <w:szCs w:val="18"/>
                <w:shd w:val="clear" w:color="auto" w:fill="FFFFFF"/>
              </w:rPr>
            </w:pPr>
            <w:r w:rsidRPr="00192D3E">
              <w:rPr>
                <w:rFonts w:ascii="Palatino Linotype" w:eastAsia="Times New Roman" w:hAnsi="Palatino Linotype" w:cs="Calibri"/>
                <w:sz w:val="18"/>
                <w:szCs w:val="18"/>
                <w:lang w:eastAsia="en-GB"/>
              </w:rPr>
              <w:t>ND</w:t>
            </w:r>
          </w:p>
        </w:tc>
      </w:tr>
      <w:tr w:rsidR="0016423F" w:rsidRPr="00192D3E" w14:paraId="4C7D3FFA" w14:textId="77777777" w:rsidTr="0016423F">
        <w:tc>
          <w:tcPr>
            <w:cnfStyle w:val="001000000000" w:firstRow="0" w:lastRow="0" w:firstColumn="1" w:lastColumn="0" w:oddVBand="0" w:evenVBand="0" w:oddHBand="0" w:evenHBand="0" w:firstRowFirstColumn="0" w:firstRowLastColumn="0" w:lastRowFirstColumn="0" w:lastRowLastColumn="0"/>
            <w:tcW w:w="2405" w:type="dxa"/>
            <w:vAlign w:val="center"/>
          </w:tcPr>
          <w:p w14:paraId="217C00F4" w14:textId="77777777" w:rsidR="0016423F" w:rsidRPr="00192D3E" w:rsidRDefault="0016423F" w:rsidP="000E018D">
            <w:pPr>
              <w:jc w:val="center"/>
              <w:rPr>
                <w:rFonts w:ascii="Palatino Linotype" w:hAnsi="Palatino Linotype" w:cs="Calibri"/>
                <w:b w:val="0"/>
                <w:bCs w:val="0"/>
                <w:sz w:val="18"/>
                <w:szCs w:val="18"/>
                <w:shd w:val="clear" w:color="auto" w:fill="FFFFFF"/>
              </w:rPr>
            </w:pPr>
            <w:r w:rsidRPr="00192D3E">
              <w:rPr>
                <w:rFonts w:ascii="Palatino Linotype" w:hAnsi="Palatino Linotype" w:cs="Calibri"/>
                <w:b w:val="0"/>
                <w:bCs w:val="0"/>
                <w:sz w:val="18"/>
                <w:szCs w:val="18"/>
                <w:shd w:val="clear" w:color="auto" w:fill="FFFFFF"/>
              </w:rPr>
              <w:t>Epithelial ovarian cancer: CSC (patients)</w:t>
            </w:r>
          </w:p>
        </w:tc>
        <w:tc>
          <w:tcPr>
            <w:tcW w:w="1843" w:type="dxa"/>
            <w:vAlign w:val="center"/>
          </w:tcPr>
          <w:p w14:paraId="2D3D65FC" w14:textId="77777777" w:rsidR="0016423F" w:rsidRPr="00192D3E" w:rsidRDefault="0016423F" w:rsidP="000E018D">
            <w:pPr>
              <w:jc w:val="center"/>
              <w:cnfStyle w:val="000000000000" w:firstRow="0" w:lastRow="0" w:firstColumn="0" w:lastColumn="0" w:oddVBand="0" w:evenVBand="0" w:oddHBand="0" w:evenHBand="0" w:firstRowFirstColumn="0" w:firstRowLastColumn="0" w:lastRowFirstColumn="0" w:lastRowLastColumn="0"/>
              <w:rPr>
                <w:rFonts w:ascii="Palatino Linotype" w:hAnsi="Palatino Linotype" w:cs="Calibri"/>
                <w:sz w:val="18"/>
                <w:szCs w:val="18"/>
                <w:shd w:val="clear" w:color="auto" w:fill="FFFFFF"/>
              </w:rPr>
            </w:pPr>
            <w:r w:rsidRPr="00192D3E">
              <w:rPr>
                <w:rFonts w:ascii="Palatino Linotype" w:hAnsi="Palatino Linotype" w:cs="Calibri"/>
                <w:sz w:val="18"/>
                <w:szCs w:val="18"/>
                <w:shd w:val="clear" w:color="auto" w:fill="FFFFFF"/>
              </w:rPr>
              <w:t>OXPHOS</w:t>
            </w:r>
          </w:p>
        </w:tc>
        <w:tc>
          <w:tcPr>
            <w:tcW w:w="1843" w:type="dxa"/>
            <w:vAlign w:val="center"/>
          </w:tcPr>
          <w:p w14:paraId="277E4A1E" w14:textId="77777777" w:rsidR="0016423F" w:rsidRPr="00192D3E" w:rsidRDefault="0016423F" w:rsidP="000E018D">
            <w:pPr>
              <w:jc w:val="center"/>
              <w:cnfStyle w:val="000000000000" w:firstRow="0" w:lastRow="0" w:firstColumn="0" w:lastColumn="0" w:oddVBand="0" w:evenVBand="0" w:oddHBand="0" w:evenHBand="0" w:firstRowFirstColumn="0" w:firstRowLastColumn="0" w:lastRowFirstColumn="0" w:lastRowLastColumn="0"/>
              <w:rPr>
                <w:rFonts w:ascii="Palatino Linotype" w:hAnsi="Palatino Linotype" w:cs="Calibri"/>
                <w:sz w:val="18"/>
                <w:szCs w:val="18"/>
                <w:shd w:val="clear" w:color="auto" w:fill="FFFFFF"/>
              </w:rPr>
            </w:pPr>
            <w:r w:rsidRPr="00192D3E">
              <w:rPr>
                <w:rFonts w:ascii="Palatino Linotype" w:hAnsi="Palatino Linotype" w:cs="Calibri"/>
                <w:sz w:val="18"/>
                <w:szCs w:val="18"/>
                <w:shd w:val="clear" w:color="auto" w:fill="FFFFFF"/>
              </w:rPr>
              <w:t>Glucose</w:t>
            </w:r>
          </w:p>
        </w:tc>
        <w:tc>
          <w:tcPr>
            <w:tcW w:w="2835" w:type="dxa"/>
            <w:vAlign w:val="center"/>
          </w:tcPr>
          <w:p w14:paraId="32EE2502" w14:textId="77777777" w:rsidR="0016423F" w:rsidRPr="00192D3E" w:rsidRDefault="0016423F" w:rsidP="000E018D">
            <w:pPr>
              <w:jc w:val="center"/>
              <w:cnfStyle w:val="000000000000" w:firstRow="0" w:lastRow="0" w:firstColumn="0" w:lastColumn="0" w:oddVBand="0" w:evenVBand="0" w:oddHBand="0" w:evenHBand="0" w:firstRowFirstColumn="0" w:firstRowLastColumn="0" w:lastRowFirstColumn="0" w:lastRowLastColumn="0"/>
              <w:rPr>
                <w:rFonts w:ascii="Palatino Linotype" w:hAnsi="Palatino Linotype" w:cs="Calibri"/>
                <w:sz w:val="18"/>
                <w:szCs w:val="18"/>
                <w:shd w:val="clear" w:color="auto" w:fill="FFFFFF"/>
              </w:rPr>
            </w:pPr>
            <w:r w:rsidRPr="00192D3E">
              <w:rPr>
                <w:rFonts w:ascii="Palatino Linotype" w:eastAsia="Times New Roman" w:hAnsi="Palatino Linotype" w:cs="Calibri"/>
                <w:sz w:val="18"/>
                <w:szCs w:val="18"/>
                <w:lang w:eastAsia="en-GB"/>
              </w:rPr>
              <w:t>ND</w:t>
            </w:r>
          </w:p>
        </w:tc>
      </w:tr>
      <w:tr w:rsidR="0016423F" w:rsidRPr="00F01823" w14:paraId="6A2B2944" w14:textId="77777777" w:rsidTr="0016423F">
        <w:tc>
          <w:tcPr>
            <w:cnfStyle w:val="001000000000" w:firstRow="0" w:lastRow="0" w:firstColumn="1" w:lastColumn="0" w:oddVBand="0" w:evenVBand="0" w:oddHBand="0" w:evenHBand="0" w:firstRowFirstColumn="0" w:firstRowLastColumn="0" w:lastRowFirstColumn="0" w:lastRowLastColumn="0"/>
            <w:tcW w:w="2405" w:type="dxa"/>
            <w:vAlign w:val="center"/>
          </w:tcPr>
          <w:p w14:paraId="7C0C2E90" w14:textId="77777777" w:rsidR="0016423F" w:rsidRPr="00192D3E" w:rsidRDefault="0016423F" w:rsidP="000E018D">
            <w:pPr>
              <w:jc w:val="center"/>
              <w:rPr>
                <w:rFonts w:ascii="Palatino Linotype" w:hAnsi="Palatino Linotype" w:cs="Calibri"/>
                <w:b w:val="0"/>
                <w:bCs w:val="0"/>
                <w:sz w:val="18"/>
                <w:szCs w:val="18"/>
                <w:shd w:val="clear" w:color="auto" w:fill="FFFFFF"/>
              </w:rPr>
            </w:pPr>
            <w:r w:rsidRPr="00192D3E">
              <w:rPr>
                <w:rFonts w:ascii="Palatino Linotype" w:hAnsi="Palatino Linotype" w:cs="Calibri"/>
                <w:b w:val="0"/>
                <w:bCs w:val="0"/>
                <w:i/>
                <w:iCs/>
                <w:sz w:val="18"/>
                <w:szCs w:val="18"/>
                <w:shd w:val="clear" w:color="auto" w:fill="FFFFFF"/>
              </w:rPr>
              <w:lastRenderedPageBreak/>
              <w:t>MYCN</w:t>
            </w:r>
            <w:r w:rsidRPr="00192D3E">
              <w:rPr>
                <w:rFonts w:ascii="Palatino Linotype" w:hAnsi="Palatino Linotype" w:cs="Calibri"/>
                <w:b w:val="0"/>
                <w:bCs w:val="0"/>
                <w:sz w:val="18"/>
                <w:szCs w:val="18"/>
                <w:shd w:val="clear" w:color="auto" w:fill="FFFFFF"/>
              </w:rPr>
              <w:t>-amp Neuroblastoma</w:t>
            </w:r>
          </w:p>
        </w:tc>
        <w:tc>
          <w:tcPr>
            <w:tcW w:w="1843" w:type="dxa"/>
            <w:vAlign w:val="center"/>
          </w:tcPr>
          <w:p w14:paraId="7A6334DB" w14:textId="77777777" w:rsidR="0016423F" w:rsidRPr="00192D3E" w:rsidRDefault="0016423F" w:rsidP="000E018D">
            <w:pPr>
              <w:jc w:val="center"/>
              <w:cnfStyle w:val="000000000000" w:firstRow="0" w:lastRow="0" w:firstColumn="0" w:lastColumn="0" w:oddVBand="0" w:evenVBand="0" w:oddHBand="0" w:evenHBand="0" w:firstRowFirstColumn="0" w:firstRowLastColumn="0" w:lastRowFirstColumn="0" w:lastRowLastColumn="0"/>
              <w:rPr>
                <w:rFonts w:ascii="Palatino Linotype" w:hAnsi="Palatino Linotype" w:cs="Calibri"/>
                <w:sz w:val="18"/>
                <w:szCs w:val="18"/>
                <w:shd w:val="clear" w:color="auto" w:fill="FFFFFF"/>
              </w:rPr>
            </w:pPr>
            <w:r w:rsidRPr="00192D3E">
              <w:rPr>
                <w:rFonts w:ascii="Palatino Linotype" w:hAnsi="Palatino Linotype" w:cs="Calibri"/>
                <w:sz w:val="18"/>
                <w:szCs w:val="18"/>
                <w:shd w:val="clear" w:color="auto" w:fill="FFFFFF"/>
              </w:rPr>
              <w:t>Glycolytic + OXPHOS</w:t>
            </w:r>
          </w:p>
        </w:tc>
        <w:tc>
          <w:tcPr>
            <w:tcW w:w="1843" w:type="dxa"/>
            <w:vAlign w:val="center"/>
          </w:tcPr>
          <w:p w14:paraId="4AEFC126" w14:textId="77777777" w:rsidR="0016423F" w:rsidRPr="00192D3E" w:rsidRDefault="0016423F" w:rsidP="000E018D">
            <w:pPr>
              <w:jc w:val="center"/>
              <w:cnfStyle w:val="000000000000" w:firstRow="0" w:lastRow="0" w:firstColumn="0" w:lastColumn="0" w:oddVBand="0" w:evenVBand="0" w:oddHBand="0" w:evenHBand="0" w:firstRowFirstColumn="0" w:firstRowLastColumn="0" w:lastRowFirstColumn="0" w:lastRowLastColumn="0"/>
              <w:rPr>
                <w:rFonts w:ascii="Palatino Linotype" w:hAnsi="Palatino Linotype" w:cs="Calibri"/>
                <w:sz w:val="18"/>
                <w:szCs w:val="18"/>
                <w:shd w:val="clear" w:color="auto" w:fill="FFFFFF"/>
              </w:rPr>
            </w:pPr>
            <w:r w:rsidRPr="00192D3E">
              <w:rPr>
                <w:rFonts w:ascii="Palatino Linotype" w:hAnsi="Palatino Linotype" w:cs="Calibri"/>
                <w:sz w:val="18"/>
                <w:szCs w:val="18"/>
                <w:shd w:val="clear" w:color="auto" w:fill="FFFFFF"/>
              </w:rPr>
              <w:t>Fatty acids</w:t>
            </w:r>
          </w:p>
        </w:tc>
        <w:tc>
          <w:tcPr>
            <w:tcW w:w="2835" w:type="dxa"/>
            <w:vAlign w:val="center"/>
          </w:tcPr>
          <w:p w14:paraId="6AD1B7ED" w14:textId="77777777" w:rsidR="0016423F" w:rsidRPr="00192D3E" w:rsidRDefault="0016423F" w:rsidP="000E018D">
            <w:pPr>
              <w:jc w:val="center"/>
              <w:cnfStyle w:val="000000000000" w:firstRow="0" w:lastRow="0" w:firstColumn="0" w:lastColumn="0" w:oddVBand="0" w:evenVBand="0" w:oddHBand="0" w:evenHBand="0" w:firstRowFirstColumn="0" w:firstRowLastColumn="0" w:lastRowFirstColumn="0" w:lastRowLastColumn="0"/>
              <w:rPr>
                <w:rFonts w:ascii="Palatino Linotype" w:hAnsi="Palatino Linotype" w:cs="Calibri"/>
                <w:sz w:val="18"/>
                <w:szCs w:val="18"/>
                <w:shd w:val="clear" w:color="auto" w:fill="FFFFFF"/>
              </w:rPr>
            </w:pPr>
            <w:r w:rsidRPr="00192D3E">
              <w:rPr>
                <w:rFonts w:ascii="Palatino Linotype" w:hAnsi="Palatino Linotype" w:cs="Calibri"/>
                <w:i/>
                <w:iCs/>
                <w:sz w:val="18"/>
                <w:szCs w:val="18"/>
                <w:shd w:val="clear" w:color="auto" w:fill="FFFFFF"/>
              </w:rPr>
              <w:t>MYCN</w:t>
            </w:r>
            <w:r w:rsidRPr="00192D3E">
              <w:rPr>
                <w:rFonts w:ascii="Palatino Linotype" w:hAnsi="Palatino Linotype" w:cs="Calibri"/>
                <w:sz w:val="18"/>
                <w:szCs w:val="18"/>
                <w:shd w:val="clear" w:color="auto" w:fill="FFFFFF"/>
              </w:rPr>
              <w:t>-amp</w:t>
            </w:r>
          </w:p>
        </w:tc>
      </w:tr>
      <w:tr w:rsidR="0016423F" w:rsidRPr="00192D3E" w14:paraId="7EC18B21" w14:textId="77777777" w:rsidTr="0016423F">
        <w:tc>
          <w:tcPr>
            <w:cnfStyle w:val="001000000000" w:firstRow="0" w:lastRow="0" w:firstColumn="1" w:lastColumn="0" w:oddVBand="0" w:evenVBand="0" w:oddHBand="0" w:evenHBand="0" w:firstRowFirstColumn="0" w:firstRowLastColumn="0" w:lastRowFirstColumn="0" w:lastRowLastColumn="0"/>
            <w:tcW w:w="2405" w:type="dxa"/>
            <w:vAlign w:val="center"/>
          </w:tcPr>
          <w:p w14:paraId="14DB17EE" w14:textId="77777777" w:rsidR="0016423F" w:rsidRPr="00192D3E" w:rsidRDefault="0016423F" w:rsidP="000E018D">
            <w:pPr>
              <w:jc w:val="center"/>
              <w:rPr>
                <w:rFonts w:ascii="Palatino Linotype" w:hAnsi="Palatino Linotype" w:cs="Calibri"/>
                <w:b w:val="0"/>
                <w:bCs w:val="0"/>
                <w:sz w:val="18"/>
                <w:szCs w:val="18"/>
                <w:shd w:val="clear" w:color="auto" w:fill="FFFFFF"/>
              </w:rPr>
            </w:pPr>
            <w:r w:rsidRPr="00192D3E">
              <w:rPr>
                <w:rFonts w:ascii="Palatino Linotype" w:hAnsi="Palatino Linotype" w:cs="Calibri"/>
                <w:b w:val="0"/>
                <w:bCs w:val="0"/>
                <w:sz w:val="18"/>
                <w:szCs w:val="18"/>
                <w:shd w:val="clear" w:color="auto" w:fill="FFFFFF"/>
              </w:rPr>
              <w:t>Prostate cancer</w:t>
            </w:r>
          </w:p>
        </w:tc>
        <w:tc>
          <w:tcPr>
            <w:tcW w:w="1843" w:type="dxa"/>
            <w:vAlign w:val="center"/>
          </w:tcPr>
          <w:p w14:paraId="3431D376" w14:textId="77777777" w:rsidR="0016423F" w:rsidRPr="00192D3E" w:rsidRDefault="0016423F" w:rsidP="000E018D">
            <w:pPr>
              <w:jc w:val="center"/>
              <w:cnfStyle w:val="000000000000" w:firstRow="0" w:lastRow="0" w:firstColumn="0" w:lastColumn="0" w:oddVBand="0" w:evenVBand="0" w:oddHBand="0" w:evenHBand="0" w:firstRowFirstColumn="0" w:firstRowLastColumn="0" w:lastRowFirstColumn="0" w:lastRowLastColumn="0"/>
              <w:rPr>
                <w:rFonts w:ascii="Palatino Linotype" w:hAnsi="Palatino Linotype" w:cs="Calibri"/>
                <w:sz w:val="18"/>
                <w:szCs w:val="18"/>
                <w:shd w:val="clear" w:color="auto" w:fill="FFFFFF"/>
              </w:rPr>
            </w:pPr>
            <w:r w:rsidRPr="00192D3E">
              <w:rPr>
                <w:rFonts w:ascii="Palatino Linotype" w:hAnsi="Palatino Linotype" w:cs="Calibri"/>
                <w:sz w:val="18"/>
                <w:szCs w:val="18"/>
                <w:shd w:val="clear" w:color="auto" w:fill="FFFFFF"/>
              </w:rPr>
              <w:t>OXPHOS</w:t>
            </w:r>
          </w:p>
        </w:tc>
        <w:tc>
          <w:tcPr>
            <w:tcW w:w="1843" w:type="dxa"/>
            <w:vAlign w:val="center"/>
          </w:tcPr>
          <w:p w14:paraId="768A3313" w14:textId="77777777" w:rsidR="0016423F" w:rsidRPr="00192D3E" w:rsidRDefault="0016423F" w:rsidP="000E018D">
            <w:pPr>
              <w:jc w:val="center"/>
              <w:cnfStyle w:val="000000000000" w:firstRow="0" w:lastRow="0" w:firstColumn="0" w:lastColumn="0" w:oddVBand="0" w:evenVBand="0" w:oddHBand="0" w:evenHBand="0" w:firstRowFirstColumn="0" w:firstRowLastColumn="0" w:lastRowFirstColumn="0" w:lastRowLastColumn="0"/>
              <w:rPr>
                <w:rFonts w:ascii="Palatino Linotype" w:hAnsi="Palatino Linotype" w:cs="Calibri"/>
                <w:sz w:val="18"/>
                <w:szCs w:val="18"/>
                <w:shd w:val="clear" w:color="auto" w:fill="FFFFFF"/>
              </w:rPr>
            </w:pPr>
            <w:r w:rsidRPr="00192D3E">
              <w:rPr>
                <w:rFonts w:ascii="Palatino Linotype" w:hAnsi="Palatino Linotype" w:cs="Calibri"/>
                <w:sz w:val="18"/>
                <w:szCs w:val="18"/>
                <w:shd w:val="clear" w:color="auto" w:fill="FFFFFF"/>
              </w:rPr>
              <w:t>Switch from glutamate/malate to succinate driven OXPHOS in high grade tumors</w:t>
            </w:r>
          </w:p>
        </w:tc>
        <w:tc>
          <w:tcPr>
            <w:tcW w:w="2835" w:type="dxa"/>
            <w:vAlign w:val="center"/>
          </w:tcPr>
          <w:p w14:paraId="2ED65E9C" w14:textId="77777777" w:rsidR="0016423F" w:rsidRPr="00192D3E" w:rsidRDefault="0016423F" w:rsidP="000E018D">
            <w:pPr>
              <w:jc w:val="center"/>
              <w:cnfStyle w:val="000000000000" w:firstRow="0" w:lastRow="0" w:firstColumn="0" w:lastColumn="0" w:oddVBand="0" w:evenVBand="0" w:oddHBand="0" w:evenHBand="0" w:firstRowFirstColumn="0" w:firstRowLastColumn="0" w:lastRowFirstColumn="0" w:lastRowLastColumn="0"/>
              <w:rPr>
                <w:rFonts w:ascii="Palatino Linotype" w:hAnsi="Palatino Linotype" w:cs="Calibri"/>
                <w:sz w:val="18"/>
                <w:szCs w:val="18"/>
                <w:shd w:val="clear" w:color="auto" w:fill="FFFFFF"/>
              </w:rPr>
            </w:pPr>
            <w:r w:rsidRPr="00192D3E">
              <w:rPr>
                <w:rFonts w:ascii="Palatino Linotype" w:hAnsi="Palatino Linotype" w:cs="Calibri"/>
                <w:sz w:val="18"/>
                <w:szCs w:val="18"/>
                <w:shd w:val="clear" w:color="auto" w:fill="FFFFFF"/>
              </w:rPr>
              <w:t>ETC CI mutations</w:t>
            </w:r>
          </w:p>
        </w:tc>
      </w:tr>
      <w:tr w:rsidR="0016423F" w:rsidRPr="00192D3E" w14:paraId="6D92138D" w14:textId="77777777" w:rsidTr="0016423F">
        <w:tc>
          <w:tcPr>
            <w:cnfStyle w:val="001000000000" w:firstRow="0" w:lastRow="0" w:firstColumn="1" w:lastColumn="0" w:oddVBand="0" w:evenVBand="0" w:oddHBand="0" w:evenHBand="0" w:firstRowFirstColumn="0" w:firstRowLastColumn="0" w:lastRowFirstColumn="0" w:lastRowLastColumn="0"/>
            <w:tcW w:w="2405" w:type="dxa"/>
            <w:vAlign w:val="center"/>
          </w:tcPr>
          <w:p w14:paraId="62035A1C" w14:textId="77777777" w:rsidR="0016423F" w:rsidRPr="00192D3E" w:rsidRDefault="0016423F" w:rsidP="000E018D">
            <w:pPr>
              <w:jc w:val="center"/>
              <w:rPr>
                <w:rFonts w:ascii="Palatino Linotype" w:hAnsi="Palatino Linotype" w:cs="Calibri"/>
                <w:b w:val="0"/>
                <w:bCs w:val="0"/>
                <w:sz w:val="18"/>
                <w:szCs w:val="18"/>
                <w:shd w:val="clear" w:color="auto" w:fill="FFFFFF"/>
              </w:rPr>
            </w:pPr>
            <w:r w:rsidRPr="00192D3E">
              <w:rPr>
                <w:rFonts w:ascii="Palatino Linotype" w:hAnsi="Palatino Linotype" w:cs="Calibri"/>
                <w:b w:val="0"/>
                <w:bCs w:val="0"/>
                <w:sz w:val="18"/>
                <w:szCs w:val="18"/>
                <w:shd w:val="clear" w:color="auto" w:fill="FFFFFF"/>
              </w:rPr>
              <w:t>DLBCL</w:t>
            </w:r>
          </w:p>
        </w:tc>
        <w:tc>
          <w:tcPr>
            <w:tcW w:w="1843" w:type="dxa"/>
            <w:vAlign w:val="center"/>
          </w:tcPr>
          <w:p w14:paraId="35A4DE62" w14:textId="77777777" w:rsidR="0016423F" w:rsidRPr="00192D3E" w:rsidRDefault="0016423F" w:rsidP="000E018D">
            <w:pPr>
              <w:jc w:val="center"/>
              <w:cnfStyle w:val="000000000000" w:firstRow="0" w:lastRow="0" w:firstColumn="0" w:lastColumn="0" w:oddVBand="0" w:evenVBand="0" w:oddHBand="0" w:evenHBand="0" w:firstRowFirstColumn="0" w:firstRowLastColumn="0" w:lastRowFirstColumn="0" w:lastRowLastColumn="0"/>
              <w:rPr>
                <w:rFonts w:ascii="Palatino Linotype" w:hAnsi="Palatino Linotype" w:cs="Calibri"/>
                <w:sz w:val="18"/>
                <w:szCs w:val="18"/>
                <w:shd w:val="clear" w:color="auto" w:fill="FFFFFF"/>
              </w:rPr>
            </w:pPr>
            <w:r w:rsidRPr="00192D3E">
              <w:rPr>
                <w:rFonts w:ascii="Palatino Linotype" w:hAnsi="Palatino Linotype" w:cs="Calibri"/>
                <w:sz w:val="18"/>
                <w:szCs w:val="18"/>
                <w:shd w:val="clear" w:color="auto" w:fill="FFFFFF"/>
              </w:rPr>
              <w:t>OXPHOS</w:t>
            </w:r>
          </w:p>
        </w:tc>
        <w:tc>
          <w:tcPr>
            <w:tcW w:w="1843" w:type="dxa"/>
            <w:vAlign w:val="center"/>
          </w:tcPr>
          <w:p w14:paraId="10F412E5" w14:textId="77777777" w:rsidR="0016423F" w:rsidRPr="00192D3E" w:rsidRDefault="0016423F" w:rsidP="000E018D">
            <w:pPr>
              <w:jc w:val="center"/>
              <w:cnfStyle w:val="000000000000" w:firstRow="0" w:lastRow="0" w:firstColumn="0" w:lastColumn="0" w:oddVBand="0" w:evenVBand="0" w:oddHBand="0" w:evenHBand="0" w:firstRowFirstColumn="0" w:firstRowLastColumn="0" w:lastRowFirstColumn="0" w:lastRowLastColumn="0"/>
              <w:rPr>
                <w:rFonts w:ascii="Palatino Linotype" w:hAnsi="Palatino Linotype" w:cs="Calibri"/>
                <w:sz w:val="18"/>
                <w:szCs w:val="18"/>
                <w:shd w:val="clear" w:color="auto" w:fill="FFFFFF"/>
              </w:rPr>
            </w:pPr>
            <w:r w:rsidRPr="00192D3E">
              <w:rPr>
                <w:rFonts w:ascii="Palatino Linotype" w:hAnsi="Palatino Linotype" w:cs="Calibri"/>
                <w:sz w:val="18"/>
                <w:szCs w:val="18"/>
                <w:shd w:val="clear" w:color="auto" w:fill="FFFFFF"/>
              </w:rPr>
              <w:t>Palmitate</w:t>
            </w:r>
          </w:p>
        </w:tc>
        <w:tc>
          <w:tcPr>
            <w:tcW w:w="2835" w:type="dxa"/>
            <w:vAlign w:val="center"/>
          </w:tcPr>
          <w:p w14:paraId="7E85A4FE" w14:textId="77777777" w:rsidR="0016423F" w:rsidRPr="00192D3E" w:rsidRDefault="0016423F" w:rsidP="000E018D">
            <w:pPr>
              <w:jc w:val="center"/>
              <w:cnfStyle w:val="000000000000" w:firstRow="0" w:lastRow="0" w:firstColumn="0" w:lastColumn="0" w:oddVBand="0" w:evenVBand="0" w:oddHBand="0" w:evenHBand="0" w:firstRowFirstColumn="0" w:firstRowLastColumn="0" w:lastRowFirstColumn="0" w:lastRowLastColumn="0"/>
              <w:rPr>
                <w:rFonts w:ascii="Palatino Linotype" w:hAnsi="Palatino Linotype" w:cs="Calibri"/>
                <w:sz w:val="18"/>
                <w:szCs w:val="18"/>
                <w:shd w:val="clear" w:color="auto" w:fill="FFFFFF"/>
              </w:rPr>
            </w:pPr>
            <w:r w:rsidRPr="00192D3E">
              <w:rPr>
                <w:rFonts w:ascii="Palatino Linotype" w:hAnsi="Palatino Linotype" w:cs="Calibri"/>
                <w:sz w:val="18"/>
                <w:szCs w:val="18"/>
                <w:shd w:val="clear" w:color="auto" w:fill="FFFFFF"/>
              </w:rPr>
              <w:t>Non-functional BCR signaling</w:t>
            </w:r>
          </w:p>
        </w:tc>
      </w:tr>
      <w:tr w:rsidR="0016423F" w:rsidRPr="00192D3E" w14:paraId="6841F475" w14:textId="77777777" w:rsidTr="0016423F">
        <w:tc>
          <w:tcPr>
            <w:cnfStyle w:val="001000000000" w:firstRow="0" w:lastRow="0" w:firstColumn="1" w:lastColumn="0" w:oddVBand="0" w:evenVBand="0" w:oddHBand="0" w:evenHBand="0" w:firstRowFirstColumn="0" w:firstRowLastColumn="0" w:lastRowFirstColumn="0" w:lastRowLastColumn="0"/>
            <w:tcW w:w="2405" w:type="dxa"/>
            <w:vAlign w:val="center"/>
          </w:tcPr>
          <w:p w14:paraId="1804F95E" w14:textId="77777777" w:rsidR="0016423F" w:rsidRPr="00192D3E" w:rsidRDefault="0016423F" w:rsidP="000E018D">
            <w:pPr>
              <w:jc w:val="center"/>
              <w:rPr>
                <w:rFonts w:ascii="Palatino Linotype" w:hAnsi="Palatino Linotype" w:cs="Calibri"/>
                <w:b w:val="0"/>
                <w:bCs w:val="0"/>
                <w:sz w:val="18"/>
                <w:szCs w:val="18"/>
                <w:shd w:val="clear" w:color="auto" w:fill="FFFFFF"/>
              </w:rPr>
            </w:pPr>
            <w:r w:rsidRPr="00192D3E">
              <w:rPr>
                <w:rFonts w:ascii="Palatino Linotype" w:hAnsi="Palatino Linotype" w:cs="Calibri"/>
                <w:b w:val="0"/>
                <w:bCs w:val="0"/>
                <w:sz w:val="18"/>
                <w:szCs w:val="18"/>
                <w:shd w:val="clear" w:color="auto" w:fill="FFFFFF"/>
              </w:rPr>
              <w:t>SCLC</w:t>
            </w:r>
          </w:p>
        </w:tc>
        <w:tc>
          <w:tcPr>
            <w:tcW w:w="1843" w:type="dxa"/>
            <w:vAlign w:val="center"/>
          </w:tcPr>
          <w:p w14:paraId="11DF496B" w14:textId="77777777" w:rsidR="0016423F" w:rsidRPr="00192D3E" w:rsidRDefault="0016423F" w:rsidP="000E018D">
            <w:pPr>
              <w:jc w:val="center"/>
              <w:cnfStyle w:val="000000000000" w:firstRow="0" w:lastRow="0" w:firstColumn="0" w:lastColumn="0" w:oddVBand="0" w:evenVBand="0" w:oddHBand="0" w:evenHBand="0" w:firstRowFirstColumn="0" w:firstRowLastColumn="0" w:lastRowFirstColumn="0" w:lastRowLastColumn="0"/>
              <w:rPr>
                <w:rFonts w:ascii="Palatino Linotype" w:hAnsi="Palatino Linotype" w:cs="Calibri"/>
                <w:sz w:val="18"/>
                <w:szCs w:val="18"/>
                <w:shd w:val="clear" w:color="auto" w:fill="FFFFFF"/>
              </w:rPr>
            </w:pPr>
            <w:r w:rsidRPr="00192D3E">
              <w:rPr>
                <w:rFonts w:ascii="Palatino Linotype" w:hAnsi="Palatino Linotype" w:cs="Calibri"/>
                <w:sz w:val="18"/>
                <w:szCs w:val="18"/>
                <w:shd w:val="clear" w:color="auto" w:fill="FFFFFF"/>
              </w:rPr>
              <w:t>Glycolytic</w:t>
            </w:r>
          </w:p>
        </w:tc>
        <w:tc>
          <w:tcPr>
            <w:tcW w:w="1843" w:type="dxa"/>
            <w:vAlign w:val="center"/>
          </w:tcPr>
          <w:p w14:paraId="3E103F2D" w14:textId="77777777" w:rsidR="0016423F" w:rsidRPr="00192D3E" w:rsidRDefault="0016423F" w:rsidP="000E018D">
            <w:pPr>
              <w:jc w:val="center"/>
              <w:cnfStyle w:val="000000000000" w:firstRow="0" w:lastRow="0" w:firstColumn="0" w:lastColumn="0" w:oddVBand="0" w:evenVBand="0" w:oddHBand="0" w:evenHBand="0" w:firstRowFirstColumn="0" w:firstRowLastColumn="0" w:lastRowFirstColumn="0" w:lastRowLastColumn="0"/>
              <w:rPr>
                <w:rFonts w:ascii="Palatino Linotype" w:hAnsi="Palatino Linotype" w:cs="Calibri"/>
                <w:sz w:val="18"/>
                <w:szCs w:val="18"/>
                <w:shd w:val="clear" w:color="auto" w:fill="FFFFFF"/>
              </w:rPr>
            </w:pPr>
            <w:r w:rsidRPr="00192D3E">
              <w:rPr>
                <w:rFonts w:ascii="Palatino Linotype" w:hAnsi="Palatino Linotype" w:cs="Calibri"/>
                <w:sz w:val="18"/>
                <w:szCs w:val="18"/>
                <w:shd w:val="clear" w:color="auto" w:fill="FFFFFF"/>
              </w:rPr>
              <w:t>Glucose</w:t>
            </w:r>
          </w:p>
        </w:tc>
        <w:tc>
          <w:tcPr>
            <w:tcW w:w="2835" w:type="dxa"/>
            <w:vAlign w:val="center"/>
          </w:tcPr>
          <w:p w14:paraId="105468C2" w14:textId="77777777" w:rsidR="0016423F" w:rsidRPr="00192D3E" w:rsidRDefault="0016423F" w:rsidP="000E018D">
            <w:pPr>
              <w:jc w:val="center"/>
              <w:cnfStyle w:val="000000000000" w:firstRow="0" w:lastRow="0" w:firstColumn="0" w:lastColumn="0" w:oddVBand="0" w:evenVBand="0" w:oddHBand="0" w:evenHBand="0" w:firstRowFirstColumn="0" w:firstRowLastColumn="0" w:lastRowFirstColumn="0" w:lastRowLastColumn="0"/>
              <w:rPr>
                <w:rFonts w:ascii="Palatino Linotype" w:hAnsi="Palatino Linotype" w:cs="Calibri"/>
                <w:sz w:val="18"/>
                <w:szCs w:val="18"/>
                <w:shd w:val="clear" w:color="auto" w:fill="FFFFFF"/>
              </w:rPr>
            </w:pPr>
            <w:r w:rsidRPr="00192D3E">
              <w:rPr>
                <w:rFonts w:ascii="Palatino Linotype" w:hAnsi="Palatino Linotype" w:cs="Calibri"/>
                <w:i/>
                <w:iCs/>
                <w:sz w:val="18"/>
                <w:szCs w:val="18"/>
                <w:shd w:val="clear" w:color="auto" w:fill="FFFFFF"/>
              </w:rPr>
              <w:t xml:space="preserve">MYC </w:t>
            </w:r>
            <w:r w:rsidRPr="00192D3E">
              <w:rPr>
                <w:rFonts w:ascii="Palatino Linotype" w:hAnsi="Palatino Linotype" w:cs="Calibri"/>
                <w:sz w:val="18"/>
                <w:szCs w:val="18"/>
                <w:shd w:val="clear" w:color="auto" w:fill="FFFFFF"/>
              </w:rPr>
              <w:t>overexpression</w:t>
            </w:r>
          </w:p>
        </w:tc>
      </w:tr>
      <w:tr w:rsidR="0016423F" w:rsidRPr="00192D3E" w14:paraId="3587EB59" w14:textId="77777777" w:rsidTr="0016423F">
        <w:tc>
          <w:tcPr>
            <w:cnfStyle w:val="001000000000" w:firstRow="0" w:lastRow="0" w:firstColumn="1" w:lastColumn="0" w:oddVBand="0" w:evenVBand="0" w:oddHBand="0" w:evenHBand="0" w:firstRowFirstColumn="0" w:firstRowLastColumn="0" w:lastRowFirstColumn="0" w:lastRowLastColumn="0"/>
            <w:tcW w:w="2405" w:type="dxa"/>
            <w:vAlign w:val="center"/>
          </w:tcPr>
          <w:p w14:paraId="454C11A8" w14:textId="77777777" w:rsidR="0016423F" w:rsidRPr="00192D3E" w:rsidRDefault="0016423F" w:rsidP="000E018D">
            <w:pPr>
              <w:jc w:val="center"/>
              <w:rPr>
                <w:rFonts w:ascii="Palatino Linotype" w:hAnsi="Palatino Linotype" w:cs="Calibri"/>
                <w:b w:val="0"/>
                <w:bCs w:val="0"/>
                <w:sz w:val="18"/>
                <w:szCs w:val="18"/>
                <w:shd w:val="clear" w:color="auto" w:fill="FFFFFF"/>
              </w:rPr>
            </w:pPr>
            <w:r w:rsidRPr="00192D3E">
              <w:rPr>
                <w:rFonts w:ascii="Palatino Linotype" w:hAnsi="Palatino Linotype" w:cs="Calibri"/>
                <w:b w:val="0"/>
                <w:bCs w:val="0"/>
                <w:sz w:val="18"/>
                <w:szCs w:val="18"/>
                <w:shd w:val="clear" w:color="auto" w:fill="FFFFFF"/>
              </w:rPr>
              <w:t>Thyroid cancer</w:t>
            </w:r>
          </w:p>
        </w:tc>
        <w:tc>
          <w:tcPr>
            <w:tcW w:w="1843" w:type="dxa"/>
            <w:vAlign w:val="center"/>
          </w:tcPr>
          <w:p w14:paraId="124E3C1E" w14:textId="77777777" w:rsidR="0016423F" w:rsidRPr="00192D3E" w:rsidRDefault="0016423F" w:rsidP="000E018D">
            <w:pPr>
              <w:jc w:val="center"/>
              <w:cnfStyle w:val="000000000000" w:firstRow="0" w:lastRow="0" w:firstColumn="0" w:lastColumn="0" w:oddVBand="0" w:evenVBand="0" w:oddHBand="0" w:evenHBand="0" w:firstRowFirstColumn="0" w:firstRowLastColumn="0" w:lastRowFirstColumn="0" w:lastRowLastColumn="0"/>
              <w:rPr>
                <w:rFonts w:ascii="Palatino Linotype" w:hAnsi="Palatino Linotype" w:cs="Calibri"/>
                <w:sz w:val="18"/>
                <w:szCs w:val="18"/>
                <w:shd w:val="clear" w:color="auto" w:fill="FFFFFF"/>
              </w:rPr>
            </w:pPr>
            <w:r w:rsidRPr="00192D3E">
              <w:rPr>
                <w:rFonts w:ascii="Palatino Linotype" w:hAnsi="Palatino Linotype" w:cs="Calibri"/>
                <w:sz w:val="18"/>
                <w:szCs w:val="18"/>
                <w:shd w:val="clear" w:color="auto" w:fill="FFFFFF"/>
              </w:rPr>
              <w:t>OXPHOS</w:t>
            </w:r>
          </w:p>
        </w:tc>
        <w:tc>
          <w:tcPr>
            <w:tcW w:w="1843" w:type="dxa"/>
            <w:vAlign w:val="center"/>
          </w:tcPr>
          <w:p w14:paraId="5E64F575" w14:textId="77777777" w:rsidR="0016423F" w:rsidRPr="00192D3E" w:rsidRDefault="0016423F" w:rsidP="000E018D">
            <w:pPr>
              <w:jc w:val="center"/>
              <w:cnfStyle w:val="000000000000" w:firstRow="0" w:lastRow="0" w:firstColumn="0" w:lastColumn="0" w:oddVBand="0" w:evenVBand="0" w:oddHBand="0" w:evenHBand="0" w:firstRowFirstColumn="0" w:firstRowLastColumn="0" w:lastRowFirstColumn="0" w:lastRowLastColumn="0"/>
              <w:rPr>
                <w:rFonts w:ascii="Palatino Linotype" w:hAnsi="Palatino Linotype" w:cs="Calibri"/>
                <w:sz w:val="18"/>
                <w:szCs w:val="18"/>
                <w:shd w:val="clear" w:color="auto" w:fill="FFFFFF"/>
              </w:rPr>
            </w:pPr>
            <w:r w:rsidRPr="00192D3E">
              <w:rPr>
                <w:rFonts w:ascii="Palatino Linotype" w:hAnsi="Palatino Linotype" w:cs="Calibri"/>
                <w:sz w:val="18"/>
                <w:szCs w:val="18"/>
                <w:shd w:val="clear" w:color="auto" w:fill="FFFFFF"/>
              </w:rPr>
              <w:t>Glucose</w:t>
            </w:r>
          </w:p>
        </w:tc>
        <w:tc>
          <w:tcPr>
            <w:tcW w:w="2835" w:type="dxa"/>
            <w:vAlign w:val="center"/>
          </w:tcPr>
          <w:p w14:paraId="622969EF" w14:textId="77777777" w:rsidR="0016423F" w:rsidRPr="00192D3E" w:rsidRDefault="0016423F" w:rsidP="000E018D">
            <w:pPr>
              <w:jc w:val="center"/>
              <w:cnfStyle w:val="000000000000" w:firstRow="0" w:lastRow="0" w:firstColumn="0" w:lastColumn="0" w:oddVBand="0" w:evenVBand="0" w:oddHBand="0" w:evenHBand="0" w:firstRowFirstColumn="0" w:firstRowLastColumn="0" w:lastRowFirstColumn="0" w:lastRowLastColumn="0"/>
              <w:rPr>
                <w:rFonts w:ascii="Palatino Linotype" w:hAnsi="Palatino Linotype" w:cs="Calibri"/>
                <w:sz w:val="18"/>
                <w:szCs w:val="18"/>
                <w:shd w:val="clear" w:color="auto" w:fill="FFFFFF"/>
              </w:rPr>
            </w:pPr>
            <w:r w:rsidRPr="00192D3E">
              <w:rPr>
                <w:rFonts w:ascii="Palatino Linotype" w:hAnsi="Palatino Linotype" w:cs="Calibri"/>
                <w:i/>
                <w:iCs/>
                <w:sz w:val="18"/>
                <w:szCs w:val="18"/>
                <w:shd w:val="clear" w:color="auto" w:fill="FFFFFF"/>
              </w:rPr>
              <w:t xml:space="preserve">MGPDH </w:t>
            </w:r>
            <w:r w:rsidRPr="00192D3E">
              <w:rPr>
                <w:rFonts w:ascii="Palatino Linotype" w:hAnsi="Palatino Linotype" w:cs="Calibri"/>
                <w:sz w:val="18"/>
                <w:szCs w:val="18"/>
                <w:shd w:val="clear" w:color="auto" w:fill="FFFFFF"/>
              </w:rPr>
              <w:t>overexpression</w:t>
            </w:r>
          </w:p>
        </w:tc>
      </w:tr>
      <w:tr w:rsidR="0016423F" w:rsidRPr="00192D3E" w14:paraId="61A6607B" w14:textId="77777777" w:rsidTr="0016423F">
        <w:tc>
          <w:tcPr>
            <w:cnfStyle w:val="001000000000" w:firstRow="0" w:lastRow="0" w:firstColumn="1" w:lastColumn="0" w:oddVBand="0" w:evenVBand="0" w:oddHBand="0" w:evenHBand="0" w:firstRowFirstColumn="0" w:firstRowLastColumn="0" w:lastRowFirstColumn="0" w:lastRowLastColumn="0"/>
            <w:tcW w:w="2405" w:type="dxa"/>
            <w:vAlign w:val="center"/>
          </w:tcPr>
          <w:p w14:paraId="3A5C7E2A" w14:textId="77777777" w:rsidR="0016423F" w:rsidRPr="00192D3E" w:rsidRDefault="0016423F" w:rsidP="000E018D">
            <w:pPr>
              <w:jc w:val="center"/>
              <w:rPr>
                <w:rFonts w:ascii="Palatino Linotype" w:hAnsi="Palatino Linotype" w:cs="Calibri"/>
                <w:sz w:val="18"/>
                <w:szCs w:val="18"/>
                <w:shd w:val="clear" w:color="auto" w:fill="FFFFFF"/>
              </w:rPr>
            </w:pPr>
            <w:r w:rsidRPr="00192D3E">
              <w:rPr>
                <w:rFonts w:ascii="Palatino Linotype" w:hAnsi="Palatino Linotype" w:cs="Calibri"/>
                <w:b w:val="0"/>
                <w:bCs w:val="0"/>
                <w:sz w:val="18"/>
                <w:szCs w:val="18"/>
                <w:shd w:val="clear" w:color="auto" w:fill="FFFFFF"/>
              </w:rPr>
              <w:t xml:space="preserve">Cholangiocarcinoma </w:t>
            </w:r>
          </w:p>
          <w:p w14:paraId="0960DA04" w14:textId="77777777" w:rsidR="0016423F" w:rsidRPr="00192D3E" w:rsidRDefault="0016423F" w:rsidP="000E018D">
            <w:pPr>
              <w:jc w:val="center"/>
              <w:rPr>
                <w:rFonts w:ascii="Palatino Linotype" w:hAnsi="Palatino Linotype" w:cs="Calibri"/>
                <w:b w:val="0"/>
                <w:bCs w:val="0"/>
                <w:sz w:val="18"/>
                <w:szCs w:val="18"/>
                <w:shd w:val="clear" w:color="auto" w:fill="FFFFFF"/>
              </w:rPr>
            </w:pPr>
            <w:r w:rsidRPr="00192D3E">
              <w:rPr>
                <w:rFonts w:ascii="Palatino Linotype" w:hAnsi="Palatino Linotype" w:cs="Calibri"/>
                <w:b w:val="0"/>
                <w:bCs w:val="0"/>
                <w:sz w:val="18"/>
                <w:szCs w:val="18"/>
                <w:shd w:val="clear" w:color="auto" w:fill="FFFFFF"/>
              </w:rPr>
              <w:t>stem cells</w:t>
            </w:r>
          </w:p>
        </w:tc>
        <w:tc>
          <w:tcPr>
            <w:tcW w:w="1843" w:type="dxa"/>
            <w:vAlign w:val="center"/>
          </w:tcPr>
          <w:p w14:paraId="63988D3D" w14:textId="77777777" w:rsidR="0016423F" w:rsidRPr="00192D3E" w:rsidRDefault="0016423F" w:rsidP="000E018D">
            <w:pPr>
              <w:jc w:val="center"/>
              <w:cnfStyle w:val="000000000000" w:firstRow="0" w:lastRow="0" w:firstColumn="0" w:lastColumn="0" w:oddVBand="0" w:evenVBand="0" w:oddHBand="0" w:evenHBand="0" w:firstRowFirstColumn="0" w:firstRowLastColumn="0" w:lastRowFirstColumn="0" w:lastRowLastColumn="0"/>
              <w:rPr>
                <w:rFonts w:ascii="Palatino Linotype" w:hAnsi="Palatino Linotype" w:cs="Calibri"/>
                <w:sz w:val="18"/>
                <w:szCs w:val="18"/>
                <w:shd w:val="clear" w:color="auto" w:fill="FFFFFF"/>
              </w:rPr>
            </w:pPr>
            <w:r w:rsidRPr="00192D3E">
              <w:rPr>
                <w:rFonts w:ascii="Palatino Linotype" w:hAnsi="Palatino Linotype" w:cs="Calibri"/>
                <w:sz w:val="18"/>
                <w:szCs w:val="18"/>
                <w:shd w:val="clear" w:color="auto" w:fill="FFFFFF"/>
              </w:rPr>
              <w:t>OXPHOS</w:t>
            </w:r>
          </w:p>
        </w:tc>
        <w:tc>
          <w:tcPr>
            <w:tcW w:w="1843" w:type="dxa"/>
            <w:vAlign w:val="center"/>
          </w:tcPr>
          <w:p w14:paraId="6E6F496E" w14:textId="77777777" w:rsidR="0016423F" w:rsidRPr="00192D3E" w:rsidRDefault="0016423F" w:rsidP="000E018D">
            <w:pPr>
              <w:jc w:val="center"/>
              <w:cnfStyle w:val="000000000000" w:firstRow="0" w:lastRow="0" w:firstColumn="0" w:lastColumn="0" w:oddVBand="0" w:evenVBand="0" w:oddHBand="0" w:evenHBand="0" w:firstRowFirstColumn="0" w:firstRowLastColumn="0" w:lastRowFirstColumn="0" w:lastRowLastColumn="0"/>
              <w:rPr>
                <w:rFonts w:ascii="Palatino Linotype" w:hAnsi="Palatino Linotype" w:cs="Calibri"/>
                <w:sz w:val="18"/>
                <w:szCs w:val="18"/>
                <w:shd w:val="clear" w:color="auto" w:fill="FFFFFF"/>
              </w:rPr>
            </w:pPr>
            <w:r w:rsidRPr="00192D3E">
              <w:rPr>
                <w:rFonts w:ascii="Palatino Linotype" w:eastAsia="Times New Roman" w:hAnsi="Palatino Linotype" w:cs="Calibri"/>
                <w:sz w:val="18"/>
                <w:szCs w:val="18"/>
                <w:lang w:eastAsia="en-GB"/>
              </w:rPr>
              <w:t>ND</w:t>
            </w:r>
          </w:p>
        </w:tc>
        <w:tc>
          <w:tcPr>
            <w:tcW w:w="2835" w:type="dxa"/>
            <w:vAlign w:val="center"/>
          </w:tcPr>
          <w:p w14:paraId="3E60ECDC" w14:textId="77777777" w:rsidR="0016423F" w:rsidRPr="00192D3E" w:rsidRDefault="0016423F" w:rsidP="000E018D">
            <w:pPr>
              <w:jc w:val="center"/>
              <w:cnfStyle w:val="000000000000" w:firstRow="0" w:lastRow="0" w:firstColumn="0" w:lastColumn="0" w:oddVBand="0" w:evenVBand="0" w:oddHBand="0" w:evenHBand="0" w:firstRowFirstColumn="0" w:firstRowLastColumn="0" w:lastRowFirstColumn="0" w:lastRowLastColumn="0"/>
              <w:rPr>
                <w:rFonts w:ascii="Palatino Linotype" w:hAnsi="Palatino Linotype" w:cs="Calibri"/>
                <w:sz w:val="18"/>
                <w:szCs w:val="18"/>
                <w:shd w:val="clear" w:color="auto" w:fill="FFFFFF"/>
              </w:rPr>
            </w:pPr>
            <w:r w:rsidRPr="00192D3E">
              <w:rPr>
                <w:rFonts w:ascii="Palatino Linotype" w:hAnsi="Palatino Linotype" w:cs="Calibri"/>
                <w:i/>
                <w:iCs/>
                <w:sz w:val="18"/>
                <w:szCs w:val="18"/>
                <w:shd w:val="clear" w:color="auto" w:fill="FFFFFF"/>
              </w:rPr>
              <w:t xml:space="preserve">PGC1α </w:t>
            </w:r>
            <w:r w:rsidRPr="00192D3E">
              <w:rPr>
                <w:rFonts w:ascii="Palatino Linotype" w:hAnsi="Palatino Linotype" w:cs="Calibri"/>
                <w:sz w:val="18"/>
                <w:szCs w:val="18"/>
                <w:shd w:val="clear" w:color="auto" w:fill="FFFFFF"/>
              </w:rPr>
              <w:t>overexpression</w:t>
            </w:r>
          </w:p>
        </w:tc>
      </w:tr>
      <w:tr w:rsidR="0016423F" w:rsidRPr="00192D3E" w14:paraId="354AACA1" w14:textId="77777777" w:rsidTr="0016423F">
        <w:tc>
          <w:tcPr>
            <w:cnfStyle w:val="001000000000" w:firstRow="0" w:lastRow="0" w:firstColumn="1" w:lastColumn="0" w:oddVBand="0" w:evenVBand="0" w:oddHBand="0" w:evenHBand="0" w:firstRowFirstColumn="0" w:firstRowLastColumn="0" w:lastRowFirstColumn="0" w:lastRowLastColumn="0"/>
            <w:tcW w:w="2405" w:type="dxa"/>
            <w:vAlign w:val="center"/>
          </w:tcPr>
          <w:p w14:paraId="46D02A78" w14:textId="77777777" w:rsidR="0016423F" w:rsidRPr="00192D3E" w:rsidRDefault="0016423F" w:rsidP="000E018D">
            <w:pPr>
              <w:jc w:val="center"/>
              <w:rPr>
                <w:rFonts w:ascii="Palatino Linotype" w:hAnsi="Palatino Linotype" w:cs="Calibri"/>
                <w:b w:val="0"/>
                <w:bCs w:val="0"/>
                <w:sz w:val="18"/>
                <w:szCs w:val="18"/>
                <w:shd w:val="clear" w:color="auto" w:fill="FFFFFF"/>
              </w:rPr>
            </w:pPr>
            <w:r w:rsidRPr="00192D3E">
              <w:rPr>
                <w:rFonts w:ascii="Palatino Linotype" w:hAnsi="Palatino Linotype" w:cs="Calibri"/>
                <w:b w:val="0"/>
                <w:bCs w:val="0"/>
                <w:sz w:val="18"/>
                <w:szCs w:val="18"/>
                <w:shd w:val="clear" w:color="auto" w:fill="FFFFFF"/>
              </w:rPr>
              <w:t>Cholangiocarcinoma tumor cells</w:t>
            </w:r>
          </w:p>
        </w:tc>
        <w:tc>
          <w:tcPr>
            <w:tcW w:w="1843" w:type="dxa"/>
            <w:vAlign w:val="center"/>
          </w:tcPr>
          <w:p w14:paraId="3AFA2AFD" w14:textId="77777777" w:rsidR="0016423F" w:rsidRPr="00192D3E" w:rsidRDefault="0016423F" w:rsidP="000E018D">
            <w:pPr>
              <w:jc w:val="center"/>
              <w:cnfStyle w:val="000000000000" w:firstRow="0" w:lastRow="0" w:firstColumn="0" w:lastColumn="0" w:oddVBand="0" w:evenVBand="0" w:oddHBand="0" w:evenHBand="0" w:firstRowFirstColumn="0" w:firstRowLastColumn="0" w:lastRowFirstColumn="0" w:lastRowLastColumn="0"/>
              <w:rPr>
                <w:rFonts w:ascii="Palatino Linotype" w:hAnsi="Palatino Linotype" w:cs="Calibri"/>
                <w:sz w:val="18"/>
                <w:szCs w:val="18"/>
                <w:shd w:val="clear" w:color="auto" w:fill="FFFFFF"/>
              </w:rPr>
            </w:pPr>
            <w:r w:rsidRPr="00192D3E">
              <w:rPr>
                <w:rFonts w:ascii="Palatino Linotype" w:hAnsi="Palatino Linotype" w:cs="Calibri"/>
                <w:sz w:val="18"/>
                <w:szCs w:val="18"/>
                <w:shd w:val="clear" w:color="auto" w:fill="FFFFFF"/>
              </w:rPr>
              <w:t>Glycolytic</w:t>
            </w:r>
          </w:p>
        </w:tc>
        <w:tc>
          <w:tcPr>
            <w:tcW w:w="1843" w:type="dxa"/>
            <w:vAlign w:val="center"/>
          </w:tcPr>
          <w:p w14:paraId="2A500D3E" w14:textId="77777777" w:rsidR="0016423F" w:rsidRPr="00192D3E" w:rsidRDefault="0016423F" w:rsidP="000E018D">
            <w:pPr>
              <w:jc w:val="center"/>
              <w:cnfStyle w:val="000000000000" w:firstRow="0" w:lastRow="0" w:firstColumn="0" w:lastColumn="0" w:oddVBand="0" w:evenVBand="0" w:oddHBand="0" w:evenHBand="0" w:firstRowFirstColumn="0" w:firstRowLastColumn="0" w:lastRowFirstColumn="0" w:lastRowLastColumn="0"/>
              <w:rPr>
                <w:rFonts w:ascii="Palatino Linotype" w:hAnsi="Palatino Linotype" w:cs="Calibri"/>
                <w:sz w:val="18"/>
                <w:szCs w:val="18"/>
                <w:shd w:val="clear" w:color="auto" w:fill="FFFFFF"/>
              </w:rPr>
            </w:pPr>
            <w:r w:rsidRPr="00192D3E">
              <w:rPr>
                <w:rFonts w:ascii="Palatino Linotype" w:eastAsia="Times New Roman" w:hAnsi="Palatino Linotype" w:cs="Calibri"/>
                <w:sz w:val="18"/>
                <w:szCs w:val="18"/>
                <w:lang w:eastAsia="en-GB"/>
              </w:rPr>
              <w:t>ND</w:t>
            </w:r>
          </w:p>
        </w:tc>
        <w:tc>
          <w:tcPr>
            <w:tcW w:w="2835" w:type="dxa"/>
            <w:vAlign w:val="center"/>
          </w:tcPr>
          <w:p w14:paraId="5C18DB7D" w14:textId="77777777" w:rsidR="0016423F" w:rsidRPr="00192D3E" w:rsidRDefault="0016423F" w:rsidP="000E018D">
            <w:pPr>
              <w:jc w:val="center"/>
              <w:cnfStyle w:val="000000000000" w:firstRow="0" w:lastRow="0" w:firstColumn="0" w:lastColumn="0" w:oddVBand="0" w:evenVBand="0" w:oddHBand="0" w:evenHBand="0" w:firstRowFirstColumn="0" w:firstRowLastColumn="0" w:lastRowFirstColumn="0" w:lastRowLastColumn="0"/>
              <w:rPr>
                <w:rFonts w:ascii="Palatino Linotype" w:hAnsi="Palatino Linotype" w:cs="Calibri"/>
                <w:sz w:val="18"/>
                <w:szCs w:val="18"/>
                <w:shd w:val="clear" w:color="auto" w:fill="FFFFFF"/>
              </w:rPr>
            </w:pPr>
            <w:r w:rsidRPr="00192D3E">
              <w:rPr>
                <w:rFonts w:ascii="Palatino Linotype" w:eastAsia="Times New Roman" w:hAnsi="Palatino Linotype" w:cs="Calibri"/>
                <w:sz w:val="18"/>
                <w:szCs w:val="18"/>
                <w:lang w:eastAsia="en-GB"/>
              </w:rPr>
              <w:t>ND</w:t>
            </w:r>
          </w:p>
        </w:tc>
      </w:tr>
      <w:tr w:rsidR="0016423F" w:rsidRPr="00192D3E" w14:paraId="2BB7030B" w14:textId="77777777" w:rsidTr="0016423F">
        <w:tc>
          <w:tcPr>
            <w:cnfStyle w:val="001000000000" w:firstRow="0" w:lastRow="0" w:firstColumn="1" w:lastColumn="0" w:oddVBand="0" w:evenVBand="0" w:oddHBand="0" w:evenHBand="0" w:firstRowFirstColumn="0" w:firstRowLastColumn="0" w:lastRowFirstColumn="0" w:lastRowLastColumn="0"/>
            <w:tcW w:w="2405" w:type="dxa"/>
            <w:vAlign w:val="center"/>
          </w:tcPr>
          <w:p w14:paraId="0CCD615A" w14:textId="77777777" w:rsidR="0016423F" w:rsidRPr="00192D3E" w:rsidRDefault="0016423F" w:rsidP="000E018D">
            <w:pPr>
              <w:jc w:val="center"/>
              <w:rPr>
                <w:rFonts w:ascii="Palatino Linotype" w:hAnsi="Palatino Linotype" w:cs="Calibri"/>
                <w:sz w:val="18"/>
                <w:szCs w:val="18"/>
                <w:shd w:val="clear" w:color="auto" w:fill="FFFFFF"/>
              </w:rPr>
            </w:pPr>
            <w:r w:rsidRPr="00192D3E">
              <w:rPr>
                <w:rFonts w:ascii="Palatino Linotype" w:hAnsi="Palatino Linotype" w:cs="Calibri"/>
                <w:b w:val="0"/>
                <w:bCs w:val="0"/>
                <w:sz w:val="18"/>
                <w:szCs w:val="18"/>
                <w:shd w:val="clear" w:color="auto" w:fill="FFFFFF"/>
              </w:rPr>
              <w:t>Pancreatic ductal adenocarcinoma</w:t>
            </w:r>
          </w:p>
        </w:tc>
        <w:tc>
          <w:tcPr>
            <w:tcW w:w="1843" w:type="dxa"/>
            <w:vAlign w:val="center"/>
          </w:tcPr>
          <w:p w14:paraId="3E1C6A66" w14:textId="77777777" w:rsidR="0016423F" w:rsidRPr="00192D3E" w:rsidRDefault="0016423F" w:rsidP="000E018D">
            <w:pPr>
              <w:jc w:val="center"/>
              <w:cnfStyle w:val="000000000000" w:firstRow="0" w:lastRow="0" w:firstColumn="0" w:lastColumn="0" w:oddVBand="0" w:evenVBand="0" w:oddHBand="0" w:evenHBand="0" w:firstRowFirstColumn="0" w:firstRowLastColumn="0" w:lastRowFirstColumn="0" w:lastRowLastColumn="0"/>
              <w:rPr>
                <w:rFonts w:ascii="Palatino Linotype" w:hAnsi="Palatino Linotype" w:cs="Calibri"/>
                <w:sz w:val="18"/>
                <w:szCs w:val="18"/>
                <w:shd w:val="clear" w:color="auto" w:fill="FFFFFF"/>
              </w:rPr>
            </w:pPr>
            <w:r w:rsidRPr="00192D3E">
              <w:rPr>
                <w:rFonts w:ascii="Palatino Linotype" w:hAnsi="Palatino Linotype" w:cs="Calibri"/>
                <w:sz w:val="18"/>
                <w:szCs w:val="18"/>
                <w:shd w:val="clear" w:color="auto" w:fill="FFFFFF"/>
              </w:rPr>
              <w:t>Glycolytic</w:t>
            </w:r>
          </w:p>
        </w:tc>
        <w:tc>
          <w:tcPr>
            <w:tcW w:w="1843" w:type="dxa"/>
            <w:vAlign w:val="center"/>
          </w:tcPr>
          <w:p w14:paraId="632AA770" w14:textId="77777777" w:rsidR="0016423F" w:rsidRPr="00192D3E" w:rsidRDefault="0016423F" w:rsidP="000E018D">
            <w:pPr>
              <w:jc w:val="center"/>
              <w:cnfStyle w:val="000000000000" w:firstRow="0" w:lastRow="0" w:firstColumn="0" w:lastColumn="0" w:oddVBand="0" w:evenVBand="0" w:oddHBand="0" w:evenHBand="0" w:firstRowFirstColumn="0" w:firstRowLastColumn="0" w:lastRowFirstColumn="0" w:lastRowLastColumn="0"/>
              <w:rPr>
                <w:rFonts w:ascii="Palatino Linotype" w:hAnsi="Palatino Linotype" w:cs="Calibri"/>
                <w:sz w:val="18"/>
                <w:szCs w:val="18"/>
                <w:shd w:val="clear" w:color="auto" w:fill="FFFFFF"/>
              </w:rPr>
            </w:pPr>
            <w:r w:rsidRPr="00192D3E">
              <w:rPr>
                <w:rFonts w:ascii="Palatino Linotype" w:hAnsi="Palatino Linotype" w:cs="Calibri"/>
                <w:sz w:val="18"/>
                <w:szCs w:val="18"/>
                <w:shd w:val="clear" w:color="auto" w:fill="FFFFFF"/>
              </w:rPr>
              <w:t>Glucose</w:t>
            </w:r>
          </w:p>
        </w:tc>
        <w:tc>
          <w:tcPr>
            <w:tcW w:w="2835" w:type="dxa"/>
            <w:vAlign w:val="center"/>
          </w:tcPr>
          <w:p w14:paraId="76667277" w14:textId="77777777" w:rsidR="0016423F" w:rsidRPr="00192D3E" w:rsidRDefault="0016423F" w:rsidP="000E018D">
            <w:pPr>
              <w:jc w:val="center"/>
              <w:cnfStyle w:val="000000000000" w:firstRow="0" w:lastRow="0" w:firstColumn="0" w:lastColumn="0" w:oddVBand="0" w:evenVBand="0" w:oddHBand="0" w:evenHBand="0" w:firstRowFirstColumn="0" w:firstRowLastColumn="0" w:lastRowFirstColumn="0" w:lastRowLastColumn="0"/>
              <w:rPr>
                <w:rFonts w:ascii="Palatino Linotype" w:hAnsi="Palatino Linotype" w:cs="Calibri"/>
                <w:i/>
                <w:iCs/>
                <w:sz w:val="18"/>
                <w:szCs w:val="18"/>
                <w:shd w:val="clear" w:color="auto" w:fill="FFFFFF"/>
              </w:rPr>
            </w:pPr>
            <w:r w:rsidRPr="00192D3E">
              <w:rPr>
                <w:rFonts w:ascii="Palatino Linotype" w:hAnsi="Palatino Linotype" w:cs="Calibri"/>
                <w:i/>
                <w:iCs/>
                <w:sz w:val="18"/>
                <w:szCs w:val="18"/>
                <w:shd w:val="clear" w:color="auto" w:fill="FFFFFF"/>
              </w:rPr>
              <w:t>KRAS</w:t>
            </w:r>
          </w:p>
        </w:tc>
      </w:tr>
      <w:tr w:rsidR="0016423F" w:rsidRPr="00192D3E" w14:paraId="68B5B8CF" w14:textId="77777777" w:rsidTr="0016423F">
        <w:tc>
          <w:tcPr>
            <w:cnfStyle w:val="001000000000" w:firstRow="0" w:lastRow="0" w:firstColumn="1" w:lastColumn="0" w:oddVBand="0" w:evenVBand="0" w:oddHBand="0" w:evenHBand="0" w:firstRowFirstColumn="0" w:firstRowLastColumn="0" w:lastRowFirstColumn="0" w:lastRowLastColumn="0"/>
            <w:tcW w:w="2405" w:type="dxa"/>
            <w:vAlign w:val="center"/>
          </w:tcPr>
          <w:p w14:paraId="26FC8B13" w14:textId="77777777" w:rsidR="0016423F" w:rsidRPr="00192D3E" w:rsidRDefault="0016423F" w:rsidP="000E018D">
            <w:pPr>
              <w:jc w:val="center"/>
              <w:rPr>
                <w:rFonts w:ascii="Palatino Linotype" w:hAnsi="Palatino Linotype" w:cs="Calibri"/>
                <w:b w:val="0"/>
                <w:bCs w:val="0"/>
                <w:sz w:val="18"/>
                <w:szCs w:val="18"/>
                <w:shd w:val="clear" w:color="auto" w:fill="FFFFFF"/>
              </w:rPr>
            </w:pPr>
            <w:proofErr w:type="spellStart"/>
            <w:r w:rsidRPr="00192D3E">
              <w:rPr>
                <w:rFonts w:ascii="Palatino Linotype" w:hAnsi="Palatino Linotype" w:cs="Calibri"/>
                <w:b w:val="0"/>
                <w:bCs w:val="0"/>
                <w:sz w:val="18"/>
                <w:szCs w:val="18"/>
                <w:shd w:val="clear" w:color="auto" w:fill="FFFFFF"/>
              </w:rPr>
              <w:t>ccRCC</w:t>
            </w:r>
            <w:proofErr w:type="spellEnd"/>
          </w:p>
        </w:tc>
        <w:tc>
          <w:tcPr>
            <w:tcW w:w="1843" w:type="dxa"/>
            <w:vAlign w:val="center"/>
          </w:tcPr>
          <w:p w14:paraId="417015B8" w14:textId="77777777" w:rsidR="0016423F" w:rsidRPr="00192D3E" w:rsidRDefault="0016423F" w:rsidP="000E018D">
            <w:pPr>
              <w:jc w:val="center"/>
              <w:cnfStyle w:val="000000000000" w:firstRow="0" w:lastRow="0" w:firstColumn="0" w:lastColumn="0" w:oddVBand="0" w:evenVBand="0" w:oddHBand="0" w:evenHBand="0" w:firstRowFirstColumn="0" w:firstRowLastColumn="0" w:lastRowFirstColumn="0" w:lastRowLastColumn="0"/>
              <w:rPr>
                <w:rFonts w:ascii="Palatino Linotype" w:hAnsi="Palatino Linotype" w:cs="Calibri"/>
                <w:sz w:val="18"/>
                <w:szCs w:val="18"/>
                <w:shd w:val="clear" w:color="auto" w:fill="FFFFFF"/>
              </w:rPr>
            </w:pPr>
            <w:r w:rsidRPr="00192D3E">
              <w:rPr>
                <w:rFonts w:ascii="Palatino Linotype" w:hAnsi="Palatino Linotype" w:cs="Calibri"/>
                <w:sz w:val="18"/>
                <w:szCs w:val="18"/>
                <w:shd w:val="clear" w:color="auto" w:fill="FFFFFF"/>
              </w:rPr>
              <w:t>Glycolytic</w:t>
            </w:r>
          </w:p>
        </w:tc>
        <w:tc>
          <w:tcPr>
            <w:tcW w:w="1843" w:type="dxa"/>
            <w:vAlign w:val="center"/>
          </w:tcPr>
          <w:p w14:paraId="03FE0811" w14:textId="77777777" w:rsidR="0016423F" w:rsidRPr="00192D3E" w:rsidRDefault="0016423F" w:rsidP="000E018D">
            <w:pPr>
              <w:jc w:val="center"/>
              <w:cnfStyle w:val="000000000000" w:firstRow="0" w:lastRow="0" w:firstColumn="0" w:lastColumn="0" w:oddVBand="0" w:evenVBand="0" w:oddHBand="0" w:evenHBand="0" w:firstRowFirstColumn="0" w:firstRowLastColumn="0" w:lastRowFirstColumn="0" w:lastRowLastColumn="0"/>
              <w:rPr>
                <w:rFonts w:ascii="Palatino Linotype" w:hAnsi="Palatino Linotype" w:cs="Calibri"/>
                <w:sz w:val="18"/>
                <w:szCs w:val="18"/>
                <w:shd w:val="clear" w:color="auto" w:fill="FFFFFF"/>
              </w:rPr>
            </w:pPr>
            <w:r w:rsidRPr="00192D3E">
              <w:rPr>
                <w:rFonts w:ascii="Palatino Linotype" w:hAnsi="Palatino Linotype" w:cs="Calibri"/>
                <w:sz w:val="18"/>
                <w:szCs w:val="18"/>
                <w:shd w:val="clear" w:color="auto" w:fill="FFFFFF"/>
              </w:rPr>
              <w:t>Glucose</w:t>
            </w:r>
          </w:p>
        </w:tc>
        <w:tc>
          <w:tcPr>
            <w:tcW w:w="2835" w:type="dxa"/>
            <w:vAlign w:val="center"/>
          </w:tcPr>
          <w:p w14:paraId="43882DF2" w14:textId="77777777" w:rsidR="0016423F" w:rsidRPr="00192D3E" w:rsidRDefault="0016423F" w:rsidP="000E018D">
            <w:pPr>
              <w:jc w:val="center"/>
              <w:cnfStyle w:val="000000000000" w:firstRow="0" w:lastRow="0" w:firstColumn="0" w:lastColumn="0" w:oddVBand="0" w:evenVBand="0" w:oddHBand="0" w:evenHBand="0" w:firstRowFirstColumn="0" w:firstRowLastColumn="0" w:lastRowFirstColumn="0" w:lastRowLastColumn="0"/>
              <w:rPr>
                <w:rFonts w:ascii="Palatino Linotype" w:eastAsia="Times New Roman" w:hAnsi="Palatino Linotype" w:cs="Calibri"/>
                <w:sz w:val="18"/>
                <w:szCs w:val="18"/>
                <w:lang w:eastAsia="en-GB"/>
              </w:rPr>
            </w:pPr>
            <w:r w:rsidRPr="00192D3E">
              <w:rPr>
                <w:rFonts w:ascii="Palatino Linotype" w:eastAsia="Times New Roman" w:hAnsi="Palatino Linotype" w:cs="Calibri"/>
                <w:i/>
                <w:iCs/>
                <w:sz w:val="18"/>
                <w:szCs w:val="18"/>
                <w:lang w:eastAsia="en-GB"/>
              </w:rPr>
              <w:t>VHL</w:t>
            </w:r>
            <w:r w:rsidRPr="00192D3E">
              <w:rPr>
                <w:rFonts w:ascii="Palatino Linotype" w:eastAsia="Times New Roman" w:hAnsi="Palatino Linotype" w:cs="Calibri"/>
                <w:sz w:val="18"/>
                <w:szCs w:val="18"/>
                <w:lang w:eastAsia="en-GB"/>
              </w:rPr>
              <w:t xml:space="preserve"> loss of function</w:t>
            </w:r>
          </w:p>
        </w:tc>
      </w:tr>
      <w:tr w:rsidR="0016423F" w:rsidRPr="00192D3E" w14:paraId="48ADE36A" w14:textId="77777777" w:rsidTr="0016423F">
        <w:tc>
          <w:tcPr>
            <w:cnfStyle w:val="001000000000" w:firstRow="0" w:lastRow="0" w:firstColumn="1" w:lastColumn="0" w:oddVBand="0" w:evenVBand="0" w:oddHBand="0" w:evenHBand="0" w:firstRowFirstColumn="0" w:firstRowLastColumn="0" w:lastRowFirstColumn="0" w:lastRowLastColumn="0"/>
            <w:tcW w:w="2405" w:type="dxa"/>
            <w:vAlign w:val="center"/>
          </w:tcPr>
          <w:p w14:paraId="1E7FCAE6" w14:textId="77777777" w:rsidR="0016423F" w:rsidRPr="00192D3E" w:rsidRDefault="0016423F" w:rsidP="000E018D">
            <w:pPr>
              <w:jc w:val="center"/>
              <w:rPr>
                <w:rFonts w:ascii="Palatino Linotype" w:hAnsi="Palatino Linotype" w:cs="Calibri"/>
                <w:b w:val="0"/>
                <w:bCs w:val="0"/>
                <w:sz w:val="18"/>
                <w:szCs w:val="18"/>
                <w:shd w:val="clear" w:color="auto" w:fill="FFFFFF"/>
              </w:rPr>
            </w:pPr>
            <w:r w:rsidRPr="00192D3E">
              <w:rPr>
                <w:rFonts w:ascii="Palatino Linotype" w:hAnsi="Palatino Linotype" w:cs="Calibri"/>
                <w:b w:val="0"/>
                <w:bCs w:val="0"/>
                <w:sz w:val="18"/>
                <w:szCs w:val="18"/>
                <w:shd w:val="clear" w:color="auto" w:fill="FFFFFF"/>
              </w:rPr>
              <w:t>HLRCC</w:t>
            </w:r>
          </w:p>
        </w:tc>
        <w:tc>
          <w:tcPr>
            <w:tcW w:w="1843" w:type="dxa"/>
            <w:vAlign w:val="center"/>
          </w:tcPr>
          <w:p w14:paraId="27978A09" w14:textId="77777777" w:rsidR="0016423F" w:rsidRPr="00192D3E" w:rsidRDefault="0016423F" w:rsidP="000E018D">
            <w:pPr>
              <w:jc w:val="center"/>
              <w:cnfStyle w:val="000000000000" w:firstRow="0" w:lastRow="0" w:firstColumn="0" w:lastColumn="0" w:oddVBand="0" w:evenVBand="0" w:oddHBand="0" w:evenHBand="0" w:firstRowFirstColumn="0" w:firstRowLastColumn="0" w:lastRowFirstColumn="0" w:lastRowLastColumn="0"/>
              <w:rPr>
                <w:rFonts w:ascii="Palatino Linotype" w:hAnsi="Palatino Linotype" w:cs="Calibri"/>
                <w:sz w:val="18"/>
                <w:szCs w:val="18"/>
                <w:shd w:val="clear" w:color="auto" w:fill="FFFFFF"/>
              </w:rPr>
            </w:pPr>
            <w:r w:rsidRPr="00192D3E">
              <w:rPr>
                <w:rFonts w:ascii="Palatino Linotype" w:hAnsi="Palatino Linotype" w:cs="Calibri"/>
                <w:sz w:val="18"/>
                <w:szCs w:val="18"/>
                <w:shd w:val="clear" w:color="auto" w:fill="FFFFFF"/>
              </w:rPr>
              <w:t>Glycolytic</w:t>
            </w:r>
          </w:p>
        </w:tc>
        <w:tc>
          <w:tcPr>
            <w:tcW w:w="1843" w:type="dxa"/>
            <w:vAlign w:val="center"/>
          </w:tcPr>
          <w:p w14:paraId="7B9742BF" w14:textId="77777777" w:rsidR="0016423F" w:rsidRPr="00192D3E" w:rsidRDefault="0016423F" w:rsidP="000E018D">
            <w:pPr>
              <w:jc w:val="center"/>
              <w:cnfStyle w:val="000000000000" w:firstRow="0" w:lastRow="0" w:firstColumn="0" w:lastColumn="0" w:oddVBand="0" w:evenVBand="0" w:oddHBand="0" w:evenHBand="0" w:firstRowFirstColumn="0" w:firstRowLastColumn="0" w:lastRowFirstColumn="0" w:lastRowLastColumn="0"/>
              <w:rPr>
                <w:rFonts w:ascii="Palatino Linotype" w:hAnsi="Palatino Linotype" w:cs="Calibri"/>
                <w:sz w:val="18"/>
                <w:szCs w:val="18"/>
                <w:shd w:val="clear" w:color="auto" w:fill="FFFFFF"/>
              </w:rPr>
            </w:pPr>
            <w:r w:rsidRPr="00192D3E">
              <w:rPr>
                <w:rFonts w:ascii="Palatino Linotype" w:hAnsi="Palatino Linotype" w:cs="Calibri"/>
                <w:sz w:val="18"/>
                <w:szCs w:val="18"/>
                <w:shd w:val="clear" w:color="auto" w:fill="FFFFFF"/>
              </w:rPr>
              <w:t>Glucose</w:t>
            </w:r>
          </w:p>
        </w:tc>
        <w:tc>
          <w:tcPr>
            <w:tcW w:w="2835" w:type="dxa"/>
            <w:vAlign w:val="center"/>
          </w:tcPr>
          <w:p w14:paraId="74E8A487" w14:textId="77777777" w:rsidR="0016423F" w:rsidRPr="00192D3E" w:rsidRDefault="0016423F" w:rsidP="000E018D">
            <w:pPr>
              <w:jc w:val="center"/>
              <w:cnfStyle w:val="000000000000" w:firstRow="0" w:lastRow="0" w:firstColumn="0" w:lastColumn="0" w:oddVBand="0" w:evenVBand="0" w:oddHBand="0" w:evenHBand="0" w:firstRowFirstColumn="0" w:firstRowLastColumn="0" w:lastRowFirstColumn="0" w:lastRowLastColumn="0"/>
              <w:rPr>
                <w:rFonts w:ascii="Palatino Linotype" w:hAnsi="Palatino Linotype" w:cs="Calibri"/>
                <w:i/>
                <w:iCs/>
                <w:sz w:val="18"/>
                <w:szCs w:val="18"/>
                <w:shd w:val="clear" w:color="auto" w:fill="FFFFFF"/>
              </w:rPr>
            </w:pPr>
            <w:r w:rsidRPr="00192D3E">
              <w:rPr>
                <w:rFonts w:ascii="Palatino Linotype" w:hAnsi="Palatino Linotype" w:cs="Calibri"/>
                <w:i/>
                <w:iCs/>
                <w:sz w:val="18"/>
                <w:szCs w:val="18"/>
                <w:shd w:val="clear" w:color="auto" w:fill="FFFFFF"/>
              </w:rPr>
              <w:t xml:space="preserve">FH </w:t>
            </w:r>
            <w:r w:rsidRPr="00192D3E">
              <w:rPr>
                <w:rFonts w:ascii="Palatino Linotype" w:hAnsi="Palatino Linotype" w:cs="Calibri"/>
                <w:sz w:val="18"/>
                <w:szCs w:val="18"/>
                <w:shd w:val="clear" w:color="auto" w:fill="FFFFFF"/>
              </w:rPr>
              <w:t>loss of function</w:t>
            </w:r>
          </w:p>
        </w:tc>
      </w:tr>
      <w:tr w:rsidR="0016423F" w:rsidRPr="00F01823" w14:paraId="0F8C1FD3" w14:textId="77777777" w:rsidTr="0016423F">
        <w:tc>
          <w:tcPr>
            <w:cnfStyle w:val="001000000000" w:firstRow="0" w:lastRow="0" w:firstColumn="1" w:lastColumn="0" w:oddVBand="0" w:evenVBand="0" w:oddHBand="0" w:evenHBand="0" w:firstRowFirstColumn="0" w:firstRowLastColumn="0" w:lastRowFirstColumn="0" w:lastRowLastColumn="0"/>
            <w:tcW w:w="2405" w:type="dxa"/>
            <w:vAlign w:val="center"/>
          </w:tcPr>
          <w:p w14:paraId="51FA3AEA" w14:textId="57A26687" w:rsidR="0016423F" w:rsidRPr="00192D3E" w:rsidRDefault="0016423F" w:rsidP="000E018D">
            <w:pPr>
              <w:jc w:val="center"/>
              <w:rPr>
                <w:rFonts w:ascii="Palatino Linotype" w:hAnsi="Palatino Linotype" w:cs="Calibri"/>
                <w:b w:val="0"/>
                <w:bCs w:val="0"/>
                <w:sz w:val="18"/>
                <w:szCs w:val="18"/>
                <w:shd w:val="clear" w:color="auto" w:fill="FFFFFF"/>
              </w:rPr>
            </w:pPr>
            <w:r w:rsidRPr="00192D3E">
              <w:rPr>
                <w:rFonts w:ascii="Palatino Linotype" w:hAnsi="Palatino Linotype" w:cs="Calibri"/>
                <w:b w:val="0"/>
                <w:bCs w:val="0"/>
                <w:sz w:val="18"/>
                <w:szCs w:val="18"/>
                <w:shd w:val="clear" w:color="auto" w:fill="FFFFFF"/>
              </w:rPr>
              <w:t xml:space="preserve">Hereditary </w:t>
            </w:r>
            <w:r w:rsidR="005F6F5C">
              <w:rPr>
                <w:rFonts w:ascii="Palatino Linotype" w:hAnsi="Palatino Linotype" w:cs="Calibri"/>
                <w:b w:val="0"/>
                <w:bCs w:val="0"/>
                <w:sz w:val="18"/>
                <w:szCs w:val="18"/>
                <w:shd w:val="clear" w:color="auto" w:fill="FFFFFF"/>
              </w:rPr>
              <w:t>p</w:t>
            </w:r>
            <w:r w:rsidRPr="00192D3E">
              <w:rPr>
                <w:rFonts w:ascii="Palatino Linotype" w:hAnsi="Palatino Linotype" w:cs="Calibri"/>
                <w:b w:val="0"/>
                <w:bCs w:val="0"/>
                <w:sz w:val="18"/>
                <w:szCs w:val="18"/>
                <w:shd w:val="clear" w:color="auto" w:fill="FFFFFF"/>
              </w:rPr>
              <w:t xml:space="preserve">araganglioma </w:t>
            </w:r>
          </w:p>
        </w:tc>
        <w:tc>
          <w:tcPr>
            <w:tcW w:w="1843" w:type="dxa"/>
            <w:vAlign w:val="center"/>
          </w:tcPr>
          <w:p w14:paraId="07B301F2" w14:textId="77777777" w:rsidR="0016423F" w:rsidRPr="00192D3E" w:rsidRDefault="0016423F" w:rsidP="000E018D">
            <w:pPr>
              <w:jc w:val="center"/>
              <w:cnfStyle w:val="000000000000" w:firstRow="0" w:lastRow="0" w:firstColumn="0" w:lastColumn="0" w:oddVBand="0" w:evenVBand="0" w:oddHBand="0" w:evenHBand="0" w:firstRowFirstColumn="0" w:firstRowLastColumn="0" w:lastRowFirstColumn="0" w:lastRowLastColumn="0"/>
              <w:rPr>
                <w:rFonts w:ascii="Palatino Linotype" w:hAnsi="Palatino Linotype" w:cs="Calibri"/>
                <w:sz w:val="18"/>
                <w:szCs w:val="18"/>
                <w:shd w:val="clear" w:color="auto" w:fill="FFFFFF"/>
              </w:rPr>
            </w:pPr>
            <w:r w:rsidRPr="00192D3E">
              <w:rPr>
                <w:rFonts w:ascii="Palatino Linotype" w:hAnsi="Palatino Linotype" w:cs="Calibri"/>
                <w:sz w:val="18"/>
                <w:szCs w:val="18"/>
                <w:shd w:val="clear" w:color="auto" w:fill="FFFFFF"/>
              </w:rPr>
              <w:t>Glycolytic</w:t>
            </w:r>
          </w:p>
        </w:tc>
        <w:tc>
          <w:tcPr>
            <w:tcW w:w="1843" w:type="dxa"/>
            <w:vAlign w:val="center"/>
          </w:tcPr>
          <w:p w14:paraId="795E59B5" w14:textId="77777777" w:rsidR="0016423F" w:rsidRPr="00192D3E" w:rsidRDefault="0016423F" w:rsidP="000E018D">
            <w:pPr>
              <w:jc w:val="center"/>
              <w:cnfStyle w:val="000000000000" w:firstRow="0" w:lastRow="0" w:firstColumn="0" w:lastColumn="0" w:oddVBand="0" w:evenVBand="0" w:oddHBand="0" w:evenHBand="0" w:firstRowFirstColumn="0" w:firstRowLastColumn="0" w:lastRowFirstColumn="0" w:lastRowLastColumn="0"/>
              <w:rPr>
                <w:rFonts w:ascii="Palatino Linotype" w:hAnsi="Palatino Linotype" w:cs="Calibri"/>
                <w:sz w:val="18"/>
                <w:szCs w:val="18"/>
                <w:shd w:val="clear" w:color="auto" w:fill="FFFFFF"/>
              </w:rPr>
            </w:pPr>
            <w:r w:rsidRPr="00192D3E">
              <w:rPr>
                <w:rFonts w:ascii="Palatino Linotype" w:hAnsi="Palatino Linotype" w:cs="Calibri"/>
                <w:sz w:val="18"/>
                <w:szCs w:val="18"/>
                <w:shd w:val="clear" w:color="auto" w:fill="FFFFFF"/>
              </w:rPr>
              <w:t xml:space="preserve">Glucose </w:t>
            </w:r>
          </w:p>
        </w:tc>
        <w:tc>
          <w:tcPr>
            <w:tcW w:w="2835" w:type="dxa"/>
            <w:vAlign w:val="center"/>
          </w:tcPr>
          <w:p w14:paraId="33A468D2" w14:textId="77777777" w:rsidR="0016423F" w:rsidRPr="00192D3E" w:rsidRDefault="0016423F" w:rsidP="000E018D">
            <w:pPr>
              <w:jc w:val="center"/>
              <w:cnfStyle w:val="000000000000" w:firstRow="0" w:lastRow="0" w:firstColumn="0" w:lastColumn="0" w:oddVBand="0" w:evenVBand="0" w:oddHBand="0" w:evenHBand="0" w:firstRowFirstColumn="0" w:firstRowLastColumn="0" w:lastRowFirstColumn="0" w:lastRowLastColumn="0"/>
              <w:rPr>
                <w:rFonts w:ascii="Palatino Linotype" w:hAnsi="Palatino Linotype" w:cs="Calibri"/>
                <w:i/>
                <w:iCs/>
                <w:sz w:val="18"/>
                <w:szCs w:val="18"/>
                <w:shd w:val="clear" w:color="auto" w:fill="FFFFFF"/>
              </w:rPr>
            </w:pPr>
            <w:r w:rsidRPr="00192D3E">
              <w:rPr>
                <w:rFonts w:ascii="Palatino Linotype" w:hAnsi="Palatino Linotype" w:cs="Calibri"/>
                <w:i/>
                <w:iCs/>
                <w:sz w:val="18"/>
                <w:szCs w:val="18"/>
                <w:shd w:val="clear" w:color="auto" w:fill="FFFFFF"/>
              </w:rPr>
              <w:t xml:space="preserve">SDH </w:t>
            </w:r>
            <w:r w:rsidRPr="00192D3E">
              <w:rPr>
                <w:rFonts w:ascii="Palatino Linotype" w:hAnsi="Palatino Linotype" w:cs="Calibri"/>
                <w:sz w:val="18"/>
                <w:szCs w:val="18"/>
                <w:shd w:val="clear" w:color="auto" w:fill="FFFFFF"/>
              </w:rPr>
              <w:t>loss of function</w:t>
            </w:r>
          </w:p>
        </w:tc>
      </w:tr>
    </w:tbl>
    <w:p w14:paraId="035F1E17" w14:textId="77777777" w:rsidR="000E018D" w:rsidRDefault="000E018D" w:rsidP="000E018D">
      <w:pPr>
        <w:rPr>
          <w:lang w:val="en-US" w:eastAsia="de-DE" w:bidi="en-US"/>
        </w:rPr>
      </w:pPr>
    </w:p>
    <w:p w14:paraId="18E501EB" w14:textId="77777777" w:rsidR="004D1267" w:rsidRDefault="004D1267" w:rsidP="007C363A">
      <w:pPr>
        <w:jc w:val="both"/>
        <w:rPr>
          <w:rFonts w:ascii="Palatino Linotype" w:eastAsia="SimSun" w:hAnsi="Palatino Linotype" w:cs="Times New Roman"/>
          <w:b/>
          <w:bCs/>
          <w:noProof/>
          <w:color w:val="000000"/>
          <w:sz w:val="20"/>
          <w:szCs w:val="20"/>
          <w:u w:val="single"/>
          <w:shd w:val="clear" w:color="auto" w:fill="FFFFFF"/>
          <w:lang w:val="en-US" w:eastAsia="zh-CN"/>
        </w:rPr>
      </w:pPr>
    </w:p>
    <w:p w14:paraId="0EAA0B2F" w14:textId="302B650C" w:rsidR="004D1267" w:rsidRDefault="00192D3E" w:rsidP="000E018D">
      <w:pPr>
        <w:jc w:val="both"/>
        <w:rPr>
          <w:rFonts w:ascii="Palatino Linotype" w:eastAsia="SimSun" w:hAnsi="Palatino Linotype" w:cs="Times New Roman"/>
          <w:noProof/>
          <w:color w:val="000000"/>
          <w:sz w:val="20"/>
          <w:szCs w:val="20"/>
          <w:shd w:val="clear" w:color="auto" w:fill="FFFFFF"/>
          <w:lang w:val="en-US" w:eastAsia="zh-CN"/>
        </w:rPr>
      </w:pPr>
      <w:r>
        <w:rPr>
          <w:rFonts w:ascii="Palatino Linotype" w:eastAsia="SimSun" w:hAnsi="Palatino Linotype" w:cs="Times New Roman"/>
          <w:b/>
          <w:bCs/>
          <w:noProof/>
          <w:color w:val="000000"/>
          <w:sz w:val="20"/>
          <w:szCs w:val="20"/>
          <w:u w:val="single"/>
          <w:shd w:val="clear" w:color="auto" w:fill="FFFFFF"/>
          <w:lang w:val="en-US" w:eastAsia="zh-CN"/>
        </w:rPr>
        <w:t xml:space="preserve">Supplementary </w:t>
      </w:r>
      <w:r w:rsidRPr="00D21A19">
        <w:rPr>
          <w:rFonts w:ascii="Palatino Linotype" w:eastAsia="SimSun" w:hAnsi="Palatino Linotype" w:cs="Times New Roman"/>
          <w:b/>
          <w:bCs/>
          <w:noProof/>
          <w:color w:val="000000"/>
          <w:sz w:val="20"/>
          <w:szCs w:val="20"/>
          <w:u w:val="single"/>
          <w:shd w:val="clear" w:color="auto" w:fill="FFFFFF"/>
          <w:lang w:val="en-US" w:eastAsia="zh-CN"/>
        </w:rPr>
        <w:t>Table 2.</w:t>
      </w:r>
      <w:r w:rsidRPr="004F77C8">
        <w:rPr>
          <w:rFonts w:ascii="Palatino Linotype" w:eastAsia="SimSun" w:hAnsi="Palatino Linotype" w:cs="Times New Roman"/>
          <w:b/>
          <w:bCs/>
          <w:noProof/>
          <w:color w:val="000000"/>
          <w:sz w:val="20"/>
          <w:szCs w:val="20"/>
          <w:shd w:val="clear" w:color="auto" w:fill="FFFFFF"/>
          <w:lang w:val="en-US" w:eastAsia="zh-CN"/>
        </w:rPr>
        <w:t xml:space="preserve"> Genes encoding for TCA cycle enzymes altered in cancer.</w:t>
      </w:r>
      <w:r w:rsidRPr="004F77C8">
        <w:rPr>
          <w:rFonts w:eastAsia="Times New Roman" w:cs="Cordia New"/>
          <w:sz w:val="18"/>
          <w:szCs w:val="22"/>
          <w:lang w:val="en-GB" w:eastAsia="de-DE" w:bidi="en-US"/>
        </w:rPr>
        <w:t xml:space="preserve"> </w:t>
      </w:r>
      <w:r w:rsidRPr="00D21A19">
        <w:rPr>
          <w:rFonts w:ascii="Palatino Linotype" w:eastAsia="SimSun" w:hAnsi="Palatino Linotype" w:cs="Times New Roman"/>
          <w:noProof/>
          <w:color w:val="000000"/>
          <w:sz w:val="20"/>
          <w:szCs w:val="20"/>
          <w:shd w:val="clear" w:color="auto" w:fill="FFFFFF"/>
          <w:lang w:val="en-US" w:eastAsia="zh-CN"/>
        </w:rPr>
        <w:t>Gene, type of alteration (mutation or differential expression), together with the consequences for the cell, a</w:t>
      </w:r>
      <w:r w:rsidR="004D1267">
        <w:rPr>
          <w:rFonts w:ascii="Palatino Linotype" w:eastAsia="SimSun" w:hAnsi="Palatino Linotype" w:cs="Times New Roman"/>
          <w:noProof/>
          <w:color w:val="000000"/>
          <w:sz w:val="20"/>
          <w:szCs w:val="20"/>
          <w:shd w:val="clear" w:color="auto" w:fill="FFFFFF"/>
          <w:lang w:val="en-US" w:eastAsia="zh-CN"/>
        </w:rPr>
        <w:t>s well as</w:t>
      </w:r>
      <w:r w:rsidRPr="00D21A19">
        <w:rPr>
          <w:rFonts w:ascii="Palatino Linotype" w:eastAsia="SimSun" w:hAnsi="Palatino Linotype" w:cs="Times New Roman"/>
          <w:noProof/>
          <w:color w:val="000000"/>
          <w:sz w:val="20"/>
          <w:szCs w:val="20"/>
          <w:shd w:val="clear" w:color="auto" w:fill="FFFFFF"/>
          <w:lang w:val="en-US" w:eastAsia="zh-CN"/>
        </w:rPr>
        <w:t xml:space="preserve"> tumor types are specified. </w:t>
      </w:r>
      <w:r w:rsidR="004D1267">
        <w:rPr>
          <w:rFonts w:ascii="Palatino Linotype" w:eastAsia="SimSun" w:hAnsi="Palatino Linotype" w:cs="Times New Roman"/>
          <w:noProof/>
          <w:color w:val="000000"/>
          <w:sz w:val="20"/>
          <w:szCs w:val="20"/>
          <w:shd w:val="clear" w:color="auto" w:fill="FFFFFF"/>
          <w:lang w:val="en-US" w:eastAsia="zh-CN"/>
        </w:rPr>
        <w:t xml:space="preserve">Abbreviations: </w:t>
      </w:r>
      <w:r w:rsidRPr="00D21A19">
        <w:rPr>
          <w:rFonts w:ascii="Palatino Linotype" w:eastAsia="SimSun" w:hAnsi="Palatino Linotype" w:cs="Times New Roman"/>
          <w:noProof/>
          <w:color w:val="000000"/>
          <w:sz w:val="20"/>
          <w:szCs w:val="20"/>
          <w:shd w:val="clear" w:color="auto" w:fill="FFFFFF"/>
          <w:lang w:val="en-US" w:eastAsia="zh-CN"/>
        </w:rPr>
        <w:t>D-2HG, D-2-hydroxyglutarate; AML, acute myeloid leukaemia; B-ALL, B-cell acute lymphoblastic leukaemia; T-ALL, T-cell acute lymphoblastic leukaemia.</w:t>
      </w:r>
    </w:p>
    <w:p w14:paraId="2B1AAD0A" w14:textId="77777777" w:rsidR="000E018D" w:rsidRPr="007C363A" w:rsidRDefault="000E018D" w:rsidP="007C363A">
      <w:pPr>
        <w:jc w:val="both"/>
        <w:rPr>
          <w:rFonts w:ascii="Palatino Linotype" w:eastAsia="SimSun" w:hAnsi="Palatino Linotype" w:cs="Times New Roman"/>
          <w:noProof/>
          <w:color w:val="000000"/>
          <w:sz w:val="20"/>
          <w:szCs w:val="20"/>
          <w:shd w:val="clear" w:color="auto" w:fill="FFFFFF"/>
          <w:lang w:val="en-US" w:eastAsia="zh-CN"/>
        </w:rPr>
      </w:pPr>
    </w:p>
    <w:tbl>
      <w:tblPr>
        <w:tblStyle w:val="GridTable1Light"/>
        <w:tblW w:w="8926" w:type="dxa"/>
        <w:tblCellMar>
          <w:top w:w="57" w:type="dxa"/>
          <w:bottom w:w="57" w:type="dxa"/>
        </w:tblCellMar>
        <w:tblLook w:val="04A0" w:firstRow="1" w:lastRow="0" w:firstColumn="1" w:lastColumn="0" w:noHBand="0" w:noVBand="1"/>
      </w:tblPr>
      <w:tblGrid>
        <w:gridCol w:w="990"/>
        <w:gridCol w:w="1695"/>
        <w:gridCol w:w="2980"/>
        <w:gridCol w:w="3261"/>
      </w:tblGrid>
      <w:tr w:rsidR="003428F7" w:rsidRPr="00F01823" w14:paraId="7FC27142" w14:textId="77777777" w:rsidTr="0016423F">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990" w:type="dxa"/>
            <w:vAlign w:val="center"/>
          </w:tcPr>
          <w:p w14:paraId="497F1F1F" w14:textId="77777777" w:rsidR="003428F7" w:rsidRPr="005051FF" w:rsidRDefault="003428F7" w:rsidP="000E018D">
            <w:pPr>
              <w:jc w:val="center"/>
              <w:rPr>
                <w:rFonts w:ascii="Palatino Linotype" w:hAnsi="Palatino Linotype" w:cs="Calibri"/>
                <w:sz w:val="18"/>
                <w:szCs w:val="18"/>
                <w:shd w:val="clear" w:color="auto" w:fill="FFFFFF"/>
                <w:lang w:val="en-GB"/>
              </w:rPr>
            </w:pPr>
            <w:r w:rsidRPr="005051FF">
              <w:rPr>
                <w:rFonts w:ascii="Palatino Linotype" w:hAnsi="Palatino Linotype" w:cs="Calibri"/>
                <w:sz w:val="18"/>
                <w:szCs w:val="18"/>
                <w:shd w:val="clear" w:color="auto" w:fill="FFFFFF"/>
                <w:lang w:val="en-GB"/>
              </w:rPr>
              <w:t>Gene</w:t>
            </w:r>
          </w:p>
        </w:tc>
        <w:tc>
          <w:tcPr>
            <w:tcW w:w="1695" w:type="dxa"/>
            <w:vAlign w:val="center"/>
          </w:tcPr>
          <w:p w14:paraId="2CD9CBEB" w14:textId="77777777" w:rsidR="003428F7" w:rsidRPr="005051FF" w:rsidRDefault="003428F7" w:rsidP="000E018D">
            <w:pPr>
              <w:jc w:val="center"/>
              <w:cnfStyle w:val="100000000000" w:firstRow="1" w:lastRow="0" w:firstColumn="0" w:lastColumn="0" w:oddVBand="0" w:evenVBand="0" w:oddHBand="0" w:evenHBand="0" w:firstRowFirstColumn="0" w:firstRowLastColumn="0" w:lastRowFirstColumn="0" w:lastRowLastColumn="0"/>
              <w:rPr>
                <w:rFonts w:ascii="Palatino Linotype" w:hAnsi="Palatino Linotype" w:cs="Calibri"/>
                <w:sz w:val="18"/>
                <w:szCs w:val="18"/>
                <w:shd w:val="clear" w:color="auto" w:fill="FFFFFF"/>
                <w:lang w:val="en-GB"/>
              </w:rPr>
            </w:pPr>
            <w:r w:rsidRPr="005051FF">
              <w:rPr>
                <w:rFonts w:ascii="Palatino Linotype" w:hAnsi="Palatino Linotype" w:cs="Calibri"/>
                <w:sz w:val="18"/>
                <w:szCs w:val="18"/>
                <w:shd w:val="clear" w:color="auto" w:fill="FFFFFF"/>
                <w:lang w:val="en-GB"/>
              </w:rPr>
              <w:t>Type of alteration</w:t>
            </w:r>
          </w:p>
        </w:tc>
        <w:tc>
          <w:tcPr>
            <w:tcW w:w="2980" w:type="dxa"/>
            <w:vAlign w:val="center"/>
          </w:tcPr>
          <w:p w14:paraId="3A70C02D" w14:textId="77777777" w:rsidR="003428F7" w:rsidRPr="005051FF" w:rsidRDefault="003428F7" w:rsidP="000E018D">
            <w:pPr>
              <w:jc w:val="center"/>
              <w:cnfStyle w:val="100000000000" w:firstRow="1" w:lastRow="0" w:firstColumn="0" w:lastColumn="0" w:oddVBand="0" w:evenVBand="0" w:oddHBand="0" w:evenHBand="0" w:firstRowFirstColumn="0" w:firstRowLastColumn="0" w:lastRowFirstColumn="0" w:lastRowLastColumn="0"/>
              <w:rPr>
                <w:rFonts w:ascii="Palatino Linotype" w:hAnsi="Palatino Linotype" w:cs="Calibri"/>
                <w:sz w:val="18"/>
                <w:szCs w:val="18"/>
                <w:shd w:val="clear" w:color="auto" w:fill="FFFFFF"/>
                <w:lang w:val="en-GB"/>
              </w:rPr>
            </w:pPr>
            <w:r w:rsidRPr="005051FF">
              <w:rPr>
                <w:rFonts w:ascii="Palatino Linotype" w:hAnsi="Palatino Linotype" w:cs="Calibri"/>
                <w:sz w:val="18"/>
                <w:szCs w:val="18"/>
                <w:shd w:val="clear" w:color="auto" w:fill="FFFFFF"/>
                <w:lang w:val="en-GB"/>
              </w:rPr>
              <w:t>Consequences</w:t>
            </w:r>
          </w:p>
        </w:tc>
        <w:tc>
          <w:tcPr>
            <w:tcW w:w="3261" w:type="dxa"/>
            <w:vAlign w:val="center"/>
          </w:tcPr>
          <w:p w14:paraId="128954F8" w14:textId="77777777" w:rsidR="003428F7" w:rsidRPr="005051FF" w:rsidRDefault="003428F7" w:rsidP="000E018D">
            <w:pPr>
              <w:jc w:val="center"/>
              <w:cnfStyle w:val="100000000000" w:firstRow="1" w:lastRow="0" w:firstColumn="0" w:lastColumn="0" w:oddVBand="0" w:evenVBand="0" w:oddHBand="0" w:evenHBand="0" w:firstRowFirstColumn="0" w:firstRowLastColumn="0" w:lastRowFirstColumn="0" w:lastRowLastColumn="0"/>
              <w:rPr>
                <w:rFonts w:ascii="Palatino Linotype" w:hAnsi="Palatino Linotype" w:cs="Calibri"/>
                <w:sz w:val="18"/>
                <w:szCs w:val="18"/>
                <w:shd w:val="clear" w:color="auto" w:fill="FFFFFF"/>
                <w:lang w:val="en-GB"/>
              </w:rPr>
            </w:pPr>
            <w:r w:rsidRPr="005051FF">
              <w:rPr>
                <w:rFonts w:ascii="Palatino Linotype" w:hAnsi="Palatino Linotype" w:cs="Calibri"/>
                <w:sz w:val="18"/>
                <w:szCs w:val="18"/>
                <w:shd w:val="clear" w:color="auto" w:fill="FFFFFF"/>
                <w:lang w:val="en-GB"/>
              </w:rPr>
              <w:t>Tumour type</w:t>
            </w:r>
          </w:p>
        </w:tc>
      </w:tr>
      <w:tr w:rsidR="003428F7" w:rsidRPr="00F01823" w14:paraId="6089F8AC" w14:textId="77777777" w:rsidTr="0016423F">
        <w:tc>
          <w:tcPr>
            <w:cnfStyle w:val="001000000000" w:firstRow="0" w:lastRow="0" w:firstColumn="1" w:lastColumn="0" w:oddVBand="0" w:evenVBand="0" w:oddHBand="0" w:evenHBand="0" w:firstRowFirstColumn="0" w:firstRowLastColumn="0" w:lastRowFirstColumn="0" w:lastRowLastColumn="0"/>
            <w:tcW w:w="990" w:type="dxa"/>
            <w:vAlign w:val="center"/>
          </w:tcPr>
          <w:p w14:paraId="617FFBD1" w14:textId="77777777" w:rsidR="003428F7" w:rsidRPr="005051FF" w:rsidRDefault="003428F7" w:rsidP="000E018D">
            <w:pPr>
              <w:jc w:val="center"/>
              <w:rPr>
                <w:rFonts w:ascii="Palatino Linotype" w:hAnsi="Palatino Linotype" w:cs="Calibri"/>
                <w:i/>
                <w:iCs/>
                <w:sz w:val="18"/>
                <w:szCs w:val="18"/>
                <w:shd w:val="clear" w:color="auto" w:fill="FFFFFF"/>
                <w:lang w:val="en-GB"/>
              </w:rPr>
            </w:pPr>
            <w:r w:rsidRPr="005051FF">
              <w:rPr>
                <w:rFonts w:ascii="Palatino Linotype" w:hAnsi="Palatino Linotype" w:cs="Calibri"/>
                <w:b w:val="0"/>
                <w:bCs w:val="0"/>
                <w:i/>
                <w:iCs/>
                <w:sz w:val="18"/>
                <w:szCs w:val="18"/>
                <w:shd w:val="clear" w:color="auto" w:fill="FFFFFF"/>
                <w:lang w:val="en-GB"/>
              </w:rPr>
              <w:t>ACO2</w:t>
            </w:r>
          </w:p>
        </w:tc>
        <w:tc>
          <w:tcPr>
            <w:tcW w:w="1695" w:type="dxa"/>
            <w:vAlign w:val="center"/>
          </w:tcPr>
          <w:p w14:paraId="05EC7119" w14:textId="77777777" w:rsidR="003428F7" w:rsidRPr="005051FF" w:rsidRDefault="003428F7" w:rsidP="000E018D">
            <w:pPr>
              <w:jc w:val="center"/>
              <w:cnfStyle w:val="000000000000" w:firstRow="0" w:lastRow="0" w:firstColumn="0" w:lastColumn="0" w:oddVBand="0" w:evenVBand="0" w:oddHBand="0" w:evenHBand="0" w:firstRowFirstColumn="0" w:firstRowLastColumn="0" w:lastRowFirstColumn="0" w:lastRowLastColumn="0"/>
              <w:rPr>
                <w:rFonts w:ascii="Palatino Linotype" w:hAnsi="Palatino Linotype" w:cs="Calibri"/>
                <w:sz w:val="18"/>
                <w:szCs w:val="18"/>
                <w:shd w:val="clear" w:color="auto" w:fill="FFFFFF"/>
              </w:rPr>
            </w:pPr>
            <w:r w:rsidRPr="005051FF">
              <w:rPr>
                <w:rFonts w:ascii="Palatino Linotype" w:hAnsi="Palatino Linotype" w:cs="Calibri"/>
                <w:sz w:val="18"/>
                <w:szCs w:val="18"/>
                <w:shd w:val="clear" w:color="auto" w:fill="FFFFFF"/>
                <w:lang w:val="en-GB"/>
              </w:rPr>
              <w:t>Downregulation</w:t>
            </w:r>
          </w:p>
        </w:tc>
        <w:tc>
          <w:tcPr>
            <w:tcW w:w="2980" w:type="dxa"/>
            <w:vAlign w:val="center"/>
          </w:tcPr>
          <w:p w14:paraId="5ABB7C56" w14:textId="77777777" w:rsidR="003428F7" w:rsidRPr="005051FF" w:rsidRDefault="003428F7" w:rsidP="000E018D">
            <w:pPr>
              <w:jc w:val="center"/>
              <w:cnfStyle w:val="000000000000" w:firstRow="0" w:lastRow="0" w:firstColumn="0" w:lastColumn="0" w:oddVBand="0" w:evenVBand="0" w:oddHBand="0" w:evenHBand="0" w:firstRowFirstColumn="0" w:firstRowLastColumn="0" w:lastRowFirstColumn="0" w:lastRowLastColumn="0"/>
              <w:rPr>
                <w:rFonts w:ascii="Palatino Linotype" w:hAnsi="Palatino Linotype" w:cs="Calibri"/>
                <w:sz w:val="18"/>
                <w:szCs w:val="18"/>
                <w:shd w:val="clear" w:color="auto" w:fill="FFFFFF"/>
              </w:rPr>
            </w:pPr>
            <w:r w:rsidRPr="005051FF">
              <w:rPr>
                <w:rFonts w:ascii="Palatino Linotype" w:hAnsi="Palatino Linotype" w:cs="Calibri"/>
                <w:sz w:val="18"/>
                <w:szCs w:val="18"/>
                <w:shd w:val="clear" w:color="auto" w:fill="FFFFFF"/>
                <w:lang w:val="en-GB"/>
              </w:rPr>
              <w:t>Export of large amounts of citrate</w:t>
            </w:r>
          </w:p>
        </w:tc>
        <w:tc>
          <w:tcPr>
            <w:tcW w:w="3261" w:type="dxa"/>
            <w:vAlign w:val="center"/>
          </w:tcPr>
          <w:p w14:paraId="659DC82E" w14:textId="77777777" w:rsidR="003428F7" w:rsidRPr="005051FF" w:rsidRDefault="003428F7" w:rsidP="000E018D">
            <w:pPr>
              <w:jc w:val="center"/>
              <w:cnfStyle w:val="000000000000" w:firstRow="0" w:lastRow="0" w:firstColumn="0" w:lastColumn="0" w:oddVBand="0" w:evenVBand="0" w:oddHBand="0" w:evenHBand="0" w:firstRowFirstColumn="0" w:firstRowLastColumn="0" w:lastRowFirstColumn="0" w:lastRowLastColumn="0"/>
              <w:rPr>
                <w:rFonts w:ascii="Palatino Linotype" w:hAnsi="Palatino Linotype" w:cs="Calibri"/>
                <w:sz w:val="18"/>
                <w:szCs w:val="18"/>
                <w:shd w:val="clear" w:color="auto" w:fill="FFFFFF"/>
              </w:rPr>
            </w:pPr>
            <w:r w:rsidRPr="005051FF">
              <w:rPr>
                <w:rFonts w:ascii="Palatino Linotype" w:hAnsi="Palatino Linotype" w:cs="Calibri"/>
                <w:sz w:val="18"/>
                <w:szCs w:val="18"/>
                <w:shd w:val="clear" w:color="auto" w:fill="FFFFFF"/>
                <w:lang w:val="en-GB"/>
              </w:rPr>
              <w:t>Gastric cancer</w:t>
            </w:r>
          </w:p>
        </w:tc>
      </w:tr>
      <w:tr w:rsidR="003428F7" w:rsidRPr="007C363A" w14:paraId="0F486FF8" w14:textId="77777777" w:rsidTr="0016423F">
        <w:tc>
          <w:tcPr>
            <w:cnfStyle w:val="001000000000" w:firstRow="0" w:lastRow="0" w:firstColumn="1" w:lastColumn="0" w:oddVBand="0" w:evenVBand="0" w:oddHBand="0" w:evenHBand="0" w:firstRowFirstColumn="0" w:firstRowLastColumn="0" w:lastRowFirstColumn="0" w:lastRowLastColumn="0"/>
            <w:tcW w:w="990" w:type="dxa"/>
            <w:vAlign w:val="center"/>
          </w:tcPr>
          <w:p w14:paraId="2815CEA7" w14:textId="77777777" w:rsidR="003428F7" w:rsidRPr="005051FF" w:rsidRDefault="003428F7" w:rsidP="000E018D">
            <w:pPr>
              <w:jc w:val="center"/>
              <w:rPr>
                <w:rFonts w:ascii="Palatino Linotype" w:hAnsi="Palatino Linotype" w:cs="Calibri"/>
                <w:b w:val="0"/>
                <w:bCs w:val="0"/>
                <w:i/>
                <w:iCs/>
                <w:sz w:val="18"/>
                <w:szCs w:val="18"/>
                <w:shd w:val="clear" w:color="auto" w:fill="FFFFFF"/>
                <w:lang w:val="en-GB"/>
              </w:rPr>
            </w:pPr>
            <w:r w:rsidRPr="005051FF">
              <w:rPr>
                <w:rFonts w:ascii="Palatino Linotype" w:hAnsi="Palatino Linotype" w:cs="Calibri"/>
                <w:b w:val="0"/>
                <w:bCs w:val="0"/>
                <w:i/>
                <w:iCs/>
                <w:sz w:val="18"/>
                <w:szCs w:val="18"/>
                <w:shd w:val="clear" w:color="auto" w:fill="FFFFFF"/>
                <w:lang w:val="en-GB"/>
              </w:rPr>
              <w:t>CS</w:t>
            </w:r>
          </w:p>
        </w:tc>
        <w:tc>
          <w:tcPr>
            <w:tcW w:w="1695" w:type="dxa"/>
            <w:vAlign w:val="center"/>
          </w:tcPr>
          <w:p w14:paraId="67A5B348" w14:textId="77777777" w:rsidR="003428F7" w:rsidRPr="005051FF" w:rsidRDefault="003428F7" w:rsidP="000E018D">
            <w:pPr>
              <w:jc w:val="center"/>
              <w:cnfStyle w:val="000000000000" w:firstRow="0" w:lastRow="0" w:firstColumn="0" w:lastColumn="0" w:oddVBand="0" w:evenVBand="0" w:oddHBand="0" w:evenHBand="0" w:firstRowFirstColumn="0" w:firstRowLastColumn="0" w:lastRowFirstColumn="0" w:lastRowLastColumn="0"/>
              <w:rPr>
                <w:rFonts w:ascii="Palatino Linotype" w:hAnsi="Palatino Linotype" w:cs="Calibri"/>
                <w:sz w:val="18"/>
                <w:szCs w:val="18"/>
                <w:shd w:val="clear" w:color="auto" w:fill="FFFFFF"/>
              </w:rPr>
            </w:pPr>
            <w:r w:rsidRPr="005051FF">
              <w:rPr>
                <w:rFonts w:ascii="Palatino Linotype" w:hAnsi="Palatino Linotype" w:cs="Calibri"/>
                <w:sz w:val="18"/>
                <w:szCs w:val="18"/>
                <w:shd w:val="clear" w:color="auto" w:fill="FFFFFF"/>
              </w:rPr>
              <w:t>Upregulation</w:t>
            </w:r>
          </w:p>
        </w:tc>
        <w:tc>
          <w:tcPr>
            <w:tcW w:w="2980" w:type="dxa"/>
            <w:vAlign w:val="center"/>
          </w:tcPr>
          <w:p w14:paraId="5ADBD075" w14:textId="77777777" w:rsidR="003428F7" w:rsidRPr="005051FF" w:rsidRDefault="003428F7" w:rsidP="000E018D">
            <w:pPr>
              <w:jc w:val="center"/>
              <w:cnfStyle w:val="000000000000" w:firstRow="0" w:lastRow="0" w:firstColumn="0" w:lastColumn="0" w:oddVBand="0" w:evenVBand="0" w:oddHBand="0" w:evenHBand="0" w:firstRowFirstColumn="0" w:firstRowLastColumn="0" w:lastRowFirstColumn="0" w:lastRowLastColumn="0"/>
              <w:rPr>
                <w:rFonts w:ascii="Palatino Linotype" w:hAnsi="Palatino Linotype" w:cs="Calibri"/>
                <w:sz w:val="18"/>
                <w:szCs w:val="18"/>
                <w:shd w:val="clear" w:color="auto" w:fill="FFFFFF"/>
              </w:rPr>
            </w:pPr>
            <w:r w:rsidRPr="005051FF">
              <w:rPr>
                <w:rFonts w:ascii="Palatino Linotype" w:hAnsi="Palatino Linotype" w:cs="Calibri"/>
                <w:sz w:val="18"/>
                <w:szCs w:val="18"/>
                <w:shd w:val="clear" w:color="auto" w:fill="FFFFFF"/>
              </w:rPr>
              <w:t xml:space="preserve">Increase in </w:t>
            </w:r>
            <w:r w:rsidRPr="005051FF">
              <w:rPr>
                <w:rFonts w:ascii="Palatino Linotype" w:hAnsi="Palatino Linotype" w:cs="Calibri"/>
                <w:i/>
                <w:iCs/>
                <w:sz w:val="18"/>
                <w:szCs w:val="18"/>
                <w:shd w:val="clear" w:color="auto" w:fill="FFFFFF"/>
              </w:rPr>
              <w:t>de novo</w:t>
            </w:r>
            <w:r w:rsidRPr="005051FF">
              <w:rPr>
                <w:rFonts w:ascii="Palatino Linotype" w:hAnsi="Palatino Linotype" w:cs="Calibri"/>
                <w:sz w:val="18"/>
                <w:szCs w:val="18"/>
                <w:shd w:val="clear" w:color="auto" w:fill="FFFFFF"/>
              </w:rPr>
              <w:t xml:space="preserve"> fatty acid synthesis</w:t>
            </w:r>
          </w:p>
        </w:tc>
        <w:tc>
          <w:tcPr>
            <w:tcW w:w="3261" w:type="dxa"/>
            <w:vAlign w:val="center"/>
          </w:tcPr>
          <w:p w14:paraId="3DD909A5" w14:textId="77777777" w:rsidR="003428F7" w:rsidRPr="005051FF" w:rsidRDefault="003428F7" w:rsidP="000E018D">
            <w:pPr>
              <w:jc w:val="center"/>
              <w:cnfStyle w:val="000000000000" w:firstRow="0" w:lastRow="0" w:firstColumn="0" w:lastColumn="0" w:oddVBand="0" w:evenVBand="0" w:oddHBand="0" w:evenHBand="0" w:firstRowFirstColumn="0" w:firstRowLastColumn="0" w:lastRowFirstColumn="0" w:lastRowLastColumn="0"/>
              <w:rPr>
                <w:rFonts w:ascii="Palatino Linotype" w:hAnsi="Palatino Linotype" w:cs="Calibri"/>
                <w:sz w:val="18"/>
                <w:szCs w:val="18"/>
                <w:shd w:val="clear" w:color="auto" w:fill="FFFFFF"/>
              </w:rPr>
            </w:pPr>
            <w:r w:rsidRPr="005051FF">
              <w:rPr>
                <w:rFonts w:ascii="Palatino Linotype" w:hAnsi="Palatino Linotype" w:cs="Calibri"/>
                <w:sz w:val="18"/>
                <w:szCs w:val="18"/>
                <w:shd w:val="clear" w:color="auto" w:fill="FFFFFF"/>
              </w:rPr>
              <w:t>Pancreatic, ovarian, and prostate cancer</w:t>
            </w:r>
          </w:p>
        </w:tc>
      </w:tr>
      <w:tr w:rsidR="003428F7" w:rsidRPr="007C363A" w14:paraId="144959D8" w14:textId="77777777" w:rsidTr="0016423F">
        <w:tc>
          <w:tcPr>
            <w:cnfStyle w:val="001000000000" w:firstRow="0" w:lastRow="0" w:firstColumn="1" w:lastColumn="0" w:oddVBand="0" w:evenVBand="0" w:oddHBand="0" w:evenHBand="0" w:firstRowFirstColumn="0" w:firstRowLastColumn="0" w:lastRowFirstColumn="0" w:lastRowLastColumn="0"/>
            <w:tcW w:w="990" w:type="dxa"/>
            <w:vAlign w:val="center"/>
          </w:tcPr>
          <w:p w14:paraId="68FC2661" w14:textId="77777777" w:rsidR="003428F7" w:rsidRPr="005051FF" w:rsidRDefault="003428F7" w:rsidP="000E018D">
            <w:pPr>
              <w:jc w:val="center"/>
              <w:rPr>
                <w:rFonts w:ascii="Palatino Linotype" w:hAnsi="Palatino Linotype" w:cs="Calibri"/>
                <w:b w:val="0"/>
                <w:bCs w:val="0"/>
                <w:i/>
                <w:iCs/>
                <w:sz w:val="18"/>
                <w:szCs w:val="18"/>
                <w:shd w:val="clear" w:color="auto" w:fill="FFFFFF"/>
                <w:lang w:val="en-GB"/>
              </w:rPr>
            </w:pPr>
            <w:r w:rsidRPr="005051FF">
              <w:rPr>
                <w:rFonts w:ascii="Palatino Linotype" w:hAnsi="Palatino Linotype" w:cs="Calibri"/>
                <w:b w:val="0"/>
                <w:bCs w:val="0"/>
                <w:i/>
                <w:iCs/>
                <w:sz w:val="18"/>
                <w:szCs w:val="18"/>
                <w:shd w:val="clear" w:color="auto" w:fill="FFFFFF"/>
                <w:lang w:val="en-GB"/>
              </w:rPr>
              <w:t>IDH1/2</w:t>
            </w:r>
          </w:p>
        </w:tc>
        <w:tc>
          <w:tcPr>
            <w:tcW w:w="1695" w:type="dxa"/>
            <w:vAlign w:val="center"/>
          </w:tcPr>
          <w:p w14:paraId="2C59344D" w14:textId="77777777" w:rsidR="003428F7" w:rsidRPr="005051FF" w:rsidRDefault="003428F7" w:rsidP="000E018D">
            <w:pPr>
              <w:jc w:val="center"/>
              <w:cnfStyle w:val="000000000000" w:firstRow="0" w:lastRow="0" w:firstColumn="0" w:lastColumn="0" w:oddVBand="0" w:evenVBand="0" w:oddHBand="0" w:evenHBand="0" w:firstRowFirstColumn="0" w:firstRowLastColumn="0" w:lastRowFirstColumn="0" w:lastRowLastColumn="0"/>
              <w:rPr>
                <w:rFonts w:ascii="Palatino Linotype" w:hAnsi="Palatino Linotype" w:cs="Calibri"/>
                <w:sz w:val="18"/>
                <w:szCs w:val="18"/>
                <w:shd w:val="clear" w:color="auto" w:fill="FFFFFF"/>
                <w:lang w:val="en-GB"/>
              </w:rPr>
            </w:pPr>
            <w:r w:rsidRPr="005051FF">
              <w:rPr>
                <w:rFonts w:ascii="Palatino Linotype" w:hAnsi="Palatino Linotype" w:cs="Calibri"/>
                <w:sz w:val="18"/>
                <w:szCs w:val="18"/>
                <w:shd w:val="clear" w:color="auto" w:fill="FFFFFF"/>
                <w:lang w:val="en-GB"/>
              </w:rPr>
              <w:t>Gain of function mutation</w:t>
            </w:r>
          </w:p>
        </w:tc>
        <w:tc>
          <w:tcPr>
            <w:tcW w:w="2980" w:type="dxa"/>
            <w:vAlign w:val="center"/>
          </w:tcPr>
          <w:p w14:paraId="75383860" w14:textId="77777777" w:rsidR="003428F7" w:rsidRPr="005051FF" w:rsidRDefault="003428F7" w:rsidP="000E018D">
            <w:pPr>
              <w:jc w:val="center"/>
              <w:cnfStyle w:val="000000000000" w:firstRow="0" w:lastRow="0" w:firstColumn="0" w:lastColumn="0" w:oddVBand="0" w:evenVBand="0" w:oddHBand="0" w:evenHBand="0" w:firstRowFirstColumn="0" w:firstRowLastColumn="0" w:lastRowFirstColumn="0" w:lastRowLastColumn="0"/>
              <w:rPr>
                <w:rFonts w:ascii="Palatino Linotype" w:hAnsi="Palatino Linotype" w:cs="Calibri"/>
                <w:sz w:val="18"/>
                <w:szCs w:val="18"/>
                <w:shd w:val="clear" w:color="auto" w:fill="FFFFFF"/>
                <w:lang w:val="en-GB"/>
              </w:rPr>
            </w:pPr>
            <w:r w:rsidRPr="005051FF">
              <w:rPr>
                <w:rFonts w:ascii="Palatino Linotype" w:hAnsi="Palatino Linotype" w:cs="Calibri"/>
                <w:sz w:val="18"/>
                <w:szCs w:val="18"/>
                <w:shd w:val="clear" w:color="auto" w:fill="FFFFFF"/>
                <w:lang w:val="en-GB"/>
              </w:rPr>
              <w:t>Production of oncometabolite</w:t>
            </w:r>
          </w:p>
          <w:p w14:paraId="08D7A2E1" w14:textId="77777777" w:rsidR="003428F7" w:rsidRPr="005051FF" w:rsidRDefault="003428F7" w:rsidP="000E018D">
            <w:pPr>
              <w:jc w:val="center"/>
              <w:cnfStyle w:val="000000000000" w:firstRow="0" w:lastRow="0" w:firstColumn="0" w:lastColumn="0" w:oddVBand="0" w:evenVBand="0" w:oddHBand="0" w:evenHBand="0" w:firstRowFirstColumn="0" w:firstRowLastColumn="0" w:lastRowFirstColumn="0" w:lastRowLastColumn="0"/>
              <w:rPr>
                <w:rFonts w:ascii="Palatino Linotype" w:hAnsi="Palatino Linotype" w:cs="Calibri"/>
                <w:sz w:val="18"/>
                <w:szCs w:val="18"/>
                <w:shd w:val="clear" w:color="auto" w:fill="FFFFFF"/>
                <w:lang w:val="en-GB"/>
              </w:rPr>
            </w:pPr>
            <w:r w:rsidRPr="005051FF">
              <w:rPr>
                <w:rFonts w:ascii="Palatino Linotype" w:hAnsi="Palatino Linotype" w:cs="Calibri"/>
                <w:sz w:val="18"/>
                <w:szCs w:val="18"/>
                <w:shd w:val="clear" w:color="auto" w:fill="FFFFFF"/>
                <w:lang w:val="en-GB"/>
              </w:rPr>
              <w:t xml:space="preserve">D-2HG from </w:t>
            </w:r>
            <w:r w:rsidRPr="005051FF">
              <w:rPr>
                <w:rFonts w:ascii="Palatino Linotype" w:hAnsi="Palatino Linotype" w:cs="Calibri"/>
                <w:sz w:val="18"/>
                <w:szCs w:val="18"/>
                <w:shd w:val="clear" w:color="auto" w:fill="FFFFFF"/>
              </w:rPr>
              <w:t>α</w:t>
            </w:r>
            <w:r w:rsidRPr="005051FF">
              <w:rPr>
                <w:rFonts w:ascii="Palatino Linotype" w:hAnsi="Palatino Linotype" w:cs="Calibri"/>
                <w:sz w:val="18"/>
                <w:szCs w:val="18"/>
                <w:shd w:val="clear" w:color="auto" w:fill="FFFFFF"/>
                <w:lang w:val="en-GB"/>
              </w:rPr>
              <w:t>-KG</w:t>
            </w:r>
          </w:p>
          <w:p w14:paraId="539049B5" w14:textId="77777777" w:rsidR="003428F7" w:rsidRPr="005051FF" w:rsidRDefault="003428F7" w:rsidP="000E018D">
            <w:pPr>
              <w:jc w:val="center"/>
              <w:cnfStyle w:val="000000000000" w:firstRow="0" w:lastRow="0" w:firstColumn="0" w:lastColumn="0" w:oddVBand="0" w:evenVBand="0" w:oddHBand="0" w:evenHBand="0" w:firstRowFirstColumn="0" w:firstRowLastColumn="0" w:lastRowFirstColumn="0" w:lastRowLastColumn="0"/>
              <w:rPr>
                <w:rFonts w:ascii="Palatino Linotype" w:hAnsi="Palatino Linotype" w:cs="Calibri"/>
                <w:sz w:val="18"/>
                <w:szCs w:val="18"/>
                <w:shd w:val="clear" w:color="auto" w:fill="FFFFFF"/>
                <w:lang w:val="en-GB"/>
              </w:rPr>
            </w:pPr>
            <w:r w:rsidRPr="005051FF">
              <w:rPr>
                <w:rFonts w:ascii="Calibri" w:hAnsi="Calibri" w:cs="Calibri"/>
                <w:sz w:val="18"/>
                <w:szCs w:val="18"/>
                <w:shd w:val="clear" w:color="auto" w:fill="FFFFFF"/>
              </w:rPr>
              <w:t>﻿</w:t>
            </w:r>
            <w:r w:rsidRPr="005051FF">
              <w:rPr>
                <w:rFonts w:ascii="Palatino Linotype" w:hAnsi="Palatino Linotype" w:cs="Calibri"/>
                <w:sz w:val="18"/>
                <w:szCs w:val="18"/>
                <w:shd w:val="clear" w:color="auto" w:fill="FFFFFF"/>
                <w:lang w:val="en-GB"/>
              </w:rPr>
              <w:t>Increased affinity for NADPH/</w:t>
            </w:r>
            <w:r w:rsidRPr="004D1267">
              <w:rPr>
                <w:rFonts w:ascii="Palatino Linotype" w:hAnsi="Palatino Linotype" w:cs="Calibri"/>
                <w:sz w:val="18"/>
                <w:szCs w:val="18"/>
                <w:shd w:val="clear" w:color="auto" w:fill="FFFFFF"/>
              </w:rPr>
              <w:t>α</w:t>
            </w:r>
            <w:r w:rsidRPr="004D1267">
              <w:rPr>
                <w:rFonts w:ascii="Palatino Linotype" w:hAnsi="Palatino Linotype" w:cs="Calibri"/>
                <w:sz w:val="18"/>
                <w:szCs w:val="18"/>
                <w:shd w:val="clear" w:color="auto" w:fill="FFFFFF"/>
                <w:lang w:val="en-GB"/>
              </w:rPr>
              <w:t>-</w:t>
            </w:r>
            <w:r w:rsidRPr="005051FF">
              <w:rPr>
                <w:rFonts w:ascii="Palatino Linotype" w:hAnsi="Palatino Linotype" w:cs="Calibri"/>
                <w:sz w:val="18"/>
                <w:szCs w:val="18"/>
                <w:shd w:val="clear" w:color="auto" w:fill="FFFFFF"/>
                <w:lang w:val="en-GB"/>
              </w:rPr>
              <w:t>KG but reduced for isocitrate</w:t>
            </w:r>
          </w:p>
        </w:tc>
        <w:tc>
          <w:tcPr>
            <w:tcW w:w="3261" w:type="dxa"/>
            <w:vAlign w:val="center"/>
          </w:tcPr>
          <w:p w14:paraId="616898E4" w14:textId="0BD04345" w:rsidR="003428F7" w:rsidRPr="005051FF" w:rsidRDefault="003428F7" w:rsidP="000E018D">
            <w:pPr>
              <w:jc w:val="center"/>
              <w:cnfStyle w:val="000000000000" w:firstRow="0" w:lastRow="0" w:firstColumn="0" w:lastColumn="0" w:oddVBand="0" w:evenVBand="0" w:oddHBand="0" w:evenHBand="0" w:firstRowFirstColumn="0" w:firstRowLastColumn="0" w:lastRowFirstColumn="0" w:lastRowLastColumn="0"/>
              <w:rPr>
                <w:rFonts w:ascii="Palatino Linotype" w:hAnsi="Palatino Linotype" w:cs="Calibri"/>
                <w:sz w:val="18"/>
                <w:szCs w:val="18"/>
                <w:shd w:val="clear" w:color="auto" w:fill="FFFFFF"/>
                <w:lang w:val="en-GB"/>
              </w:rPr>
            </w:pPr>
            <w:r w:rsidRPr="005051FF">
              <w:rPr>
                <w:rFonts w:ascii="Palatino Linotype" w:hAnsi="Palatino Linotype" w:cs="Calibri"/>
                <w:sz w:val="18"/>
                <w:szCs w:val="18"/>
                <w:shd w:val="clear" w:color="auto" w:fill="FFFFFF"/>
                <w:lang w:val="en-GB"/>
              </w:rPr>
              <w:t>Glioma, glioblastoma, AML, B-ALL, angioimmunoblastic T-cell lymphoma, chondrosarcoma, intrahepatic cholangiocarcinoma, myelodysplastic syndromes, thyroid carcinoma, prostate carcinoma</w:t>
            </w:r>
          </w:p>
        </w:tc>
      </w:tr>
      <w:tr w:rsidR="003428F7" w:rsidRPr="007C363A" w14:paraId="13316745" w14:textId="77777777" w:rsidTr="0016423F">
        <w:tc>
          <w:tcPr>
            <w:cnfStyle w:val="001000000000" w:firstRow="0" w:lastRow="0" w:firstColumn="1" w:lastColumn="0" w:oddVBand="0" w:evenVBand="0" w:oddHBand="0" w:evenHBand="0" w:firstRowFirstColumn="0" w:firstRowLastColumn="0" w:lastRowFirstColumn="0" w:lastRowLastColumn="0"/>
            <w:tcW w:w="990" w:type="dxa"/>
            <w:vAlign w:val="center"/>
          </w:tcPr>
          <w:p w14:paraId="5D086BBD" w14:textId="77777777" w:rsidR="003428F7" w:rsidRPr="005051FF" w:rsidRDefault="003428F7" w:rsidP="000E018D">
            <w:pPr>
              <w:jc w:val="center"/>
              <w:rPr>
                <w:rFonts w:ascii="Palatino Linotype" w:hAnsi="Palatino Linotype" w:cs="Calibri"/>
                <w:b w:val="0"/>
                <w:bCs w:val="0"/>
                <w:i/>
                <w:iCs/>
                <w:sz w:val="18"/>
                <w:szCs w:val="18"/>
                <w:shd w:val="clear" w:color="auto" w:fill="FFFFFF"/>
                <w:lang w:val="en-GB"/>
              </w:rPr>
            </w:pPr>
            <w:r w:rsidRPr="005051FF">
              <w:rPr>
                <w:rFonts w:ascii="Palatino Linotype" w:hAnsi="Palatino Linotype" w:cs="Calibri"/>
                <w:b w:val="0"/>
                <w:bCs w:val="0"/>
                <w:i/>
                <w:iCs/>
                <w:sz w:val="18"/>
                <w:szCs w:val="18"/>
                <w:shd w:val="clear" w:color="auto" w:fill="FFFFFF"/>
                <w:lang w:val="en-GB"/>
              </w:rPr>
              <w:t>FH</w:t>
            </w:r>
          </w:p>
        </w:tc>
        <w:tc>
          <w:tcPr>
            <w:tcW w:w="1695" w:type="dxa"/>
            <w:vAlign w:val="center"/>
          </w:tcPr>
          <w:p w14:paraId="271A1B50" w14:textId="77777777" w:rsidR="003428F7" w:rsidRPr="005051FF" w:rsidRDefault="003428F7" w:rsidP="000E018D">
            <w:pPr>
              <w:jc w:val="center"/>
              <w:cnfStyle w:val="000000000000" w:firstRow="0" w:lastRow="0" w:firstColumn="0" w:lastColumn="0" w:oddVBand="0" w:evenVBand="0" w:oddHBand="0" w:evenHBand="0" w:firstRowFirstColumn="0" w:firstRowLastColumn="0" w:lastRowFirstColumn="0" w:lastRowLastColumn="0"/>
              <w:rPr>
                <w:rFonts w:ascii="Palatino Linotype" w:hAnsi="Palatino Linotype" w:cs="Calibri"/>
                <w:sz w:val="18"/>
                <w:szCs w:val="18"/>
                <w:shd w:val="clear" w:color="auto" w:fill="FFFFFF"/>
                <w:lang w:val="en-GB"/>
              </w:rPr>
            </w:pPr>
            <w:r w:rsidRPr="005051FF">
              <w:rPr>
                <w:rFonts w:ascii="Palatino Linotype" w:hAnsi="Palatino Linotype" w:cs="Calibri"/>
                <w:sz w:val="18"/>
                <w:szCs w:val="18"/>
                <w:shd w:val="clear" w:color="auto" w:fill="FFFFFF"/>
                <w:lang w:val="en-GB"/>
              </w:rPr>
              <w:t>Loss of function mutation or downregulation</w:t>
            </w:r>
          </w:p>
        </w:tc>
        <w:tc>
          <w:tcPr>
            <w:tcW w:w="2980" w:type="dxa"/>
            <w:vAlign w:val="center"/>
          </w:tcPr>
          <w:p w14:paraId="2F9683E3" w14:textId="77777777" w:rsidR="003428F7" w:rsidRPr="005051FF" w:rsidRDefault="003428F7" w:rsidP="000E018D">
            <w:pPr>
              <w:jc w:val="center"/>
              <w:cnfStyle w:val="000000000000" w:firstRow="0" w:lastRow="0" w:firstColumn="0" w:lastColumn="0" w:oddVBand="0" w:evenVBand="0" w:oddHBand="0" w:evenHBand="0" w:firstRowFirstColumn="0" w:firstRowLastColumn="0" w:lastRowFirstColumn="0" w:lastRowLastColumn="0"/>
              <w:rPr>
                <w:rFonts w:ascii="Palatino Linotype" w:hAnsi="Palatino Linotype" w:cs="Calibri"/>
                <w:sz w:val="18"/>
                <w:szCs w:val="18"/>
                <w:shd w:val="clear" w:color="auto" w:fill="FFFFFF"/>
                <w:lang w:val="en-GB"/>
              </w:rPr>
            </w:pPr>
            <w:r w:rsidRPr="005051FF">
              <w:rPr>
                <w:rFonts w:ascii="Palatino Linotype" w:hAnsi="Palatino Linotype" w:cs="Calibri"/>
                <w:sz w:val="18"/>
                <w:szCs w:val="18"/>
                <w:shd w:val="clear" w:color="auto" w:fill="FFFFFF"/>
                <w:lang w:val="en-GB"/>
              </w:rPr>
              <w:t>Abnormal accumulation of fumarate</w:t>
            </w:r>
          </w:p>
          <w:p w14:paraId="3C4E5B4E" w14:textId="77777777" w:rsidR="003428F7" w:rsidRPr="005051FF" w:rsidRDefault="003428F7" w:rsidP="000E018D">
            <w:pPr>
              <w:jc w:val="center"/>
              <w:cnfStyle w:val="000000000000" w:firstRow="0" w:lastRow="0" w:firstColumn="0" w:lastColumn="0" w:oddVBand="0" w:evenVBand="0" w:oddHBand="0" w:evenHBand="0" w:firstRowFirstColumn="0" w:firstRowLastColumn="0" w:lastRowFirstColumn="0" w:lastRowLastColumn="0"/>
              <w:rPr>
                <w:rFonts w:ascii="Palatino Linotype" w:hAnsi="Palatino Linotype" w:cs="Calibri"/>
                <w:sz w:val="18"/>
                <w:szCs w:val="18"/>
                <w:shd w:val="clear" w:color="auto" w:fill="FFFFFF"/>
                <w:lang w:val="en-GB"/>
              </w:rPr>
            </w:pPr>
            <w:r w:rsidRPr="005051FF">
              <w:rPr>
                <w:rFonts w:ascii="Palatino Linotype" w:hAnsi="Palatino Linotype" w:cs="Calibri"/>
                <w:sz w:val="18"/>
                <w:szCs w:val="18"/>
                <w:shd w:val="clear" w:color="auto" w:fill="FFFFFF"/>
                <w:lang w:val="en-GB"/>
              </w:rPr>
              <w:t>Stabilization of HIF1α</w:t>
            </w:r>
          </w:p>
          <w:p w14:paraId="25118FE3" w14:textId="77777777" w:rsidR="003428F7" w:rsidRPr="005051FF" w:rsidRDefault="003428F7" w:rsidP="000E018D">
            <w:pPr>
              <w:jc w:val="center"/>
              <w:cnfStyle w:val="000000000000" w:firstRow="0" w:lastRow="0" w:firstColumn="0" w:lastColumn="0" w:oddVBand="0" w:evenVBand="0" w:oddHBand="0" w:evenHBand="0" w:firstRowFirstColumn="0" w:firstRowLastColumn="0" w:lastRowFirstColumn="0" w:lastRowLastColumn="0"/>
              <w:rPr>
                <w:rFonts w:ascii="Palatino Linotype" w:hAnsi="Palatino Linotype" w:cs="Calibri"/>
                <w:sz w:val="18"/>
                <w:szCs w:val="18"/>
                <w:shd w:val="clear" w:color="auto" w:fill="FFFFFF"/>
                <w:lang w:val="en-GB"/>
              </w:rPr>
            </w:pPr>
            <w:r w:rsidRPr="005051FF">
              <w:rPr>
                <w:rFonts w:ascii="Palatino Linotype" w:hAnsi="Palatino Linotype" w:cs="Calibri"/>
                <w:sz w:val="18"/>
                <w:szCs w:val="18"/>
                <w:shd w:val="clear" w:color="auto" w:fill="FFFFFF"/>
                <w:lang w:val="en-GB"/>
              </w:rPr>
              <w:t xml:space="preserve">Glutamine used for </w:t>
            </w:r>
            <w:proofErr w:type="spellStart"/>
            <w:r w:rsidRPr="005051FF">
              <w:rPr>
                <w:rFonts w:ascii="Palatino Linotype" w:hAnsi="Palatino Linotype" w:cs="Calibri"/>
                <w:sz w:val="18"/>
                <w:szCs w:val="18"/>
                <w:shd w:val="clear" w:color="auto" w:fill="FFFFFF"/>
                <w:lang w:val="en-GB"/>
              </w:rPr>
              <w:t>heme</w:t>
            </w:r>
            <w:proofErr w:type="spellEnd"/>
            <w:r w:rsidRPr="005051FF">
              <w:rPr>
                <w:rFonts w:ascii="Palatino Linotype" w:hAnsi="Palatino Linotype" w:cs="Calibri"/>
                <w:sz w:val="18"/>
                <w:szCs w:val="18"/>
                <w:shd w:val="clear" w:color="auto" w:fill="FFFFFF"/>
                <w:lang w:val="en-GB"/>
              </w:rPr>
              <w:t xml:space="preserve"> synthesis and </w:t>
            </w:r>
            <w:proofErr w:type="spellStart"/>
            <w:r w:rsidRPr="005051FF">
              <w:rPr>
                <w:rFonts w:ascii="Palatino Linotype" w:hAnsi="Palatino Linotype" w:cs="Calibri"/>
                <w:sz w:val="18"/>
                <w:szCs w:val="18"/>
                <w:shd w:val="clear" w:color="auto" w:fill="FFFFFF"/>
                <w:lang w:val="en-GB"/>
              </w:rPr>
              <w:t>and</w:t>
            </w:r>
            <w:proofErr w:type="spellEnd"/>
            <w:r w:rsidRPr="005051FF">
              <w:rPr>
                <w:rFonts w:ascii="Palatino Linotype" w:hAnsi="Palatino Linotype" w:cs="Calibri"/>
                <w:sz w:val="18"/>
                <w:szCs w:val="18"/>
                <w:shd w:val="clear" w:color="auto" w:fill="FFFFFF"/>
                <w:lang w:val="en-GB"/>
              </w:rPr>
              <w:t xml:space="preserve"> as a main fuel</w:t>
            </w:r>
          </w:p>
        </w:tc>
        <w:tc>
          <w:tcPr>
            <w:tcW w:w="3261" w:type="dxa"/>
            <w:vAlign w:val="center"/>
          </w:tcPr>
          <w:p w14:paraId="2DC9B50F" w14:textId="2B1C71A9" w:rsidR="003428F7" w:rsidRPr="005051FF" w:rsidRDefault="003428F7" w:rsidP="000E018D">
            <w:pPr>
              <w:jc w:val="center"/>
              <w:cnfStyle w:val="000000000000" w:firstRow="0" w:lastRow="0" w:firstColumn="0" w:lastColumn="0" w:oddVBand="0" w:evenVBand="0" w:oddHBand="0" w:evenHBand="0" w:firstRowFirstColumn="0" w:firstRowLastColumn="0" w:lastRowFirstColumn="0" w:lastRowLastColumn="0"/>
              <w:rPr>
                <w:rFonts w:ascii="Palatino Linotype" w:hAnsi="Palatino Linotype" w:cs="Calibri"/>
                <w:sz w:val="18"/>
                <w:szCs w:val="18"/>
                <w:shd w:val="clear" w:color="auto" w:fill="FFFFFF"/>
                <w:lang w:val="en-GB"/>
              </w:rPr>
            </w:pPr>
            <w:r w:rsidRPr="005051FF">
              <w:rPr>
                <w:rFonts w:ascii="Palatino Linotype" w:hAnsi="Palatino Linotype" w:cs="Calibri"/>
                <w:sz w:val="18"/>
                <w:szCs w:val="18"/>
                <w:shd w:val="clear" w:color="auto" w:fill="FFFFFF"/>
                <w:lang w:val="en-GB"/>
              </w:rPr>
              <w:t>Pheochromocytoma, paraganglioma, neuroblastoma,</w:t>
            </w:r>
          </w:p>
          <w:p w14:paraId="12508857" w14:textId="27F45324" w:rsidR="003428F7" w:rsidRPr="005051FF" w:rsidRDefault="003428F7" w:rsidP="000E018D">
            <w:pPr>
              <w:jc w:val="center"/>
              <w:cnfStyle w:val="000000000000" w:firstRow="0" w:lastRow="0" w:firstColumn="0" w:lastColumn="0" w:oddVBand="0" w:evenVBand="0" w:oddHBand="0" w:evenHBand="0" w:firstRowFirstColumn="0" w:firstRowLastColumn="0" w:lastRowFirstColumn="0" w:lastRowLastColumn="0"/>
              <w:rPr>
                <w:rFonts w:ascii="Palatino Linotype" w:hAnsi="Palatino Linotype" w:cs="Calibri"/>
                <w:sz w:val="18"/>
                <w:szCs w:val="18"/>
                <w:u w:val="single"/>
                <w:shd w:val="clear" w:color="auto" w:fill="FFFFFF"/>
                <w:lang w:val="en-GB"/>
              </w:rPr>
            </w:pPr>
            <w:r w:rsidRPr="005051FF">
              <w:rPr>
                <w:rFonts w:ascii="Palatino Linotype" w:hAnsi="Palatino Linotype" w:cs="Calibri"/>
                <w:sz w:val="18"/>
                <w:szCs w:val="18"/>
                <w:shd w:val="clear" w:color="auto" w:fill="FFFFFF"/>
                <w:lang w:val="en-GB"/>
              </w:rPr>
              <w:t>renal cell cancer, type 2 papillary renal</w:t>
            </w:r>
            <w:r w:rsidR="004D1267">
              <w:rPr>
                <w:rFonts w:ascii="Palatino Linotype" w:hAnsi="Palatino Linotype" w:cs="Calibri"/>
                <w:sz w:val="18"/>
                <w:szCs w:val="18"/>
                <w:shd w:val="clear" w:color="auto" w:fill="FFFFFF"/>
                <w:lang w:val="en-GB"/>
              </w:rPr>
              <w:t xml:space="preserve"> </w:t>
            </w:r>
            <w:r w:rsidRPr="005051FF">
              <w:rPr>
                <w:rFonts w:ascii="Palatino Linotype" w:hAnsi="Palatino Linotype" w:cs="Calibri"/>
                <w:sz w:val="18"/>
                <w:szCs w:val="18"/>
                <w:shd w:val="clear" w:color="auto" w:fill="FFFFFF"/>
                <w:lang w:val="en-GB"/>
              </w:rPr>
              <w:t xml:space="preserve">cell carcinoma, multiple and hereditary </w:t>
            </w:r>
            <w:proofErr w:type="spellStart"/>
            <w:r w:rsidRPr="005051FF">
              <w:rPr>
                <w:rFonts w:ascii="Palatino Linotype" w:hAnsi="Palatino Linotype" w:cs="Calibri"/>
                <w:sz w:val="18"/>
                <w:szCs w:val="18"/>
                <w:shd w:val="clear" w:color="auto" w:fill="FFFFFF"/>
                <w:lang w:val="en-GB"/>
              </w:rPr>
              <w:t>leiomyomatosis</w:t>
            </w:r>
            <w:proofErr w:type="spellEnd"/>
            <w:r w:rsidRPr="005051FF">
              <w:rPr>
                <w:rFonts w:ascii="Palatino Linotype" w:hAnsi="Palatino Linotype" w:cs="Calibri"/>
                <w:sz w:val="18"/>
                <w:szCs w:val="18"/>
                <w:shd w:val="clear" w:color="auto" w:fill="FFFFFF"/>
                <w:lang w:val="en-GB"/>
              </w:rPr>
              <w:t xml:space="preserve">, </w:t>
            </w:r>
            <w:r w:rsidRPr="005051FF">
              <w:rPr>
                <w:rFonts w:ascii="Calibri" w:hAnsi="Calibri" w:cs="Calibri"/>
                <w:sz w:val="18"/>
                <w:szCs w:val="18"/>
                <w:shd w:val="clear" w:color="auto" w:fill="FFFFFF"/>
                <w:lang w:val="en-GB"/>
              </w:rPr>
              <w:t>﻿</w:t>
            </w:r>
            <w:r w:rsidRPr="005051FF">
              <w:rPr>
                <w:rFonts w:ascii="Palatino Linotype" w:hAnsi="Palatino Linotype" w:cs="Calibri"/>
                <w:sz w:val="18"/>
                <w:szCs w:val="18"/>
                <w:shd w:val="clear" w:color="auto" w:fill="FFFFFF"/>
                <w:lang w:val="en-GB"/>
              </w:rPr>
              <w:t xml:space="preserve">Leydig cell </w:t>
            </w:r>
            <w:proofErr w:type="spellStart"/>
            <w:r w:rsidRPr="005051FF">
              <w:rPr>
                <w:rFonts w:ascii="Palatino Linotype" w:hAnsi="Palatino Linotype" w:cs="Calibri"/>
                <w:sz w:val="18"/>
                <w:szCs w:val="18"/>
                <w:shd w:val="clear" w:color="auto" w:fill="FFFFFF"/>
                <w:lang w:val="en-GB"/>
              </w:rPr>
              <w:t>tumor</w:t>
            </w:r>
            <w:proofErr w:type="spellEnd"/>
            <w:r w:rsidRPr="005051FF">
              <w:rPr>
                <w:rFonts w:ascii="Palatino Linotype" w:hAnsi="Palatino Linotype" w:cs="Calibri"/>
                <w:sz w:val="18"/>
                <w:szCs w:val="18"/>
                <w:shd w:val="clear" w:color="auto" w:fill="FFFFFF"/>
                <w:lang w:val="en-GB"/>
              </w:rPr>
              <w:t xml:space="preserve">, </w:t>
            </w:r>
            <w:r w:rsidRPr="005051FF">
              <w:rPr>
                <w:rFonts w:ascii="Calibri" w:hAnsi="Calibri" w:cs="Calibri"/>
                <w:sz w:val="18"/>
                <w:szCs w:val="18"/>
                <w:shd w:val="clear" w:color="auto" w:fill="FFFFFF"/>
                <w:lang w:val="en-GB"/>
              </w:rPr>
              <w:t>﻿</w:t>
            </w:r>
            <w:r w:rsidR="005F6F5C">
              <w:rPr>
                <w:rFonts w:ascii="Palatino Linotype" w:hAnsi="Palatino Linotype" w:cs="Calibri"/>
                <w:sz w:val="18"/>
                <w:szCs w:val="18"/>
                <w:shd w:val="clear" w:color="auto" w:fill="FFFFFF"/>
                <w:lang w:val="en-GB"/>
              </w:rPr>
              <w:t>o</w:t>
            </w:r>
            <w:r w:rsidRPr="005051FF">
              <w:rPr>
                <w:rFonts w:ascii="Palatino Linotype" w:hAnsi="Palatino Linotype" w:cs="Calibri"/>
                <w:sz w:val="18"/>
                <w:szCs w:val="18"/>
                <w:shd w:val="clear" w:color="auto" w:fill="FFFFFF"/>
                <w:lang w:val="en-GB"/>
              </w:rPr>
              <w:t>varian mucinous cystadenoma</w:t>
            </w:r>
          </w:p>
        </w:tc>
      </w:tr>
      <w:tr w:rsidR="003428F7" w:rsidRPr="007C363A" w14:paraId="1E3CE63D" w14:textId="77777777" w:rsidTr="0016423F">
        <w:tc>
          <w:tcPr>
            <w:cnfStyle w:val="001000000000" w:firstRow="0" w:lastRow="0" w:firstColumn="1" w:lastColumn="0" w:oddVBand="0" w:evenVBand="0" w:oddHBand="0" w:evenHBand="0" w:firstRowFirstColumn="0" w:firstRowLastColumn="0" w:lastRowFirstColumn="0" w:lastRowLastColumn="0"/>
            <w:tcW w:w="990" w:type="dxa"/>
            <w:vAlign w:val="center"/>
          </w:tcPr>
          <w:p w14:paraId="69537A7C" w14:textId="77777777" w:rsidR="003428F7" w:rsidRPr="005051FF" w:rsidRDefault="003428F7" w:rsidP="000E018D">
            <w:pPr>
              <w:jc w:val="center"/>
              <w:rPr>
                <w:rFonts w:ascii="Palatino Linotype" w:hAnsi="Palatino Linotype" w:cs="Calibri"/>
                <w:b w:val="0"/>
                <w:bCs w:val="0"/>
                <w:i/>
                <w:iCs/>
                <w:sz w:val="18"/>
                <w:szCs w:val="18"/>
                <w:shd w:val="clear" w:color="auto" w:fill="FFFFFF"/>
                <w:lang w:val="en-GB"/>
              </w:rPr>
            </w:pPr>
            <w:r w:rsidRPr="005051FF">
              <w:rPr>
                <w:rFonts w:ascii="Palatino Linotype" w:hAnsi="Palatino Linotype" w:cs="Calibri"/>
                <w:b w:val="0"/>
                <w:bCs w:val="0"/>
                <w:i/>
                <w:iCs/>
                <w:sz w:val="18"/>
                <w:szCs w:val="18"/>
                <w:shd w:val="clear" w:color="auto" w:fill="FFFFFF"/>
                <w:lang w:val="en-GB"/>
              </w:rPr>
              <w:t>SDH</w:t>
            </w:r>
          </w:p>
        </w:tc>
        <w:tc>
          <w:tcPr>
            <w:tcW w:w="1695" w:type="dxa"/>
            <w:vAlign w:val="center"/>
          </w:tcPr>
          <w:p w14:paraId="428EDEA2" w14:textId="77777777" w:rsidR="003428F7" w:rsidRPr="005051FF" w:rsidRDefault="003428F7" w:rsidP="000E018D">
            <w:pPr>
              <w:jc w:val="center"/>
              <w:cnfStyle w:val="000000000000" w:firstRow="0" w:lastRow="0" w:firstColumn="0" w:lastColumn="0" w:oddVBand="0" w:evenVBand="0" w:oddHBand="0" w:evenHBand="0" w:firstRowFirstColumn="0" w:firstRowLastColumn="0" w:lastRowFirstColumn="0" w:lastRowLastColumn="0"/>
              <w:rPr>
                <w:rFonts w:ascii="Palatino Linotype" w:hAnsi="Palatino Linotype" w:cs="Calibri"/>
                <w:sz w:val="18"/>
                <w:szCs w:val="18"/>
                <w:shd w:val="clear" w:color="auto" w:fill="FFFFFF"/>
                <w:lang w:val="en-GB"/>
              </w:rPr>
            </w:pPr>
            <w:r w:rsidRPr="005051FF">
              <w:rPr>
                <w:rFonts w:ascii="Palatino Linotype" w:hAnsi="Palatino Linotype" w:cs="Calibri"/>
                <w:sz w:val="18"/>
                <w:szCs w:val="18"/>
                <w:shd w:val="clear" w:color="auto" w:fill="FFFFFF"/>
                <w:lang w:val="en-GB"/>
              </w:rPr>
              <w:t>Loss of function mutation or downregulation</w:t>
            </w:r>
          </w:p>
        </w:tc>
        <w:tc>
          <w:tcPr>
            <w:tcW w:w="2980" w:type="dxa"/>
            <w:vAlign w:val="center"/>
          </w:tcPr>
          <w:p w14:paraId="7DFFC2CA" w14:textId="77777777" w:rsidR="003428F7" w:rsidRPr="005051FF" w:rsidRDefault="003428F7" w:rsidP="000E018D">
            <w:pPr>
              <w:jc w:val="center"/>
              <w:cnfStyle w:val="000000000000" w:firstRow="0" w:lastRow="0" w:firstColumn="0" w:lastColumn="0" w:oddVBand="0" w:evenVBand="0" w:oddHBand="0" w:evenHBand="0" w:firstRowFirstColumn="0" w:firstRowLastColumn="0" w:lastRowFirstColumn="0" w:lastRowLastColumn="0"/>
              <w:rPr>
                <w:rFonts w:ascii="Palatino Linotype" w:hAnsi="Palatino Linotype" w:cs="Calibri"/>
                <w:sz w:val="18"/>
                <w:szCs w:val="18"/>
                <w:shd w:val="clear" w:color="auto" w:fill="FFFFFF"/>
                <w:lang w:val="en-GB"/>
              </w:rPr>
            </w:pPr>
            <w:r w:rsidRPr="005051FF">
              <w:rPr>
                <w:rFonts w:ascii="Palatino Linotype" w:hAnsi="Palatino Linotype" w:cs="Calibri"/>
                <w:sz w:val="18"/>
                <w:szCs w:val="18"/>
                <w:shd w:val="clear" w:color="auto" w:fill="FFFFFF"/>
                <w:lang w:val="en-GB"/>
              </w:rPr>
              <w:t>Abnormal accumulation of succinate.</w:t>
            </w:r>
          </w:p>
          <w:p w14:paraId="57E0CCB2" w14:textId="77777777" w:rsidR="003428F7" w:rsidRPr="005051FF" w:rsidRDefault="003428F7" w:rsidP="000E018D">
            <w:pPr>
              <w:jc w:val="center"/>
              <w:cnfStyle w:val="000000000000" w:firstRow="0" w:lastRow="0" w:firstColumn="0" w:lastColumn="0" w:oddVBand="0" w:evenVBand="0" w:oddHBand="0" w:evenHBand="0" w:firstRowFirstColumn="0" w:firstRowLastColumn="0" w:lastRowFirstColumn="0" w:lastRowLastColumn="0"/>
              <w:rPr>
                <w:rFonts w:ascii="Palatino Linotype" w:hAnsi="Palatino Linotype" w:cs="Calibri"/>
                <w:sz w:val="18"/>
                <w:szCs w:val="18"/>
                <w:shd w:val="clear" w:color="auto" w:fill="FFFFFF"/>
                <w:lang w:val="en-GB"/>
              </w:rPr>
            </w:pPr>
            <w:r w:rsidRPr="005051FF">
              <w:rPr>
                <w:rFonts w:ascii="Palatino Linotype" w:hAnsi="Palatino Linotype" w:cs="Calibri"/>
                <w:sz w:val="18"/>
                <w:szCs w:val="18"/>
                <w:shd w:val="clear" w:color="auto" w:fill="FFFFFF"/>
                <w:lang w:val="en-GB"/>
              </w:rPr>
              <w:t>Stabilization of HIF1α</w:t>
            </w:r>
          </w:p>
          <w:p w14:paraId="6619B8AE" w14:textId="77777777" w:rsidR="003428F7" w:rsidRPr="005051FF" w:rsidRDefault="003428F7" w:rsidP="000E018D">
            <w:pPr>
              <w:jc w:val="center"/>
              <w:cnfStyle w:val="000000000000" w:firstRow="0" w:lastRow="0" w:firstColumn="0" w:lastColumn="0" w:oddVBand="0" w:evenVBand="0" w:oddHBand="0" w:evenHBand="0" w:firstRowFirstColumn="0" w:firstRowLastColumn="0" w:lastRowFirstColumn="0" w:lastRowLastColumn="0"/>
              <w:rPr>
                <w:rFonts w:ascii="Palatino Linotype" w:hAnsi="Palatino Linotype" w:cs="Calibri"/>
                <w:sz w:val="18"/>
                <w:szCs w:val="18"/>
                <w:shd w:val="clear" w:color="auto" w:fill="FFFFFF"/>
                <w:lang w:val="en-GB"/>
              </w:rPr>
            </w:pPr>
            <w:r w:rsidRPr="005051FF">
              <w:rPr>
                <w:rFonts w:ascii="Palatino Linotype" w:hAnsi="Palatino Linotype" w:cs="Calibri"/>
                <w:sz w:val="18"/>
                <w:szCs w:val="18"/>
                <w:shd w:val="clear" w:color="auto" w:fill="FFFFFF"/>
                <w:lang w:val="en-GB"/>
              </w:rPr>
              <w:t>Impairment of complex II</w:t>
            </w:r>
          </w:p>
        </w:tc>
        <w:tc>
          <w:tcPr>
            <w:tcW w:w="3261" w:type="dxa"/>
            <w:vAlign w:val="center"/>
          </w:tcPr>
          <w:p w14:paraId="3197D0CC" w14:textId="52D8DD46" w:rsidR="003428F7" w:rsidRPr="005051FF" w:rsidRDefault="003428F7" w:rsidP="000E018D">
            <w:pPr>
              <w:jc w:val="center"/>
              <w:cnfStyle w:val="000000000000" w:firstRow="0" w:lastRow="0" w:firstColumn="0" w:lastColumn="0" w:oddVBand="0" w:evenVBand="0" w:oddHBand="0" w:evenHBand="0" w:firstRowFirstColumn="0" w:firstRowLastColumn="0" w:lastRowFirstColumn="0" w:lastRowLastColumn="0"/>
              <w:rPr>
                <w:rFonts w:ascii="Palatino Linotype" w:hAnsi="Palatino Linotype" w:cs="Calibri"/>
                <w:sz w:val="18"/>
                <w:szCs w:val="18"/>
                <w:shd w:val="clear" w:color="auto" w:fill="FFFFFF"/>
              </w:rPr>
            </w:pPr>
            <w:r w:rsidRPr="005051FF">
              <w:rPr>
                <w:rFonts w:ascii="Palatino Linotype" w:hAnsi="Palatino Linotype" w:cs="Calibri"/>
                <w:sz w:val="18"/>
                <w:szCs w:val="18"/>
                <w:shd w:val="clear" w:color="auto" w:fill="FFFFFF"/>
              </w:rPr>
              <w:t xml:space="preserve">Pheochromocytoma, </w:t>
            </w:r>
            <w:r w:rsidRPr="005051FF">
              <w:rPr>
                <w:rFonts w:ascii="Palatino Linotype" w:hAnsi="Palatino Linotype" w:cs="Calibri"/>
                <w:color w:val="000000" w:themeColor="text1"/>
                <w:sz w:val="18"/>
                <w:szCs w:val="18"/>
                <w:shd w:val="clear" w:color="auto" w:fill="FFFFFF"/>
              </w:rPr>
              <w:t xml:space="preserve">paraganglioma, colorectal cancer, renal cell carcinoma, gastrointestinal </w:t>
            </w:r>
            <w:r w:rsidRPr="005051FF">
              <w:rPr>
                <w:rFonts w:ascii="Palatino Linotype" w:hAnsi="Palatino Linotype" w:cs="Calibri"/>
                <w:sz w:val="18"/>
                <w:szCs w:val="18"/>
                <w:shd w:val="clear" w:color="auto" w:fill="FFFFFF"/>
              </w:rPr>
              <w:t>stromal</w:t>
            </w:r>
            <w:r w:rsidR="004D1267">
              <w:rPr>
                <w:rFonts w:ascii="Palatino Linotype" w:hAnsi="Palatino Linotype" w:cs="Calibri"/>
                <w:sz w:val="18"/>
                <w:szCs w:val="18"/>
                <w:shd w:val="clear" w:color="auto" w:fill="FFFFFF"/>
              </w:rPr>
              <w:t xml:space="preserve"> </w:t>
            </w:r>
            <w:r w:rsidRPr="005051FF">
              <w:rPr>
                <w:rFonts w:ascii="Palatino Linotype" w:hAnsi="Palatino Linotype" w:cs="Calibri"/>
                <w:sz w:val="18"/>
                <w:szCs w:val="18"/>
                <w:shd w:val="clear" w:color="auto" w:fill="FFFFFF"/>
              </w:rPr>
              <w:t>tumor,</w:t>
            </w:r>
            <w:r w:rsidR="004D1267">
              <w:rPr>
                <w:rFonts w:ascii="Palatino Linotype" w:hAnsi="Palatino Linotype" w:cs="Calibri"/>
                <w:sz w:val="18"/>
                <w:szCs w:val="18"/>
                <w:shd w:val="clear" w:color="auto" w:fill="FFFFFF"/>
                <w:lang w:val="en-GB"/>
              </w:rPr>
              <w:t xml:space="preserve"> </w:t>
            </w:r>
            <w:r w:rsidRPr="005051FF">
              <w:rPr>
                <w:rFonts w:ascii="Palatino Linotype" w:hAnsi="Palatino Linotype" w:cs="Calibri"/>
                <w:sz w:val="18"/>
                <w:szCs w:val="18"/>
                <w:shd w:val="clear" w:color="auto" w:fill="FFFFFF"/>
                <w:lang w:val="en-GB"/>
              </w:rPr>
              <w:t>pituitary carcinoma, T-ALL</w:t>
            </w:r>
          </w:p>
        </w:tc>
      </w:tr>
      <w:tr w:rsidR="003428F7" w:rsidRPr="007C363A" w14:paraId="1B161AC8" w14:textId="77777777" w:rsidTr="0016423F">
        <w:tc>
          <w:tcPr>
            <w:cnfStyle w:val="001000000000" w:firstRow="0" w:lastRow="0" w:firstColumn="1" w:lastColumn="0" w:oddVBand="0" w:evenVBand="0" w:oddHBand="0" w:evenHBand="0" w:firstRowFirstColumn="0" w:firstRowLastColumn="0" w:lastRowFirstColumn="0" w:lastRowLastColumn="0"/>
            <w:tcW w:w="990" w:type="dxa"/>
            <w:vAlign w:val="center"/>
          </w:tcPr>
          <w:p w14:paraId="21597EBD" w14:textId="77777777" w:rsidR="003428F7" w:rsidRPr="005051FF" w:rsidRDefault="003428F7" w:rsidP="000E018D">
            <w:pPr>
              <w:jc w:val="center"/>
              <w:rPr>
                <w:rFonts w:ascii="Palatino Linotype" w:hAnsi="Palatino Linotype" w:cs="Calibri"/>
                <w:b w:val="0"/>
                <w:bCs w:val="0"/>
                <w:i/>
                <w:iCs/>
                <w:sz w:val="18"/>
                <w:szCs w:val="18"/>
                <w:shd w:val="clear" w:color="auto" w:fill="FFFFFF"/>
              </w:rPr>
            </w:pPr>
            <w:r w:rsidRPr="005051FF">
              <w:rPr>
                <w:rFonts w:ascii="Palatino Linotype" w:hAnsi="Palatino Linotype" w:cs="Calibri"/>
                <w:b w:val="0"/>
                <w:bCs w:val="0"/>
                <w:i/>
                <w:iCs/>
                <w:sz w:val="18"/>
                <w:szCs w:val="18"/>
                <w:shd w:val="clear" w:color="auto" w:fill="FFFFFF"/>
              </w:rPr>
              <w:lastRenderedPageBreak/>
              <w:t>SDHAF2</w:t>
            </w:r>
          </w:p>
        </w:tc>
        <w:tc>
          <w:tcPr>
            <w:tcW w:w="1695" w:type="dxa"/>
            <w:vAlign w:val="center"/>
          </w:tcPr>
          <w:p w14:paraId="015FE491" w14:textId="77777777" w:rsidR="003428F7" w:rsidRPr="005051FF" w:rsidRDefault="003428F7" w:rsidP="000E018D">
            <w:pPr>
              <w:jc w:val="center"/>
              <w:cnfStyle w:val="000000000000" w:firstRow="0" w:lastRow="0" w:firstColumn="0" w:lastColumn="0" w:oddVBand="0" w:evenVBand="0" w:oddHBand="0" w:evenHBand="0" w:firstRowFirstColumn="0" w:firstRowLastColumn="0" w:lastRowFirstColumn="0" w:lastRowLastColumn="0"/>
              <w:rPr>
                <w:rFonts w:ascii="Palatino Linotype" w:hAnsi="Palatino Linotype" w:cs="Calibri"/>
                <w:sz w:val="18"/>
                <w:szCs w:val="18"/>
                <w:shd w:val="clear" w:color="auto" w:fill="FFFFFF"/>
                <w:lang w:val="en-GB"/>
              </w:rPr>
            </w:pPr>
            <w:r w:rsidRPr="005051FF">
              <w:rPr>
                <w:rFonts w:ascii="Palatino Linotype" w:hAnsi="Palatino Linotype" w:cs="Calibri"/>
                <w:sz w:val="18"/>
                <w:szCs w:val="18"/>
                <w:shd w:val="clear" w:color="auto" w:fill="FFFFFF"/>
                <w:lang w:val="en-GB"/>
              </w:rPr>
              <w:t>Loss of function mutation</w:t>
            </w:r>
          </w:p>
        </w:tc>
        <w:tc>
          <w:tcPr>
            <w:tcW w:w="2980" w:type="dxa"/>
            <w:vAlign w:val="center"/>
          </w:tcPr>
          <w:p w14:paraId="56D0423A" w14:textId="77777777" w:rsidR="003428F7" w:rsidRPr="005051FF" w:rsidRDefault="003428F7" w:rsidP="000E018D">
            <w:pPr>
              <w:jc w:val="center"/>
              <w:cnfStyle w:val="000000000000" w:firstRow="0" w:lastRow="0" w:firstColumn="0" w:lastColumn="0" w:oddVBand="0" w:evenVBand="0" w:oddHBand="0" w:evenHBand="0" w:firstRowFirstColumn="0" w:firstRowLastColumn="0" w:lastRowFirstColumn="0" w:lastRowLastColumn="0"/>
              <w:rPr>
                <w:rFonts w:ascii="Palatino Linotype" w:hAnsi="Palatino Linotype" w:cs="Calibri"/>
                <w:sz w:val="18"/>
                <w:szCs w:val="18"/>
                <w:shd w:val="clear" w:color="auto" w:fill="FFFFFF"/>
                <w:lang w:val="en-GB"/>
              </w:rPr>
            </w:pPr>
            <w:r w:rsidRPr="005051FF">
              <w:rPr>
                <w:rFonts w:ascii="Palatino Linotype" w:hAnsi="Palatino Linotype" w:cs="Calibri"/>
                <w:sz w:val="18"/>
                <w:szCs w:val="18"/>
                <w:shd w:val="clear" w:color="auto" w:fill="FFFFFF"/>
                <w:lang w:val="en-GB"/>
              </w:rPr>
              <w:t>Loss of SDH function and stability</w:t>
            </w:r>
          </w:p>
        </w:tc>
        <w:tc>
          <w:tcPr>
            <w:tcW w:w="3261" w:type="dxa"/>
            <w:vAlign w:val="center"/>
          </w:tcPr>
          <w:p w14:paraId="0E8983B7" w14:textId="0ED4DFA5" w:rsidR="003428F7" w:rsidRPr="005051FF" w:rsidRDefault="003428F7" w:rsidP="000E018D">
            <w:pPr>
              <w:jc w:val="center"/>
              <w:cnfStyle w:val="000000000000" w:firstRow="0" w:lastRow="0" w:firstColumn="0" w:lastColumn="0" w:oddVBand="0" w:evenVBand="0" w:oddHBand="0" w:evenHBand="0" w:firstRowFirstColumn="0" w:firstRowLastColumn="0" w:lastRowFirstColumn="0" w:lastRowLastColumn="0"/>
              <w:rPr>
                <w:rFonts w:ascii="Palatino Linotype" w:hAnsi="Palatino Linotype" w:cs="Calibri"/>
                <w:sz w:val="18"/>
                <w:szCs w:val="18"/>
                <w:shd w:val="clear" w:color="auto" w:fill="FFFFFF"/>
                <w:lang w:val="en-GB"/>
              </w:rPr>
            </w:pPr>
            <w:r w:rsidRPr="005051FF">
              <w:rPr>
                <w:rFonts w:ascii="Palatino Linotype" w:hAnsi="Palatino Linotype" w:cs="Calibri"/>
                <w:sz w:val="18"/>
                <w:szCs w:val="18"/>
                <w:shd w:val="clear" w:color="auto" w:fill="FFFFFF"/>
                <w:lang w:val="en-GB"/>
              </w:rPr>
              <w:t>Hereditary head and neck</w:t>
            </w:r>
            <w:r w:rsidR="005F6F5C">
              <w:rPr>
                <w:rFonts w:ascii="Palatino Linotype" w:hAnsi="Palatino Linotype" w:cs="Calibri"/>
                <w:sz w:val="18"/>
                <w:szCs w:val="18"/>
                <w:shd w:val="clear" w:color="auto" w:fill="FFFFFF"/>
                <w:lang w:val="en-GB"/>
              </w:rPr>
              <w:t>,</w:t>
            </w:r>
            <w:r w:rsidRPr="005051FF">
              <w:rPr>
                <w:rFonts w:ascii="Palatino Linotype" w:hAnsi="Palatino Linotype" w:cs="Calibri"/>
                <w:sz w:val="18"/>
                <w:szCs w:val="18"/>
                <w:shd w:val="clear" w:color="auto" w:fill="FFFFFF"/>
                <w:lang w:val="en-GB"/>
              </w:rPr>
              <w:t xml:space="preserve"> paraganglioma</w:t>
            </w:r>
          </w:p>
        </w:tc>
      </w:tr>
      <w:tr w:rsidR="003428F7" w:rsidRPr="00F01823" w14:paraId="05BA21E9" w14:textId="77777777" w:rsidTr="0016423F">
        <w:tc>
          <w:tcPr>
            <w:cnfStyle w:val="001000000000" w:firstRow="0" w:lastRow="0" w:firstColumn="1" w:lastColumn="0" w:oddVBand="0" w:evenVBand="0" w:oddHBand="0" w:evenHBand="0" w:firstRowFirstColumn="0" w:firstRowLastColumn="0" w:lastRowFirstColumn="0" w:lastRowLastColumn="0"/>
            <w:tcW w:w="990" w:type="dxa"/>
            <w:vAlign w:val="center"/>
          </w:tcPr>
          <w:p w14:paraId="3A0E222E" w14:textId="77777777" w:rsidR="003428F7" w:rsidRPr="005051FF" w:rsidRDefault="003428F7" w:rsidP="000E018D">
            <w:pPr>
              <w:jc w:val="center"/>
              <w:rPr>
                <w:rFonts w:ascii="Palatino Linotype" w:hAnsi="Palatino Linotype" w:cs="Calibri"/>
                <w:b w:val="0"/>
                <w:bCs w:val="0"/>
                <w:i/>
                <w:iCs/>
                <w:sz w:val="18"/>
                <w:szCs w:val="18"/>
                <w:shd w:val="clear" w:color="auto" w:fill="FFFFFF"/>
                <w:lang w:val="en-GB"/>
              </w:rPr>
            </w:pPr>
            <w:r w:rsidRPr="005051FF">
              <w:rPr>
                <w:rFonts w:ascii="Palatino Linotype" w:hAnsi="Palatino Linotype" w:cs="Calibri"/>
                <w:b w:val="0"/>
                <w:bCs w:val="0"/>
                <w:i/>
                <w:iCs/>
                <w:sz w:val="18"/>
                <w:szCs w:val="18"/>
                <w:shd w:val="clear" w:color="auto" w:fill="FFFFFF"/>
                <w:lang w:val="en-GB"/>
              </w:rPr>
              <w:t>KGDHC</w:t>
            </w:r>
          </w:p>
        </w:tc>
        <w:tc>
          <w:tcPr>
            <w:tcW w:w="1695" w:type="dxa"/>
            <w:vAlign w:val="center"/>
          </w:tcPr>
          <w:p w14:paraId="4B42090A" w14:textId="77777777" w:rsidR="003428F7" w:rsidRPr="005051FF" w:rsidRDefault="003428F7" w:rsidP="000E018D">
            <w:pPr>
              <w:jc w:val="center"/>
              <w:cnfStyle w:val="000000000000" w:firstRow="0" w:lastRow="0" w:firstColumn="0" w:lastColumn="0" w:oddVBand="0" w:evenVBand="0" w:oddHBand="0" w:evenHBand="0" w:firstRowFirstColumn="0" w:firstRowLastColumn="0" w:lastRowFirstColumn="0" w:lastRowLastColumn="0"/>
              <w:rPr>
                <w:rFonts w:ascii="Palatino Linotype" w:hAnsi="Palatino Linotype" w:cs="Calibri"/>
                <w:sz w:val="18"/>
                <w:szCs w:val="18"/>
                <w:shd w:val="clear" w:color="auto" w:fill="FFFFFF"/>
                <w:lang w:val="en-GB"/>
              </w:rPr>
            </w:pPr>
            <w:r w:rsidRPr="005051FF">
              <w:rPr>
                <w:rFonts w:ascii="Palatino Linotype" w:hAnsi="Palatino Linotype" w:cs="Calibri"/>
                <w:sz w:val="18"/>
                <w:szCs w:val="18"/>
                <w:shd w:val="clear" w:color="auto" w:fill="FFFFFF"/>
                <w:lang w:val="en-GB"/>
              </w:rPr>
              <w:t>Upregulation</w:t>
            </w:r>
          </w:p>
        </w:tc>
        <w:tc>
          <w:tcPr>
            <w:tcW w:w="2980" w:type="dxa"/>
            <w:vAlign w:val="center"/>
          </w:tcPr>
          <w:p w14:paraId="3F61A5AA" w14:textId="77777777" w:rsidR="003428F7" w:rsidRPr="005051FF" w:rsidRDefault="003428F7" w:rsidP="000E018D">
            <w:pPr>
              <w:jc w:val="center"/>
              <w:cnfStyle w:val="000000000000" w:firstRow="0" w:lastRow="0" w:firstColumn="0" w:lastColumn="0" w:oddVBand="0" w:evenVBand="0" w:oddHBand="0" w:evenHBand="0" w:firstRowFirstColumn="0" w:firstRowLastColumn="0" w:lastRowFirstColumn="0" w:lastRowLastColumn="0"/>
              <w:rPr>
                <w:rFonts w:ascii="Palatino Linotype" w:hAnsi="Palatino Linotype" w:cs="Calibri"/>
                <w:sz w:val="18"/>
                <w:szCs w:val="18"/>
                <w:shd w:val="clear" w:color="auto" w:fill="FFFFFF"/>
                <w:lang w:val="en-GB"/>
              </w:rPr>
            </w:pPr>
            <w:r w:rsidRPr="005051FF">
              <w:rPr>
                <w:rFonts w:ascii="Palatino Linotype" w:hAnsi="Palatino Linotype" w:cs="Calibri"/>
                <w:sz w:val="18"/>
                <w:szCs w:val="18"/>
                <w:shd w:val="clear" w:color="auto" w:fill="FFFFFF"/>
                <w:lang w:val="en-GB"/>
              </w:rPr>
              <w:t>Increase of mitochondrial bioenergetics</w:t>
            </w:r>
          </w:p>
          <w:p w14:paraId="201D4D37" w14:textId="77777777" w:rsidR="003428F7" w:rsidRPr="005051FF" w:rsidRDefault="003428F7" w:rsidP="000E018D">
            <w:pPr>
              <w:jc w:val="center"/>
              <w:cnfStyle w:val="000000000000" w:firstRow="0" w:lastRow="0" w:firstColumn="0" w:lastColumn="0" w:oddVBand="0" w:evenVBand="0" w:oddHBand="0" w:evenHBand="0" w:firstRowFirstColumn="0" w:firstRowLastColumn="0" w:lastRowFirstColumn="0" w:lastRowLastColumn="0"/>
              <w:rPr>
                <w:rFonts w:ascii="Palatino Linotype" w:hAnsi="Palatino Linotype" w:cs="Calibri"/>
                <w:sz w:val="18"/>
                <w:szCs w:val="18"/>
                <w:shd w:val="clear" w:color="auto" w:fill="FFFFFF"/>
                <w:lang w:val="en-GB"/>
              </w:rPr>
            </w:pPr>
            <w:r w:rsidRPr="005051FF">
              <w:rPr>
                <w:rFonts w:ascii="Palatino Linotype" w:hAnsi="Palatino Linotype" w:cs="Calibri"/>
                <w:sz w:val="18"/>
                <w:szCs w:val="18"/>
                <w:shd w:val="clear" w:color="auto" w:fill="FFFFFF"/>
                <w:lang w:val="en-GB"/>
              </w:rPr>
              <w:t>Increase expression of EMT transcription factors</w:t>
            </w:r>
          </w:p>
        </w:tc>
        <w:tc>
          <w:tcPr>
            <w:tcW w:w="3261" w:type="dxa"/>
            <w:vAlign w:val="center"/>
          </w:tcPr>
          <w:p w14:paraId="1F280462" w14:textId="77777777" w:rsidR="003428F7" w:rsidRPr="005051FF" w:rsidRDefault="003428F7" w:rsidP="000E018D">
            <w:pPr>
              <w:jc w:val="center"/>
              <w:cnfStyle w:val="000000000000" w:firstRow="0" w:lastRow="0" w:firstColumn="0" w:lastColumn="0" w:oddVBand="0" w:evenVBand="0" w:oddHBand="0" w:evenHBand="0" w:firstRowFirstColumn="0" w:firstRowLastColumn="0" w:lastRowFirstColumn="0" w:lastRowLastColumn="0"/>
              <w:rPr>
                <w:rFonts w:ascii="Palatino Linotype" w:hAnsi="Palatino Linotype" w:cs="Calibri"/>
                <w:sz w:val="18"/>
                <w:szCs w:val="18"/>
                <w:shd w:val="clear" w:color="auto" w:fill="FFFFFF"/>
                <w:lang w:val="en-GB"/>
              </w:rPr>
            </w:pPr>
            <w:r w:rsidRPr="005051FF">
              <w:rPr>
                <w:rFonts w:ascii="Palatino Linotype" w:hAnsi="Palatino Linotype" w:cs="Calibri"/>
                <w:sz w:val="18"/>
                <w:szCs w:val="18"/>
                <w:shd w:val="clear" w:color="auto" w:fill="FFFFFF"/>
                <w:lang w:val="en-GB"/>
              </w:rPr>
              <w:t>Gastric cancer</w:t>
            </w:r>
          </w:p>
        </w:tc>
      </w:tr>
    </w:tbl>
    <w:p w14:paraId="7D0F3DDE" w14:textId="77777777" w:rsidR="00192D3E" w:rsidRPr="00192D3E" w:rsidRDefault="00192D3E" w:rsidP="000E018D">
      <w:pPr>
        <w:rPr>
          <w:lang w:val="en-US" w:eastAsia="de-DE" w:bidi="en-US"/>
        </w:rPr>
      </w:pPr>
    </w:p>
    <w:p w14:paraId="4FDE67AE" w14:textId="2F4CFF34" w:rsidR="004F77C8" w:rsidRDefault="004F77C8" w:rsidP="000E018D">
      <w:pPr>
        <w:pStyle w:val="MDPI13authornames"/>
        <w:spacing w:after="0" w:line="240" w:lineRule="auto"/>
        <w:jc w:val="both"/>
        <w:rPr>
          <w:szCs w:val="20"/>
          <w:u w:val="single"/>
        </w:rPr>
      </w:pPr>
    </w:p>
    <w:p w14:paraId="37E74D46" w14:textId="37394D45" w:rsidR="009B773B" w:rsidRDefault="009B773B" w:rsidP="009B773B">
      <w:pPr>
        <w:rPr>
          <w:lang w:val="en-US" w:eastAsia="de-DE" w:bidi="en-US"/>
        </w:rPr>
      </w:pPr>
    </w:p>
    <w:p w14:paraId="2C562350" w14:textId="7F958655" w:rsidR="009B773B" w:rsidRDefault="009B773B" w:rsidP="009B773B">
      <w:pPr>
        <w:rPr>
          <w:lang w:val="en-US" w:eastAsia="de-DE" w:bidi="en-US"/>
        </w:rPr>
      </w:pPr>
    </w:p>
    <w:p w14:paraId="264F55A7" w14:textId="695C070C" w:rsidR="009B773B" w:rsidRDefault="009B773B" w:rsidP="009B773B">
      <w:pPr>
        <w:rPr>
          <w:lang w:val="en-US" w:eastAsia="de-DE" w:bidi="en-US"/>
        </w:rPr>
      </w:pPr>
    </w:p>
    <w:p w14:paraId="0A87365F" w14:textId="77777777" w:rsidR="009B773B" w:rsidRPr="007C363A" w:rsidRDefault="009B773B" w:rsidP="007C363A"/>
    <w:p w14:paraId="7BE9CB1E" w14:textId="2861ED6E" w:rsidR="0016646C" w:rsidRPr="003E52CE" w:rsidRDefault="00FC79F5" w:rsidP="007C363A">
      <w:pPr>
        <w:pStyle w:val="MDPI13authornames"/>
        <w:spacing w:after="0" w:line="240" w:lineRule="auto"/>
        <w:jc w:val="both"/>
        <w:rPr>
          <w:szCs w:val="20"/>
          <w:u w:val="single"/>
        </w:rPr>
      </w:pPr>
      <w:r w:rsidRPr="003E52CE">
        <w:rPr>
          <w:szCs w:val="20"/>
          <w:u w:val="single"/>
        </w:rPr>
        <w:t>Supplementary Figure 1</w:t>
      </w:r>
    </w:p>
    <w:p w14:paraId="532235C8" w14:textId="77777777" w:rsidR="00D63674" w:rsidRPr="003E52CE" w:rsidRDefault="00D63674" w:rsidP="000E018D">
      <w:pPr>
        <w:rPr>
          <w:lang w:val="en-US" w:eastAsia="de-DE" w:bidi="en-US"/>
        </w:rPr>
      </w:pPr>
      <w:r>
        <w:rPr>
          <w:noProof/>
        </w:rPr>
        <w:drawing>
          <wp:inline distT="0" distB="0" distL="0" distR="0" wp14:anchorId="63B15667" wp14:editId="254C94F9">
            <wp:extent cx="5707380" cy="3634613"/>
            <wp:effectExtent l="0" t="0" r="7620" b="4445"/>
            <wp:docPr id="1"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11346" cy="3637138"/>
                    </a:xfrm>
                    <a:prstGeom prst="rect">
                      <a:avLst/>
                    </a:prstGeom>
                    <a:noFill/>
                    <a:ln>
                      <a:noFill/>
                    </a:ln>
                  </pic:spPr>
                </pic:pic>
              </a:graphicData>
            </a:graphic>
          </wp:inline>
        </w:drawing>
      </w:r>
    </w:p>
    <w:p w14:paraId="62762B78" w14:textId="64ADBA1E" w:rsidR="00D63674" w:rsidRPr="008051B3" w:rsidRDefault="00D63674" w:rsidP="000E018D">
      <w:pPr>
        <w:jc w:val="both"/>
        <w:rPr>
          <w:rFonts w:ascii="Palatino Linotype" w:eastAsia="SimSun" w:hAnsi="Palatino Linotype" w:cs="Times New Roman"/>
          <w:noProof/>
          <w:color w:val="000000"/>
          <w:sz w:val="20"/>
          <w:szCs w:val="20"/>
          <w:lang w:val="en-US" w:eastAsia="zh-CN"/>
        </w:rPr>
      </w:pPr>
      <w:r w:rsidRPr="0088638C">
        <w:rPr>
          <w:rFonts w:ascii="Palatino Linotype" w:eastAsia="SimSun" w:hAnsi="Palatino Linotype" w:cs="Times New Roman"/>
          <w:b/>
          <w:bCs/>
          <w:noProof/>
          <w:color w:val="000000"/>
          <w:sz w:val="20"/>
          <w:szCs w:val="20"/>
          <w:u w:val="single"/>
          <w:lang w:val="en-US" w:eastAsia="zh-CN"/>
        </w:rPr>
        <w:t>Supplementary Figure 1</w:t>
      </w:r>
      <w:r w:rsidR="00D34CE1" w:rsidRPr="003E52CE">
        <w:rPr>
          <w:rFonts w:ascii="Palatino Linotype" w:eastAsia="SimSun" w:hAnsi="Palatino Linotype" w:cs="Times New Roman"/>
          <w:b/>
          <w:bCs/>
          <w:noProof/>
          <w:color w:val="000000"/>
          <w:sz w:val="20"/>
          <w:szCs w:val="20"/>
          <w:lang w:val="en-US" w:eastAsia="zh-CN"/>
        </w:rPr>
        <w:t>.</w:t>
      </w:r>
      <w:r w:rsidR="00E26194" w:rsidRPr="003E52CE">
        <w:rPr>
          <w:rFonts w:ascii="Palatino Linotype" w:eastAsia="SimSun" w:hAnsi="Palatino Linotype" w:cs="Times New Roman"/>
          <w:b/>
          <w:bCs/>
          <w:noProof/>
          <w:color w:val="000000"/>
          <w:sz w:val="20"/>
          <w:szCs w:val="20"/>
          <w:lang w:val="en-US" w:eastAsia="zh-CN"/>
        </w:rPr>
        <w:t xml:space="preserve"> </w:t>
      </w:r>
      <w:r w:rsidR="00E26194" w:rsidRPr="00192D3E">
        <w:rPr>
          <w:rFonts w:ascii="Palatino Linotype" w:eastAsia="SimSun" w:hAnsi="Palatino Linotype" w:cs="Times New Roman"/>
          <w:b/>
          <w:bCs/>
          <w:noProof/>
          <w:color w:val="000000"/>
          <w:sz w:val="20"/>
          <w:szCs w:val="20"/>
          <w:lang w:val="en-US" w:eastAsia="zh-CN"/>
        </w:rPr>
        <w:t>Mitochondrial dynamics.</w:t>
      </w:r>
      <w:r w:rsidR="00E26194" w:rsidRPr="003E52CE">
        <w:rPr>
          <w:rFonts w:ascii="Palatino Linotype" w:eastAsia="SimSun" w:hAnsi="Palatino Linotype" w:cs="Times New Roman"/>
          <w:noProof/>
          <w:color w:val="000000"/>
          <w:sz w:val="20"/>
          <w:szCs w:val="20"/>
          <w:lang w:val="en-US" w:eastAsia="zh-CN"/>
        </w:rPr>
        <w:t xml:space="preserve"> </w:t>
      </w:r>
      <w:r w:rsidR="008051B3" w:rsidRPr="003E52CE">
        <w:rPr>
          <w:rFonts w:ascii="Palatino Linotype" w:eastAsia="SimSun" w:hAnsi="Palatino Linotype" w:cs="Times New Roman"/>
          <w:noProof/>
          <w:color w:val="000000"/>
          <w:sz w:val="20"/>
          <w:szCs w:val="20"/>
          <w:lang w:val="en-US" w:eastAsia="zh-CN"/>
        </w:rPr>
        <w:t>Fission and fusion are key processes in mitochondrial dynamics. Fission starts with replication of mtDNA in the matrix, stab</w:t>
      </w:r>
      <w:r w:rsidR="005F6F5C">
        <w:rPr>
          <w:rFonts w:ascii="Palatino Linotype" w:eastAsia="SimSun" w:hAnsi="Palatino Linotype" w:cs="Times New Roman"/>
          <w:noProof/>
          <w:color w:val="000000"/>
          <w:sz w:val="20"/>
          <w:szCs w:val="20"/>
          <w:lang w:val="en-US" w:eastAsia="zh-CN"/>
        </w:rPr>
        <w:t>i</w:t>
      </w:r>
      <w:r w:rsidR="008051B3" w:rsidRPr="003E52CE">
        <w:rPr>
          <w:rFonts w:ascii="Palatino Linotype" w:eastAsia="SimSun" w:hAnsi="Palatino Linotype" w:cs="Times New Roman"/>
          <w:noProof/>
          <w:color w:val="000000"/>
          <w:sz w:val="20"/>
          <w:szCs w:val="20"/>
          <w:lang w:val="en-US" w:eastAsia="zh-CN"/>
        </w:rPr>
        <w:t>li</w:t>
      </w:r>
      <w:r w:rsidR="00A0540A">
        <w:rPr>
          <w:rFonts w:ascii="Palatino Linotype" w:eastAsia="SimSun" w:hAnsi="Palatino Linotype" w:cs="Times New Roman"/>
          <w:noProof/>
          <w:color w:val="000000"/>
          <w:sz w:val="20"/>
          <w:szCs w:val="20"/>
          <w:lang w:val="en-US" w:eastAsia="zh-CN"/>
        </w:rPr>
        <w:t>z</w:t>
      </w:r>
      <w:r w:rsidR="008051B3" w:rsidRPr="003E52CE">
        <w:rPr>
          <w:rFonts w:ascii="Palatino Linotype" w:eastAsia="SimSun" w:hAnsi="Palatino Linotype" w:cs="Times New Roman"/>
          <w:noProof/>
          <w:color w:val="000000"/>
          <w:sz w:val="20"/>
          <w:szCs w:val="20"/>
          <w:lang w:val="en-US" w:eastAsia="zh-CN"/>
        </w:rPr>
        <w:t xml:space="preserve">ing the site for endoplasmic reticulum (ER) recruitment. Dynamin-related/-like protein 1 (DRP1) is recruited by fission 1 (FIS1) and the constriction starts at the mitochondria-ER contact sites. DRP1 oligomerizes and forms a ring structure around the place of division. Next, dynamin2 (DNM2) finishes the fission into two mitochondria. Fusion is driven by the GTPases mitofusin 1 (MFN1) and mitofusin 2 (MFN2) and the optic atrophy 1 (OPA1) enzyme. </w:t>
      </w:r>
      <w:r w:rsidR="008051B3" w:rsidRPr="00D21A19">
        <w:rPr>
          <w:rFonts w:ascii="Palatino Linotype" w:eastAsia="SimSun" w:hAnsi="Palatino Linotype" w:cs="Times New Roman"/>
          <w:noProof/>
          <w:color w:val="000000"/>
          <w:sz w:val="20"/>
          <w:szCs w:val="20"/>
          <w:lang w:val="en-US" w:eastAsia="zh-CN"/>
        </w:rPr>
        <w:t>The process starts by the outer mitochondrial membrane (OMM) tethering of both mitochondria, followed by the conformation change of MFN1 and M</w:t>
      </w:r>
      <w:r w:rsidR="008051B3" w:rsidRPr="008051B3">
        <w:rPr>
          <w:rFonts w:ascii="Palatino Linotype" w:eastAsia="SimSun" w:hAnsi="Palatino Linotype" w:cs="Times New Roman"/>
          <w:noProof/>
          <w:color w:val="000000"/>
          <w:sz w:val="20"/>
          <w:szCs w:val="20"/>
          <w:lang w:val="en-US" w:eastAsia="zh-CN"/>
        </w:rPr>
        <w:t>FN2, which facilitates OMM fusion. Inner mitochondrial membrane (IMM) fusion is carried out by OPA1 and cardiolipin interaction and OPA1-dependent GTP hydrolysis.</w:t>
      </w:r>
    </w:p>
    <w:p w14:paraId="6A6E976C" w14:textId="2C0EAF63" w:rsidR="00FC79F5" w:rsidRDefault="00FC79F5" w:rsidP="000E018D">
      <w:pPr>
        <w:rPr>
          <w:lang w:val="en-US" w:eastAsia="de-DE" w:bidi="en-US"/>
        </w:rPr>
      </w:pPr>
    </w:p>
    <w:p w14:paraId="4A6B231C" w14:textId="77777777" w:rsidR="00192D3E" w:rsidRPr="00FC79F5" w:rsidRDefault="00192D3E" w:rsidP="000E018D">
      <w:pPr>
        <w:rPr>
          <w:lang w:val="en-US" w:eastAsia="de-DE" w:bidi="en-US"/>
        </w:rPr>
      </w:pPr>
    </w:p>
    <w:p w14:paraId="2FBD789E" w14:textId="77777777" w:rsidR="00A0540A" w:rsidRDefault="00A0540A" w:rsidP="007C363A">
      <w:pPr>
        <w:jc w:val="both"/>
        <w:rPr>
          <w:rFonts w:ascii="Palatino Linotype" w:eastAsia="SimSun" w:hAnsi="Palatino Linotype" w:cs="Times New Roman"/>
          <w:b/>
          <w:bCs/>
          <w:noProof/>
          <w:color w:val="000000"/>
          <w:sz w:val="20"/>
          <w:szCs w:val="20"/>
          <w:u w:val="single"/>
          <w:lang w:val="en-US" w:eastAsia="zh-CN"/>
        </w:rPr>
      </w:pPr>
    </w:p>
    <w:p w14:paraId="62195AA0" w14:textId="77777777" w:rsidR="00A0540A" w:rsidRDefault="00A0540A" w:rsidP="007C363A">
      <w:pPr>
        <w:jc w:val="both"/>
        <w:rPr>
          <w:rFonts w:ascii="Palatino Linotype" w:eastAsia="SimSun" w:hAnsi="Palatino Linotype" w:cs="Times New Roman"/>
          <w:b/>
          <w:bCs/>
          <w:noProof/>
          <w:color w:val="000000"/>
          <w:sz w:val="20"/>
          <w:szCs w:val="20"/>
          <w:u w:val="single"/>
          <w:lang w:val="en-US" w:eastAsia="zh-CN"/>
        </w:rPr>
      </w:pPr>
    </w:p>
    <w:p w14:paraId="2FD4F9A8" w14:textId="522DBD8B" w:rsidR="00A0540A" w:rsidRDefault="00A0540A" w:rsidP="000E018D">
      <w:pPr>
        <w:jc w:val="both"/>
        <w:rPr>
          <w:rFonts w:ascii="Palatino Linotype" w:eastAsia="SimSun" w:hAnsi="Palatino Linotype" w:cs="Times New Roman"/>
          <w:b/>
          <w:bCs/>
          <w:noProof/>
          <w:color w:val="000000"/>
          <w:sz w:val="20"/>
          <w:szCs w:val="20"/>
          <w:u w:val="single"/>
          <w:lang w:val="en-US" w:eastAsia="zh-CN"/>
        </w:rPr>
      </w:pPr>
    </w:p>
    <w:p w14:paraId="101BD660" w14:textId="77777777" w:rsidR="009B773B" w:rsidRDefault="009B773B" w:rsidP="007C363A">
      <w:pPr>
        <w:jc w:val="both"/>
        <w:rPr>
          <w:rFonts w:ascii="Palatino Linotype" w:eastAsia="SimSun" w:hAnsi="Palatino Linotype" w:cs="Times New Roman"/>
          <w:b/>
          <w:bCs/>
          <w:noProof/>
          <w:color w:val="000000"/>
          <w:sz w:val="20"/>
          <w:szCs w:val="20"/>
          <w:u w:val="single"/>
          <w:lang w:val="en-US" w:eastAsia="zh-CN"/>
        </w:rPr>
      </w:pPr>
    </w:p>
    <w:p w14:paraId="2FB3FB9A" w14:textId="2B8887F8" w:rsidR="00A06CC4" w:rsidRDefault="00FB06D7" w:rsidP="007C363A">
      <w:pPr>
        <w:jc w:val="both"/>
        <w:rPr>
          <w:rFonts w:ascii="Palatino Linotype" w:eastAsia="SimSun" w:hAnsi="Palatino Linotype" w:cs="Times New Roman"/>
          <w:b/>
          <w:bCs/>
          <w:noProof/>
          <w:color w:val="000000"/>
          <w:sz w:val="20"/>
          <w:szCs w:val="20"/>
          <w:u w:val="single"/>
          <w:lang w:val="en-US" w:eastAsia="zh-CN"/>
        </w:rPr>
      </w:pPr>
      <w:r w:rsidRPr="00E95A32">
        <w:rPr>
          <w:rFonts w:ascii="Palatino Linotype" w:eastAsia="SimSun" w:hAnsi="Palatino Linotype" w:cs="Times New Roman"/>
          <w:b/>
          <w:bCs/>
          <w:noProof/>
          <w:color w:val="000000"/>
          <w:sz w:val="20"/>
          <w:szCs w:val="20"/>
          <w:u w:val="single"/>
          <w:lang w:val="en-US" w:eastAsia="zh-CN"/>
        </w:rPr>
        <w:lastRenderedPageBreak/>
        <w:t>Supplementary Box 1</w:t>
      </w:r>
      <w:r w:rsidR="00A06CC4">
        <w:rPr>
          <w:rFonts w:ascii="Palatino Linotype" w:eastAsia="SimSun" w:hAnsi="Palatino Linotype" w:cs="Times New Roman"/>
          <w:b/>
          <w:bCs/>
          <w:noProof/>
          <w:color w:val="000000"/>
          <w:sz w:val="20"/>
          <w:szCs w:val="20"/>
          <w:u w:val="single"/>
          <w:lang w:val="en-US" w:eastAsia="zh-CN"/>
        </w:rPr>
        <w:t xml:space="preserve"> </w:t>
      </w:r>
    </w:p>
    <w:p w14:paraId="26C815F8" w14:textId="77777777" w:rsidR="00A06CC4" w:rsidRPr="00146BE0" w:rsidRDefault="00D603BA" w:rsidP="007C363A">
      <w:pPr>
        <w:jc w:val="both"/>
        <w:rPr>
          <w:rFonts w:ascii="Palatino Linotype" w:eastAsia="SimSun" w:hAnsi="Palatino Linotype" w:cs="Times New Roman"/>
          <w:b/>
          <w:bCs/>
          <w:noProof/>
          <w:color w:val="000000"/>
          <w:sz w:val="20"/>
          <w:szCs w:val="20"/>
          <w:lang w:val="en-US" w:eastAsia="zh-CN"/>
        </w:rPr>
      </w:pPr>
      <w:r>
        <w:rPr>
          <w:rFonts w:ascii="Palatino Linotype" w:eastAsia="SimSun" w:hAnsi="Palatino Linotype" w:cs="Times New Roman"/>
          <w:b/>
          <w:bCs/>
          <w:noProof/>
          <w:color w:val="000000"/>
          <w:sz w:val="20"/>
          <w:szCs w:val="20"/>
          <w:lang w:val="en-US" w:eastAsia="zh-CN"/>
        </w:rPr>
        <w:t>M</w:t>
      </w:r>
      <w:r w:rsidR="00DB2D55" w:rsidRPr="00146BE0">
        <w:rPr>
          <w:rFonts w:ascii="Palatino Linotype" w:eastAsia="SimSun" w:hAnsi="Palatino Linotype" w:cs="Times New Roman"/>
          <w:b/>
          <w:bCs/>
          <w:noProof/>
          <w:color w:val="000000"/>
          <w:sz w:val="20"/>
          <w:szCs w:val="20"/>
          <w:lang w:val="en-US" w:eastAsia="zh-CN"/>
        </w:rPr>
        <w:t xml:space="preserve">utations </w:t>
      </w:r>
      <w:r>
        <w:rPr>
          <w:rFonts w:ascii="Palatino Linotype" w:eastAsia="SimSun" w:hAnsi="Palatino Linotype" w:cs="Times New Roman"/>
          <w:b/>
          <w:bCs/>
          <w:noProof/>
          <w:color w:val="000000"/>
          <w:sz w:val="20"/>
          <w:szCs w:val="20"/>
          <w:lang w:val="en-US" w:eastAsia="zh-CN"/>
        </w:rPr>
        <w:t>Involved in the</w:t>
      </w:r>
      <w:r w:rsidRPr="00146BE0">
        <w:rPr>
          <w:rFonts w:ascii="Palatino Linotype" w:eastAsia="SimSun" w:hAnsi="Palatino Linotype" w:cs="Times New Roman"/>
          <w:b/>
          <w:bCs/>
          <w:noProof/>
          <w:color w:val="000000"/>
          <w:sz w:val="20"/>
          <w:szCs w:val="20"/>
          <w:lang w:val="en-US" w:eastAsia="zh-CN"/>
        </w:rPr>
        <w:t xml:space="preserve"> </w:t>
      </w:r>
      <w:r>
        <w:rPr>
          <w:rFonts w:ascii="Palatino Linotype" w:eastAsia="SimSun" w:hAnsi="Palatino Linotype" w:cs="Times New Roman"/>
          <w:b/>
          <w:bCs/>
          <w:noProof/>
          <w:color w:val="000000"/>
          <w:sz w:val="20"/>
          <w:szCs w:val="20"/>
          <w:lang w:val="en-US" w:eastAsia="zh-CN"/>
        </w:rPr>
        <w:t>M</w:t>
      </w:r>
      <w:r w:rsidR="00DB2D55" w:rsidRPr="00146BE0">
        <w:rPr>
          <w:rFonts w:ascii="Palatino Linotype" w:eastAsia="SimSun" w:hAnsi="Palatino Linotype" w:cs="Times New Roman"/>
          <w:b/>
          <w:bCs/>
          <w:noProof/>
          <w:color w:val="000000"/>
          <w:sz w:val="20"/>
          <w:szCs w:val="20"/>
          <w:lang w:val="en-US" w:eastAsia="zh-CN"/>
        </w:rPr>
        <w:t xml:space="preserve">etabolic </w:t>
      </w:r>
      <w:r>
        <w:rPr>
          <w:rFonts w:ascii="Palatino Linotype" w:eastAsia="SimSun" w:hAnsi="Palatino Linotype" w:cs="Times New Roman"/>
          <w:b/>
          <w:bCs/>
          <w:noProof/>
          <w:color w:val="000000"/>
          <w:sz w:val="20"/>
          <w:szCs w:val="20"/>
          <w:lang w:val="en-US" w:eastAsia="zh-CN"/>
        </w:rPr>
        <w:t>R</w:t>
      </w:r>
      <w:r w:rsidR="00DB2D55" w:rsidRPr="00146BE0">
        <w:rPr>
          <w:rFonts w:ascii="Palatino Linotype" w:eastAsia="SimSun" w:hAnsi="Palatino Linotype" w:cs="Times New Roman"/>
          <w:b/>
          <w:bCs/>
          <w:noProof/>
          <w:color w:val="000000"/>
          <w:sz w:val="20"/>
          <w:szCs w:val="20"/>
          <w:lang w:val="en-US" w:eastAsia="zh-CN"/>
        </w:rPr>
        <w:t xml:space="preserve">eprogramming </w:t>
      </w:r>
      <w:r>
        <w:rPr>
          <w:rFonts w:ascii="Palatino Linotype" w:eastAsia="SimSun" w:hAnsi="Palatino Linotype" w:cs="Times New Roman"/>
          <w:b/>
          <w:bCs/>
          <w:noProof/>
          <w:color w:val="000000"/>
          <w:sz w:val="20"/>
          <w:szCs w:val="20"/>
          <w:lang w:val="en-US" w:eastAsia="zh-CN"/>
        </w:rPr>
        <w:t>of</w:t>
      </w:r>
      <w:r w:rsidR="00DB2D55" w:rsidRPr="00146BE0">
        <w:rPr>
          <w:rFonts w:ascii="Palatino Linotype" w:eastAsia="SimSun" w:hAnsi="Palatino Linotype" w:cs="Times New Roman"/>
          <w:b/>
          <w:bCs/>
          <w:noProof/>
          <w:color w:val="000000"/>
          <w:sz w:val="20"/>
          <w:szCs w:val="20"/>
          <w:lang w:val="en-US" w:eastAsia="zh-CN"/>
        </w:rPr>
        <w:t xml:space="preserve"> </w:t>
      </w:r>
      <w:r>
        <w:rPr>
          <w:rFonts w:ascii="Palatino Linotype" w:eastAsia="SimSun" w:hAnsi="Palatino Linotype" w:cs="Times New Roman"/>
          <w:b/>
          <w:bCs/>
          <w:noProof/>
          <w:color w:val="000000"/>
          <w:sz w:val="20"/>
          <w:szCs w:val="20"/>
          <w:lang w:val="en-US" w:eastAsia="zh-CN"/>
        </w:rPr>
        <w:t>C</w:t>
      </w:r>
      <w:r w:rsidR="00DB2D55" w:rsidRPr="00146BE0">
        <w:rPr>
          <w:rFonts w:ascii="Palatino Linotype" w:eastAsia="SimSun" w:hAnsi="Palatino Linotype" w:cs="Times New Roman"/>
          <w:b/>
          <w:bCs/>
          <w:noProof/>
          <w:color w:val="000000"/>
          <w:sz w:val="20"/>
          <w:szCs w:val="20"/>
          <w:lang w:val="en-US" w:eastAsia="zh-CN"/>
        </w:rPr>
        <w:t xml:space="preserve">ancer </w:t>
      </w:r>
      <w:r>
        <w:rPr>
          <w:rFonts w:ascii="Palatino Linotype" w:eastAsia="SimSun" w:hAnsi="Palatino Linotype" w:cs="Times New Roman"/>
          <w:b/>
          <w:bCs/>
          <w:noProof/>
          <w:color w:val="000000"/>
          <w:sz w:val="20"/>
          <w:szCs w:val="20"/>
          <w:lang w:val="en-US" w:eastAsia="zh-CN"/>
        </w:rPr>
        <w:t>C</w:t>
      </w:r>
      <w:r w:rsidR="00DB2D55" w:rsidRPr="00146BE0">
        <w:rPr>
          <w:rFonts w:ascii="Palatino Linotype" w:eastAsia="SimSun" w:hAnsi="Palatino Linotype" w:cs="Times New Roman"/>
          <w:b/>
          <w:bCs/>
          <w:noProof/>
          <w:color w:val="000000"/>
          <w:sz w:val="20"/>
          <w:szCs w:val="20"/>
          <w:lang w:val="en-US" w:eastAsia="zh-CN"/>
        </w:rPr>
        <w:t>ells</w:t>
      </w:r>
    </w:p>
    <w:p w14:paraId="64FF8875" w14:textId="25F6E50E" w:rsidR="00C53697" w:rsidRDefault="005E3D0B" w:rsidP="007C363A">
      <w:pPr>
        <w:jc w:val="both"/>
        <w:rPr>
          <w:rFonts w:ascii="Palatino Linotype" w:eastAsia="SimSun" w:hAnsi="Palatino Linotype" w:cs="Times New Roman"/>
          <w:noProof/>
          <w:color w:val="000000"/>
          <w:sz w:val="20"/>
          <w:szCs w:val="20"/>
          <w:shd w:val="clear" w:color="auto" w:fill="FFFFFF"/>
          <w:lang w:val="en-US" w:eastAsia="zh-CN"/>
        </w:rPr>
      </w:pPr>
      <w:r w:rsidRPr="00C02D44">
        <w:rPr>
          <w:rFonts w:ascii="Palatino Linotype" w:eastAsia="SimSun" w:hAnsi="Palatino Linotype" w:cs="Times New Roman"/>
          <w:noProof/>
          <w:color w:val="000000"/>
          <w:sz w:val="20"/>
          <w:szCs w:val="20"/>
          <w:lang w:val="en-US" w:eastAsia="zh-CN"/>
        </w:rPr>
        <w:t xml:space="preserve">Amplification or overexpression of </w:t>
      </w:r>
      <w:r w:rsidRPr="00C02D44">
        <w:rPr>
          <w:rFonts w:ascii="Palatino Linotype" w:eastAsia="SimSun" w:hAnsi="Palatino Linotype" w:cs="Times New Roman"/>
          <w:i/>
          <w:iCs/>
          <w:noProof/>
          <w:color w:val="000000"/>
          <w:sz w:val="20"/>
          <w:szCs w:val="20"/>
          <w:lang w:val="en-US" w:eastAsia="zh-CN"/>
        </w:rPr>
        <w:t>MYC</w:t>
      </w:r>
      <w:r w:rsidRPr="00C02D44">
        <w:rPr>
          <w:rFonts w:ascii="Palatino Linotype" w:eastAsia="SimSun" w:hAnsi="Palatino Linotype" w:cs="Times New Roman"/>
          <w:noProof/>
          <w:color w:val="000000"/>
          <w:sz w:val="20"/>
          <w:szCs w:val="20"/>
          <w:lang w:val="en-US" w:eastAsia="zh-CN"/>
        </w:rPr>
        <w:t xml:space="preserve"> enhances the levels of transporters and enzymes involved in glycolysis, genes responsible for glutamine uptake and glutaminolysis, fatty acid synthesis, mitochondrial biogenesis, and serine metabolism. Tumors that reside in a low oxygen environment (hypoxia) suffer a metabolic adaptation regulated by HIF-1, which in turn increases the glycolytic function. Constitutive activation of HIF-1α in normoxia has been observed in several tumors as a result of mTOR activation, loss of the </w:t>
      </w:r>
      <w:r w:rsidRPr="00C02D44">
        <w:rPr>
          <w:rFonts w:ascii="Palatino Linotype" w:eastAsia="SimSun" w:hAnsi="Palatino Linotype" w:cs="Times New Roman"/>
          <w:i/>
          <w:iCs/>
          <w:noProof/>
          <w:color w:val="000000"/>
          <w:sz w:val="20"/>
          <w:szCs w:val="20"/>
          <w:lang w:val="en-US" w:eastAsia="zh-CN"/>
        </w:rPr>
        <w:t>von Hippel-Lindau</w:t>
      </w:r>
      <w:r w:rsidRPr="00C02D44">
        <w:rPr>
          <w:rFonts w:ascii="Palatino Linotype" w:eastAsia="SimSun" w:hAnsi="Palatino Linotype" w:cs="Times New Roman"/>
          <w:noProof/>
          <w:color w:val="000000"/>
          <w:sz w:val="20"/>
          <w:szCs w:val="20"/>
          <w:lang w:val="en-US" w:eastAsia="zh-CN"/>
        </w:rPr>
        <w:t xml:space="preserve"> (</w:t>
      </w:r>
      <w:r w:rsidRPr="00C02D44">
        <w:rPr>
          <w:rFonts w:ascii="Palatino Linotype" w:eastAsia="SimSun" w:hAnsi="Palatino Linotype" w:cs="Times New Roman"/>
          <w:i/>
          <w:iCs/>
          <w:noProof/>
          <w:color w:val="000000"/>
          <w:sz w:val="20"/>
          <w:szCs w:val="20"/>
          <w:lang w:val="en-US" w:eastAsia="zh-CN"/>
        </w:rPr>
        <w:t>VHL</w:t>
      </w:r>
      <w:r w:rsidRPr="00C02D44">
        <w:rPr>
          <w:rFonts w:ascii="Palatino Linotype" w:eastAsia="SimSun" w:hAnsi="Palatino Linotype" w:cs="Times New Roman"/>
          <w:noProof/>
          <w:color w:val="000000"/>
          <w:sz w:val="20"/>
          <w:szCs w:val="20"/>
          <w:lang w:val="en-US" w:eastAsia="zh-CN"/>
        </w:rPr>
        <w:t>) gene (responsible for HIF-1α proteasomal degradation in normoxia), and mutations in the genes encoding for tricarboxylic acid (TCA) cycle enzymes succinate dehydrogenase (</w:t>
      </w:r>
      <w:r w:rsidRPr="00C02D44">
        <w:rPr>
          <w:rFonts w:ascii="Palatino Linotype" w:eastAsia="SimSun" w:hAnsi="Palatino Linotype" w:cs="Times New Roman"/>
          <w:i/>
          <w:iCs/>
          <w:noProof/>
          <w:color w:val="000000"/>
          <w:sz w:val="20"/>
          <w:szCs w:val="20"/>
          <w:lang w:val="en-US" w:eastAsia="zh-CN"/>
        </w:rPr>
        <w:t>SDH</w:t>
      </w:r>
      <w:r w:rsidRPr="00C02D44">
        <w:rPr>
          <w:rFonts w:ascii="Palatino Linotype" w:eastAsia="SimSun" w:hAnsi="Palatino Linotype" w:cs="Times New Roman"/>
          <w:noProof/>
          <w:color w:val="000000"/>
          <w:sz w:val="20"/>
          <w:szCs w:val="20"/>
          <w:lang w:val="en-US" w:eastAsia="zh-CN"/>
        </w:rPr>
        <w:t>) and fumarate hydratase (</w:t>
      </w:r>
      <w:r w:rsidRPr="00C02D44">
        <w:rPr>
          <w:rFonts w:ascii="Palatino Linotype" w:eastAsia="SimSun" w:hAnsi="Palatino Linotype" w:cs="Times New Roman"/>
          <w:i/>
          <w:iCs/>
          <w:noProof/>
          <w:color w:val="000000"/>
          <w:sz w:val="20"/>
          <w:szCs w:val="20"/>
          <w:lang w:val="en-US" w:eastAsia="zh-CN"/>
        </w:rPr>
        <w:t>FH</w:t>
      </w:r>
      <w:r w:rsidRPr="00C02D44">
        <w:rPr>
          <w:rFonts w:ascii="Palatino Linotype" w:eastAsia="SimSun" w:hAnsi="Palatino Linotype" w:cs="Times New Roman"/>
          <w:noProof/>
          <w:color w:val="000000"/>
          <w:sz w:val="20"/>
          <w:szCs w:val="20"/>
          <w:lang w:val="en-US" w:eastAsia="zh-CN"/>
        </w:rPr>
        <w:t xml:space="preserve">) or reactive oxygen species (ROS) accumulation. Similarly to its downstream effector MYC, RAS promotes an increase in enzymes participating in glycolysis and glutaminolysis. The p53 tumor suppressor is altered in approximately 50% of all cancers. Apart from its role in </w:t>
      </w:r>
      <w:r w:rsidRPr="00C02D44">
        <w:rPr>
          <w:rFonts w:ascii="Palatino Linotype" w:eastAsia="SimSun" w:hAnsi="Palatino Linotype" w:cs="Times New Roman"/>
          <w:noProof/>
          <w:color w:val="000000"/>
          <w:sz w:val="20"/>
          <w:szCs w:val="20"/>
          <w:shd w:val="clear" w:color="auto" w:fill="FFFFFF"/>
          <w:lang w:val="en-US" w:eastAsia="zh-CN"/>
        </w:rPr>
        <w:t>DNA repair, cell cycle arrest, and apoptosis, p53 also participates in metabolic control by inhibiting glycolysis and increasing OXPHOS. PTEN negatively regulates the PI3K-AKT-mTOR pathway by dephosphorylating phosphatidyl-inositol 3,4,5-trisphosphate (PIP3), the second messenger produced by PI3K. Moreover, PTEN decreases glucose and glutamine uptake and increases mitochondrial ATP production.</w:t>
      </w:r>
    </w:p>
    <w:p w14:paraId="725DE52E" w14:textId="77777777" w:rsidR="00A0540A" w:rsidRDefault="00A0540A" w:rsidP="007C363A">
      <w:pPr>
        <w:jc w:val="both"/>
        <w:rPr>
          <w:rFonts w:ascii="Palatino Linotype" w:eastAsia="SimSun" w:hAnsi="Palatino Linotype" w:cs="Times New Roman"/>
          <w:b/>
          <w:bCs/>
          <w:noProof/>
          <w:color w:val="000000"/>
          <w:sz w:val="20"/>
          <w:szCs w:val="20"/>
          <w:u w:val="single"/>
          <w:lang w:val="en-US" w:eastAsia="zh-CN"/>
        </w:rPr>
      </w:pPr>
    </w:p>
    <w:p w14:paraId="3A22E7A4" w14:textId="3EA8F222" w:rsidR="00F34251" w:rsidRDefault="00F34251" w:rsidP="007C363A">
      <w:pPr>
        <w:jc w:val="both"/>
        <w:rPr>
          <w:rFonts w:ascii="Palatino Linotype" w:eastAsia="SimSun" w:hAnsi="Palatino Linotype" w:cs="Times New Roman"/>
          <w:b/>
          <w:bCs/>
          <w:noProof/>
          <w:color w:val="000000"/>
          <w:sz w:val="20"/>
          <w:szCs w:val="20"/>
          <w:u w:val="single"/>
          <w:lang w:val="en-US" w:eastAsia="zh-CN"/>
        </w:rPr>
      </w:pPr>
      <w:r w:rsidRPr="00E95A32">
        <w:rPr>
          <w:rFonts w:ascii="Palatino Linotype" w:eastAsia="SimSun" w:hAnsi="Palatino Linotype" w:cs="Times New Roman"/>
          <w:b/>
          <w:bCs/>
          <w:noProof/>
          <w:color w:val="000000"/>
          <w:sz w:val="20"/>
          <w:szCs w:val="20"/>
          <w:u w:val="single"/>
          <w:lang w:val="en-US" w:eastAsia="zh-CN"/>
        </w:rPr>
        <w:t>Supplementary Box 2</w:t>
      </w:r>
    </w:p>
    <w:p w14:paraId="681D5112" w14:textId="77777777" w:rsidR="00A06CC4" w:rsidRPr="00146BE0" w:rsidRDefault="00965C87" w:rsidP="007C363A">
      <w:pPr>
        <w:jc w:val="both"/>
        <w:rPr>
          <w:rFonts w:ascii="Palatino Linotype" w:eastAsia="SimSun" w:hAnsi="Palatino Linotype" w:cs="Times New Roman"/>
          <w:b/>
          <w:bCs/>
          <w:noProof/>
          <w:color w:val="000000"/>
          <w:sz w:val="20"/>
          <w:szCs w:val="20"/>
          <w:lang w:val="en-US" w:eastAsia="zh-CN"/>
        </w:rPr>
      </w:pPr>
      <w:r w:rsidRPr="00146BE0">
        <w:rPr>
          <w:rFonts w:ascii="Palatino Linotype" w:eastAsia="SimSun" w:hAnsi="Palatino Linotype" w:cs="Times New Roman"/>
          <w:b/>
          <w:bCs/>
          <w:noProof/>
          <w:color w:val="000000"/>
          <w:sz w:val="20"/>
          <w:szCs w:val="20"/>
          <w:lang w:val="en-US" w:eastAsia="zh-CN"/>
        </w:rPr>
        <w:t xml:space="preserve">Mitochondrial DNA </w:t>
      </w:r>
    </w:p>
    <w:p w14:paraId="47BC1F37" w14:textId="77C9FC1E" w:rsidR="006E0F46" w:rsidRPr="009A0A18" w:rsidRDefault="00F34251" w:rsidP="007C363A">
      <w:pPr>
        <w:jc w:val="both"/>
        <w:rPr>
          <w:rFonts w:ascii="Palatino Linotype" w:eastAsia="SimSun" w:hAnsi="Palatino Linotype" w:cs="Times New Roman"/>
          <w:noProof/>
          <w:color w:val="000000"/>
          <w:sz w:val="20"/>
          <w:szCs w:val="20"/>
          <w:lang w:val="en-US" w:eastAsia="zh-CN"/>
        </w:rPr>
      </w:pPr>
      <w:r w:rsidRPr="0049442D">
        <w:rPr>
          <w:rFonts w:ascii="Palatino Linotype" w:eastAsia="SimSun" w:hAnsi="Palatino Linotype" w:cs="Times New Roman"/>
          <w:noProof/>
          <w:color w:val="000000"/>
          <w:sz w:val="20"/>
          <w:szCs w:val="20"/>
          <w:lang w:val="en-US" w:eastAsia="zh-CN"/>
        </w:rPr>
        <w:t xml:space="preserve">Years of evolution have resulted in a mitochondrial genome composed by 16.5 kb encoding 37 genes crucial for OXPHOS activity: 13 encoding essential components of the OXPHOS machinery, 22 transfer RNAs necessary for mitochondrial translation, and the 12S and 16S ribosomal RNAs. Therefore, a high number of mutations in mtDNA results in impaired energy production. However, most of the approximately 1,000 mitochondrial proteins are encoded by nuclear DNA (nDNA), synthesized, and imported from the cytoplasm into the organelle. The mutagenesis rate of mtDNA is 10-20-fold higher than nDNA due to </w:t>
      </w:r>
      <w:r w:rsidR="00AC0D1E">
        <w:rPr>
          <w:rFonts w:ascii="Palatino Linotype" w:eastAsia="SimSun" w:hAnsi="Palatino Linotype" w:cs="Times New Roman"/>
          <w:noProof/>
          <w:color w:val="000000"/>
          <w:sz w:val="20"/>
          <w:szCs w:val="20"/>
          <w:lang w:val="en-US" w:eastAsia="zh-CN"/>
        </w:rPr>
        <w:t>its</w:t>
      </w:r>
      <w:r w:rsidR="00AC0D1E" w:rsidRPr="0049442D">
        <w:rPr>
          <w:rFonts w:ascii="Palatino Linotype" w:eastAsia="SimSun" w:hAnsi="Palatino Linotype" w:cs="Times New Roman"/>
          <w:noProof/>
          <w:color w:val="000000"/>
          <w:sz w:val="20"/>
          <w:szCs w:val="20"/>
          <w:lang w:val="en-US" w:eastAsia="zh-CN"/>
        </w:rPr>
        <w:t xml:space="preserve"> </w:t>
      </w:r>
      <w:r w:rsidRPr="0049442D">
        <w:rPr>
          <w:rFonts w:ascii="Palatino Linotype" w:eastAsia="SimSun" w:hAnsi="Palatino Linotype" w:cs="Times New Roman"/>
          <w:noProof/>
          <w:color w:val="000000"/>
          <w:sz w:val="20"/>
          <w:szCs w:val="20"/>
          <w:lang w:val="en-US" w:eastAsia="zh-CN"/>
        </w:rPr>
        <w:t xml:space="preserve">lack of introns and histones, the proximity to a more mutagenic environment in which ROS are forming, a less efficient DNA repair mechanism, and its replication in an asymmetrical manner, with parts of single-stranded DNA prone to spontaneous </w:t>
      </w:r>
      <w:r w:rsidR="00B15DE4">
        <w:rPr>
          <w:rFonts w:ascii="Palatino Linotype" w:eastAsia="SimSun" w:hAnsi="Palatino Linotype" w:cs="Times New Roman"/>
          <w:noProof/>
          <w:color w:val="000000"/>
          <w:sz w:val="20"/>
          <w:szCs w:val="20"/>
          <w:lang w:val="en-US" w:eastAsia="zh-CN"/>
        </w:rPr>
        <w:t xml:space="preserve">nucleotide </w:t>
      </w:r>
      <w:r w:rsidRPr="0049442D">
        <w:rPr>
          <w:rFonts w:ascii="Palatino Linotype" w:eastAsia="SimSun" w:hAnsi="Palatino Linotype" w:cs="Times New Roman"/>
          <w:noProof/>
          <w:color w:val="000000"/>
          <w:sz w:val="20"/>
          <w:szCs w:val="20"/>
          <w:lang w:val="en-US" w:eastAsia="zh-CN"/>
        </w:rPr>
        <w:t xml:space="preserve">deamination. </w:t>
      </w:r>
    </w:p>
    <w:p w14:paraId="646F5446" w14:textId="77777777" w:rsidR="00A0540A" w:rsidRDefault="00A0540A" w:rsidP="007C363A">
      <w:pPr>
        <w:jc w:val="both"/>
        <w:rPr>
          <w:rFonts w:ascii="Palatino Linotype" w:eastAsia="SimSun" w:hAnsi="Palatino Linotype" w:cs="Times New Roman"/>
          <w:b/>
          <w:bCs/>
          <w:noProof/>
          <w:color w:val="000000"/>
          <w:sz w:val="20"/>
          <w:szCs w:val="20"/>
          <w:u w:val="single"/>
          <w:lang w:val="en-US" w:eastAsia="zh-CN"/>
        </w:rPr>
      </w:pPr>
    </w:p>
    <w:p w14:paraId="17066E9A" w14:textId="44B164A8" w:rsidR="00FB06D7" w:rsidRDefault="00FB06D7" w:rsidP="007C363A">
      <w:pPr>
        <w:jc w:val="both"/>
        <w:rPr>
          <w:rFonts w:ascii="Palatino Linotype" w:eastAsia="SimSun" w:hAnsi="Palatino Linotype" w:cs="Times New Roman"/>
          <w:b/>
          <w:bCs/>
          <w:noProof/>
          <w:color w:val="000000"/>
          <w:sz w:val="20"/>
          <w:szCs w:val="20"/>
          <w:u w:val="single"/>
          <w:lang w:val="en-US" w:eastAsia="zh-CN"/>
        </w:rPr>
      </w:pPr>
      <w:r w:rsidRPr="00E95A32">
        <w:rPr>
          <w:rFonts w:ascii="Palatino Linotype" w:eastAsia="SimSun" w:hAnsi="Palatino Linotype" w:cs="Times New Roman"/>
          <w:b/>
          <w:bCs/>
          <w:noProof/>
          <w:color w:val="000000"/>
          <w:sz w:val="20"/>
          <w:szCs w:val="20"/>
          <w:u w:val="single"/>
          <w:lang w:val="en-US" w:eastAsia="zh-CN"/>
        </w:rPr>
        <w:t xml:space="preserve">Supplementary Box </w:t>
      </w:r>
      <w:r w:rsidR="00F34251">
        <w:rPr>
          <w:rFonts w:ascii="Palatino Linotype" w:eastAsia="SimSun" w:hAnsi="Palatino Linotype" w:cs="Times New Roman"/>
          <w:b/>
          <w:bCs/>
          <w:noProof/>
          <w:color w:val="000000"/>
          <w:sz w:val="20"/>
          <w:szCs w:val="20"/>
          <w:u w:val="single"/>
          <w:lang w:val="en-US" w:eastAsia="zh-CN"/>
        </w:rPr>
        <w:t>3</w:t>
      </w:r>
    </w:p>
    <w:p w14:paraId="6CCDD9D1" w14:textId="77777777" w:rsidR="00965C87" w:rsidRPr="006E0F46" w:rsidRDefault="00965C87" w:rsidP="007C363A">
      <w:pPr>
        <w:jc w:val="both"/>
        <w:rPr>
          <w:rFonts w:ascii="Palatino Linotype" w:eastAsia="SimSun" w:hAnsi="Palatino Linotype" w:cs="Times New Roman"/>
          <w:b/>
          <w:bCs/>
          <w:noProof/>
          <w:color w:val="000000"/>
          <w:sz w:val="20"/>
          <w:szCs w:val="20"/>
          <w:lang w:val="en-US" w:eastAsia="zh-CN"/>
        </w:rPr>
      </w:pPr>
      <w:r w:rsidRPr="006E0F46">
        <w:rPr>
          <w:rFonts w:ascii="Palatino Linotype" w:eastAsia="SimSun" w:hAnsi="Palatino Linotype" w:cs="Times New Roman"/>
          <w:b/>
          <w:bCs/>
          <w:noProof/>
          <w:color w:val="000000"/>
          <w:sz w:val="20"/>
          <w:szCs w:val="20"/>
          <w:lang w:val="en-US" w:eastAsia="zh-CN"/>
        </w:rPr>
        <w:t xml:space="preserve">Mitochondrial </w:t>
      </w:r>
      <w:r w:rsidR="0046404C">
        <w:rPr>
          <w:rFonts w:ascii="Palatino Linotype" w:eastAsia="SimSun" w:hAnsi="Palatino Linotype" w:cs="Times New Roman"/>
          <w:b/>
          <w:bCs/>
          <w:noProof/>
          <w:color w:val="000000"/>
          <w:sz w:val="20"/>
          <w:szCs w:val="20"/>
          <w:lang w:val="en-US" w:eastAsia="zh-CN"/>
        </w:rPr>
        <w:t>D</w:t>
      </w:r>
      <w:r w:rsidRPr="006E0F46">
        <w:rPr>
          <w:rFonts w:ascii="Palatino Linotype" w:eastAsia="SimSun" w:hAnsi="Palatino Linotype" w:cs="Times New Roman"/>
          <w:b/>
          <w:bCs/>
          <w:noProof/>
          <w:color w:val="000000"/>
          <w:sz w:val="20"/>
          <w:szCs w:val="20"/>
          <w:lang w:val="en-US" w:eastAsia="zh-CN"/>
        </w:rPr>
        <w:t>ynamics</w:t>
      </w:r>
    </w:p>
    <w:p w14:paraId="302A18E5" w14:textId="77777777" w:rsidR="00645C51" w:rsidRPr="005D234A" w:rsidRDefault="00645C51" w:rsidP="007C363A">
      <w:pPr>
        <w:pStyle w:val="ListParagraph"/>
        <w:numPr>
          <w:ilvl w:val="1"/>
          <w:numId w:val="5"/>
        </w:numPr>
        <w:jc w:val="both"/>
        <w:rPr>
          <w:rFonts w:ascii="Palatino Linotype" w:eastAsia="SimSun" w:hAnsi="Palatino Linotype" w:cs="Times New Roman"/>
          <w:noProof/>
          <w:color w:val="000000"/>
          <w:sz w:val="20"/>
          <w:szCs w:val="20"/>
          <w:u w:val="single"/>
          <w:lang w:val="en-US" w:eastAsia="zh-CN"/>
        </w:rPr>
      </w:pPr>
      <w:r w:rsidRPr="005D234A">
        <w:rPr>
          <w:rFonts w:ascii="Palatino Linotype" w:eastAsia="SimSun" w:hAnsi="Palatino Linotype" w:cs="Times New Roman"/>
          <w:noProof/>
          <w:color w:val="000000"/>
          <w:sz w:val="20"/>
          <w:szCs w:val="20"/>
          <w:u w:val="single"/>
          <w:lang w:val="en-US" w:eastAsia="zh-CN"/>
        </w:rPr>
        <w:t>Mitogenesis</w:t>
      </w:r>
    </w:p>
    <w:p w14:paraId="5A09C74E" w14:textId="1ADA0855" w:rsidR="00645C51" w:rsidRPr="0049442D" w:rsidRDefault="00645C51" w:rsidP="007C363A">
      <w:pPr>
        <w:jc w:val="both"/>
        <w:rPr>
          <w:rFonts w:ascii="Palatino Linotype" w:eastAsia="SimSun" w:hAnsi="Palatino Linotype" w:cs="Times New Roman"/>
          <w:noProof/>
          <w:color w:val="000000"/>
          <w:sz w:val="10"/>
          <w:szCs w:val="10"/>
          <w:lang w:val="en-US" w:eastAsia="zh-CN"/>
        </w:rPr>
      </w:pPr>
      <w:r w:rsidRPr="0049442D">
        <w:rPr>
          <w:rFonts w:ascii="Palatino Linotype" w:eastAsia="SimSun" w:hAnsi="Palatino Linotype" w:cs="Times New Roman"/>
          <w:noProof/>
          <w:color w:val="000000"/>
          <w:sz w:val="20"/>
          <w:szCs w:val="20"/>
          <w:lang w:val="en-US" w:eastAsia="zh-CN"/>
        </w:rPr>
        <w:t>Regulation of mitochondrial mass homeostasis is crucial for healthy cells, and requires the coordination of two opposite processes, mitogenesis and mitophagy, respectively. In situations of increased energy demand and other environmental stress factors, mitochondrial biogenesis (</w:t>
      </w:r>
      <w:r w:rsidRPr="0049442D">
        <w:rPr>
          <w:rFonts w:ascii="Palatino Linotype" w:eastAsia="SimSun" w:hAnsi="Palatino Linotype" w:cs="Times New Roman"/>
          <w:i/>
          <w:iCs/>
          <w:noProof/>
          <w:color w:val="000000"/>
          <w:sz w:val="20"/>
          <w:szCs w:val="20"/>
          <w:lang w:val="en-US" w:eastAsia="zh-CN"/>
        </w:rPr>
        <w:t>i.e</w:t>
      </w:r>
      <w:r w:rsidRPr="0049442D">
        <w:rPr>
          <w:rFonts w:ascii="Palatino Linotype" w:eastAsia="SimSun" w:hAnsi="Palatino Linotype" w:cs="Times New Roman"/>
          <w:noProof/>
          <w:color w:val="000000"/>
          <w:sz w:val="20"/>
          <w:szCs w:val="20"/>
          <w:lang w:val="en-US" w:eastAsia="zh-CN"/>
        </w:rPr>
        <w:t xml:space="preserve">. mitogenesis) is activated. New mitochondria are formed from already existing ones, in a self-renewal manner.  The key regulator of mitogenesis is peroxisome proliferator-activated receptor (PPAR) γ coactivator 1-α (PGC-1α), which interacts with </w:t>
      </w:r>
      <w:r>
        <w:rPr>
          <w:rFonts w:ascii="Palatino Linotype" w:eastAsia="SimSun" w:hAnsi="Palatino Linotype" w:cs="Times New Roman"/>
          <w:noProof/>
          <w:color w:val="000000"/>
          <w:sz w:val="20"/>
          <w:szCs w:val="20"/>
          <w:lang w:val="en-US" w:eastAsia="zh-CN"/>
        </w:rPr>
        <w:t xml:space="preserve">the </w:t>
      </w:r>
      <w:r w:rsidRPr="0049442D">
        <w:rPr>
          <w:rFonts w:ascii="Palatino Linotype" w:eastAsia="SimSun" w:hAnsi="Palatino Linotype" w:cs="Times New Roman"/>
          <w:noProof/>
          <w:color w:val="000000"/>
          <w:sz w:val="20"/>
          <w:szCs w:val="20"/>
          <w:lang w:val="en-US" w:eastAsia="zh-CN"/>
        </w:rPr>
        <w:t>nuclear respiratory factors 1 and 2 (NRF-1 and NRF-2), and the mitochondrial transcription factor A (TFAM). NRF-1, NRF-2, and TFAM regulate expression of genes encoding key mitochondrial enzymes involved in the respiratory complex, mitochondrial protein import machinery, and mtDNA synthesis, among others. Moreover, the cyclic adenine monophosphate and protein kinase A (cAMP/PKA) signaling pathway activates the cAMP response element-binding protein (CREB), that can translocate to mitochondria, inducing PGC-1α</w:t>
      </w:r>
      <w:r w:rsidRPr="0049442D" w:rsidDel="0008370E">
        <w:rPr>
          <w:rFonts w:ascii="Palatino Linotype" w:eastAsia="SimSun" w:hAnsi="Palatino Linotype" w:cs="Times New Roman"/>
          <w:noProof/>
          <w:color w:val="000000"/>
          <w:sz w:val="20"/>
          <w:szCs w:val="20"/>
          <w:lang w:val="en-US" w:eastAsia="zh-CN"/>
        </w:rPr>
        <w:t xml:space="preserve"> </w:t>
      </w:r>
      <w:r w:rsidRPr="0049442D">
        <w:rPr>
          <w:rFonts w:ascii="Palatino Linotype" w:eastAsia="SimSun" w:hAnsi="Palatino Linotype" w:cs="Times New Roman"/>
          <w:noProof/>
          <w:color w:val="000000"/>
          <w:sz w:val="20"/>
          <w:szCs w:val="20"/>
          <w:lang w:val="en-US" w:eastAsia="zh-CN"/>
        </w:rPr>
        <w:t xml:space="preserve">expression, and thus, mitogenesis. </w:t>
      </w:r>
    </w:p>
    <w:p w14:paraId="66927F33" w14:textId="397E5B0E" w:rsidR="009B773B" w:rsidRPr="0049442D" w:rsidRDefault="00645C51" w:rsidP="007C363A">
      <w:pPr>
        <w:jc w:val="both"/>
        <w:rPr>
          <w:rFonts w:ascii="Palatino Linotype" w:eastAsia="SimSun" w:hAnsi="Palatino Linotype" w:cs="Times New Roman"/>
          <w:noProof/>
          <w:color w:val="000000"/>
          <w:sz w:val="20"/>
          <w:szCs w:val="20"/>
          <w:lang w:val="en-US" w:eastAsia="zh-CN"/>
        </w:rPr>
      </w:pPr>
      <w:r w:rsidRPr="0049442D">
        <w:rPr>
          <w:rFonts w:ascii="Palatino Linotype" w:eastAsia="SimSun" w:hAnsi="Palatino Linotype" w:cs="Times New Roman"/>
          <w:noProof/>
          <w:color w:val="000000"/>
          <w:sz w:val="20"/>
          <w:szCs w:val="20"/>
          <w:lang w:val="en-US" w:eastAsia="zh-CN"/>
        </w:rPr>
        <w:br/>
        <w:t xml:space="preserve">In times of energy depletion, cells can sense low ATP levels via the serine/threonine kinase AMP-activated protein kinase (AMPK) complex, </w:t>
      </w:r>
      <w:r w:rsidR="00263803">
        <w:rPr>
          <w:rFonts w:ascii="Palatino Linotype" w:eastAsia="SimSun" w:hAnsi="Palatino Linotype" w:cs="Times New Roman"/>
          <w:noProof/>
          <w:color w:val="000000"/>
          <w:sz w:val="20"/>
          <w:szCs w:val="20"/>
          <w:lang w:val="en-US" w:eastAsia="zh-CN"/>
        </w:rPr>
        <w:t>which</w:t>
      </w:r>
      <w:r w:rsidR="00263803" w:rsidRPr="0049442D">
        <w:rPr>
          <w:rFonts w:ascii="Palatino Linotype" w:eastAsia="SimSun" w:hAnsi="Palatino Linotype" w:cs="Times New Roman"/>
          <w:noProof/>
          <w:color w:val="000000"/>
          <w:sz w:val="20"/>
          <w:szCs w:val="20"/>
          <w:lang w:val="en-US" w:eastAsia="zh-CN"/>
        </w:rPr>
        <w:t xml:space="preserve"> </w:t>
      </w:r>
      <w:r w:rsidRPr="0049442D">
        <w:rPr>
          <w:rFonts w:ascii="Palatino Linotype" w:eastAsia="SimSun" w:hAnsi="Palatino Linotype" w:cs="Times New Roman"/>
          <w:noProof/>
          <w:color w:val="000000"/>
          <w:sz w:val="20"/>
          <w:szCs w:val="20"/>
          <w:lang w:val="en-US" w:eastAsia="zh-CN"/>
        </w:rPr>
        <w:t>induces mitogenesis via phosphorylation and activation of PGC-1α. Upregulation of mitogenesis regulatory proteins, especially PGC-1α, and a higher mitochondrial mass is associated with resistance to chemotherapy, as shown in studies with paclitaxel-treated breast cancer cell</w:t>
      </w:r>
      <w:r w:rsidR="008250A0">
        <w:rPr>
          <w:rFonts w:ascii="Palatino Linotype" w:eastAsia="SimSun" w:hAnsi="Palatino Linotype" w:cs="Times New Roman"/>
          <w:noProof/>
          <w:color w:val="000000"/>
          <w:sz w:val="20"/>
          <w:szCs w:val="20"/>
          <w:lang w:val="en-US" w:eastAsia="zh-CN"/>
        </w:rPr>
        <w:t>s</w:t>
      </w:r>
      <w:r w:rsidRPr="0049442D">
        <w:rPr>
          <w:rFonts w:ascii="Palatino Linotype" w:eastAsia="SimSun" w:hAnsi="Palatino Linotype" w:cs="Times New Roman"/>
          <w:noProof/>
          <w:color w:val="000000"/>
          <w:sz w:val="20"/>
          <w:szCs w:val="20"/>
          <w:lang w:val="en-US" w:eastAsia="zh-CN"/>
        </w:rPr>
        <w:t xml:space="preserve">, selumetinib-resistant melanoma cell lines, and ovarian cancer cells treated with cisplatin. </w:t>
      </w:r>
    </w:p>
    <w:p w14:paraId="7D67AA9B" w14:textId="77777777" w:rsidR="00645C51" w:rsidRPr="005D234A" w:rsidRDefault="00645C51" w:rsidP="007C363A">
      <w:pPr>
        <w:pStyle w:val="ListParagraph"/>
        <w:numPr>
          <w:ilvl w:val="1"/>
          <w:numId w:val="5"/>
        </w:numPr>
        <w:jc w:val="both"/>
        <w:rPr>
          <w:rFonts w:ascii="Palatino Linotype" w:eastAsia="SimSun" w:hAnsi="Palatino Linotype" w:cs="Times New Roman"/>
          <w:noProof/>
          <w:color w:val="000000"/>
          <w:sz w:val="20"/>
          <w:szCs w:val="20"/>
          <w:u w:val="single"/>
          <w:lang w:val="en-US" w:eastAsia="zh-CN"/>
        </w:rPr>
      </w:pPr>
      <w:r w:rsidRPr="005D234A">
        <w:rPr>
          <w:rFonts w:ascii="Palatino Linotype" w:eastAsia="SimSun" w:hAnsi="Palatino Linotype" w:cs="Times New Roman"/>
          <w:noProof/>
          <w:color w:val="000000"/>
          <w:sz w:val="20"/>
          <w:szCs w:val="20"/>
          <w:u w:val="single"/>
          <w:lang w:val="en-US" w:eastAsia="zh-CN"/>
        </w:rPr>
        <w:lastRenderedPageBreak/>
        <w:t>Mitophagy</w:t>
      </w:r>
    </w:p>
    <w:p w14:paraId="0D08FFBC" w14:textId="3E930910" w:rsidR="00645C51" w:rsidRDefault="00645C51" w:rsidP="007C363A">
      <w:pPr>
        <w:jc w:val="both"/>
        <w:rPr>
          <w:rFonts w:ascii="Palatino Linotype" w:eastAsia="SimSun" w:hAnsi="Palatino Linotype" w:cs="Times New Roman"/>
          <w:noProof/>
          <w:color w:val="000000"/>
          <w:sz w:val="20"/>
          <w:szCs w:val="20"/>
          <w:lang w:val="en-US" w:eastAsia="zh-CN"/>
        </w:rPr>
      </w:pPr>
      <w:r w:rsidRPr="0049442D">
        <w:rPr>
          <w:rFonts w:ascii="Palatino Linotype" w:eastAsia="SimSun" w:hAnsi="Palatino Linotype" w:cs="Times New Roman"/>
          <w:noProof/>
          <w:color w:val="000000"/>
          <w:sz w:val="20"/>
          <w:szCs w:val="20"/>
          <w:lang w:val="en-US" w:eastAsia="zh-CN"/>
        </w:rPr>
        <w:t>Mitochondria are degraded by a selective form of autophagy named mitophagy. This process occurs as a consequence of several stress and damage conditions including oxidative stress, hypoxia, mtDNA mutation, iron starvation, loss of mitochondrial membrane potential, and accumulation of unfolded proteins. Impairment of the mitophagy mechanism also correlates with different physiological processes, as differentiation, aging, and pathological disorders, like cancer and neurodegenerative diseases.</w:t>
      </w:r>
    </w:p>
    <w:p w14:paraId="2D4799DA" w14:textId="77777777" w:rsidR="000C1774" w:rsidRPr="0049442D" w:rsidRDefault="000C1774" w:rsidP="007C363A">
      <w:pPr>
        <w:jc w:val="both"/>
        <w:rPr>
          <w:rFonts w:ascii="Palatino Linotype" w:eastAsia="SimSun" w:hAnsi="Palatino Linotype" w:cs="Times New Roman"/>
          <w:noProof/>
          <w:color w:val="000000"/>
          <w:sz w:val="20"/>
          <w:szCs w:val="20"/>
          <w:lang w:val="en-US" w:eastAsia="zh-CN"/>
        </w:rPr>
      </w:pPr>
    </w:p>
    <w:p w14:paraId="2EE60FC5" w14:textId="57FF1806" w:rsidR="00645C51" w:rsidRDefault="00645C51" w:rsidP="000E018D">
      <w:pPr>
        <w:jc w:val="both"/>
        <w:rPr>
          <w:rFonts w:ascii="Palatino Linotype" w:eastAsia="SimSun" w:hAnsi="Palatino Linotype" w:cs="Times New Roman"/>
          <w:noProof/>
          <w:color w:val="000000"/>
          <w:sz w:val="20"/>
          <w:szCs w:val="20"/>
          <w:lang w:val="en-US" w:eastAsia="zh-CN"/>
        </w:rPr>
      </w:pPr>
      <w:r w:rsidRPr="0049442D">
        <w:rPr>
          <w:rFonts w:ascii="Palatino Linotype" w:eastAsia="SimSun" w:hAnsi="Palatino Linotype" w:cs="Times New Roman"/>
          <w:noProof/>
          <w:color w:val="000000"/>
          <w:sz w:val="20"/>
          <w:szCs w:val="20"/>
          <w:lang w:val="en-US" w:eastAsia="zh-CN"/>
        </w:rPr>
        <w:t>During mitophagy, mitochondria are embedded in double-membrane vesicles, known as autophagosomes, and degraded in lysosomes. Regulation of mitophagy is driven mainly by the E3 ubiquitin-ligase Parkin and the PTEN-induced kinase 1 (PINK1)</w:t>
      </w:r>
      <w:r>
        <w:rPr>
          <w:rFonts w:ascii="Palatino Linotype" w:eastAsia="SimSun" w:hAnsi="Palatino Linotype" w:cs="Times New Roman"/>
          <w:noProof/>
          <w:color w:val="000000"/>
          <w:sz w:val="20"/>
          <w:szCs w:val="20"/>
          <w:lang w:val="en-US" w:eastAsia="zh-CN"/>
        </w:rPr>
        <w:t xml:space="preserve">, </w:t>
      </w:r>
      <w:r w:rsidRPr="0049442D">
        <w:rPr>
          <w:rFonts w:ascii="Palatino Linotype" w:eastAsia="SimSun" w:hAnsi="Palatino Linotype" w:cs="Times New Roman"/>
          <w:noProof/>
          <w:color w:val="000000"/>
          <w:sz w:val="20"/>
          <w:szCs w:val="20"/>
          <w:lang w:val="en-US" w:eastAsia="zh-CN"/>
        </w:rPr>
        <w:t>ubiquitinating mitochondrial proteins and resulting in mitochondrial engulfment by lysosomes. Apart from the Parkin-related mitophagy pathway, several mitochondrial receptors can induce mitophagy, including the FUN14 domain containing protein 1 (FUNDC1), BCL-2-like protein 13 (BCL2L13), NIX (also called BCL2/adenovirus E1B-interacting protein 3-like, BNIP3L), and BNIP3. They all promote mitochondrial degradation by binding to the LC3B-II (Microtubule-associated protein 1A/1B-light chain 3) present in the mitochondrial autophagosomes.</w:t>
      </w:r>
    </w:p>
    <w:p w14:paraId="7049904B" w14:textId="77777777" w:rsidR="009B773B" w:rsidRPr="0049442D" w:rsidRDefault="009B773B" w:rsidP="007C363A">
      <w:pPr>
        <w:jc w:val="both"/>
        <w:rPr>
          <w:rFonts w:ascii="Palatino Linotype" w:eastAsia="SimSun" w:hAnsi="Palatino Linotype" w:cs="Times New Roman"/>
          <w:noProof/>
          <w:color w:val="000000"/>
          <w:sz w:val="20"/>
          <w:szCs w:val="20"/>
          <w:lang w:val="en-US" w:eastAsia="zh-CN"/>
        </w:rPr>
      </w:pPr>
    </w:p>
    <w:p w14:paraId="4AF7CEA9" w14:textId="77777777" w:rsidR="00645C51" w:rsidRPr="00645C51" w:rsidRDefault="00645C51" w:rsidP="007C363A">
      <w:pPr>
        <w:pStyle w:val="ListParagraph"/>
        <w:numPr>
          <w:ilvl w:val="1"/>
          <w:numId w:val="5"/>
        </w:numPr>
        <w:jc w:val="both"/>
        <w:rPr>
          <w:rFonts w:ascii="Palatino Linotype" w:eastAsia="SimSun" w:hAnsi="Palatino Linotype" w:cs="Times New Roman"/>
          <w:noProof/>
          <w:color w:val="000000"/>
          <w:sz w:val="20"/>
          <w:szCs w:val="20"/>
          <w:u w:val="single"/>
          <w:lang w:val="en-US" w:eastAsia="zh-CN"/>
        </w:rPr>
      </w:pPr>
      <w:r w:rsidRPr="00645C51">
        <w:rPr>
          <w:rFonts w:ascii="Palatino Linotype" w:eastAsia="SimSun" w:hAnsi="Palatino Linotype" w:cs="Times New Roman"/>
          <w:noProof/>
          <w:color w:val="000000"/>
          <w:sz w:val="20"/>
          <w:szCs w:val="20"/>
          <w:u w:val="single"/>
          <w:lang w:val="en-US" w:eastAsia="zh-CN"/>
        </w:rPr>
        <w:t>Fusion-Fission</w:t>
      </w:r>
    </w:p>
    <w:p w14:paraId="1FBFF7EC" w14:textId="65E3DB8B" w:rsidR="00645C51" w:rsidRPr="0049442D" w:rsidRDefault="00645C51" w:rsidP="000E018D">
      <w:pPr>
        <w:autoSpaceDE w:val="0"/>
        <w:autoSpaceDN w:val="0"/>
        <w:adjustRightInd w:val="0"/>
        <w:jc w:val="both"/>
        <w:rPr>
          <w:rFonts w:ascii="Palatino Linotype" w:eastAsia="SimSun" w:hAnsi="Palatino Linotype" w:cs="Times New Roman"/>
          <w:noProof/>
          <w:color w:val="000000"/>
          <w:sz w:val="20"/>
          <w:szCs w:val="20"/>
          <w:lang w:val="en-US" w:eastAsia="zh-CN"/>
        </w:rPr>
      </w:pPr>
      <w:r w:rsidRPr="0049442D">
        <w:rPr>
          <w:rFonts w:ascii="Palatino Linotype" w:eastAsia="SimSun" w:hAnsi="Palatino Linotype" w:cs="Times New Roman"/>
          <w:noProof/>
          <w:color w:val="000000"/>
          <w:sz w:val="20"/>
          <w:szCs w:val="20"/>
          <w:lang w:val="en-US" w:eastAsia="zh-CN"/>
        </w:rPr>
        <w:t>Mitochondrial dynamics are regulated by continuous fusion and fission processes, tightly related to cellular physiology and stress. The rapid morphological changes in mitochondria are critical for their function in different cellular processes including apoptosis, metabolism, immunity, and cell cycle. Fusion is enhanced when increased mitochondrial metabolism is needed, or to reduce stress in damaged mitochondria. Mitochondrial fission is the process in which one mitochondrion is divided in two. It is essential to ensure that dividing and growing cells have an adequate number of mitochondria, but also for apoptosis in situations of cellular stress and recycling damaged mitochondria (</w:t>
      </w:r>
      <w:r w:rsidR="00EB24AC" w:rsidRPr="00BE0689">
        <w:rPr>
          <w:rFonts w:ascii="Palatino Linotype" w:eastAsia="SimSun" w:hAnsi="Palatino Linotype" w:cs="Times New Roman"/>
          <w:b/>
          <w:bCs/>
          <w:noProof/>
          <w:color w:val="000000"/>
          <w:sz w:val="20"/>
          <w:szCs w:val="20"/>
          <w:lang w:val="en-US" w:eastAsia="zh-CN"/>
        </w:rPr>
        <w:t xml:space="preserve">Supplementary </w:t>
      </w:r>
      <w:r w:rsidRPr="00BE0689">
        <w:rPr>
          <w:rFonts w:ascii="Palatino Linotype" w:eastAsia="SimSun" w:hAnsi="Palatino Linotype" w:cs="Times New Roman"/>
          <w:b/>
          <w:bCs/>
          <w:noProof/>
          <w:color w:val="000000"/>
          <w:sz w:val="20"/>
          <w:szCs w:val="20"/>
          <w:lang w:val="en-US" w:eastAsia="zh-CN"/>
        </w:rPr>
        <w:t>Figure 1</w:t>
      </w:r>
      <w:r w:rsidRPr="0049442D">
        <w:rPr>
          <w:rFonts w:ascii="Palatino Linotype" w:eastAsia="SimSun" w:hAnsi="Palatino Linotype" w:cs="Times New Roman"/>
          <w:noProof/>
          <w:color w:val="000000"/>
          <w:sz w:val="20"/>
          <w:szCs w:val="20"/>
          <w:lang w:val="en-US" w:eastAsia="zh-CN"/>
        </w:rPr>
        <w:t>).</w:t>
      </w:r>
    </w:p>
    <w:p w14:paraId="2296DA00" w14:textId="77777777" w:rsidR="00645C51" w:rsidRDefault="00645C51" w:rsidP="000E018D">
      <w:pPr>
        <w:rPr>
          <w:lang w:val="en-US"/>
        </w:rPr>
      </w:pPr>
    </w:p>
    <w:p w14:paraId="1035ED7F" w14:textId="4D804BF6" w:rsidR="00645C51" w:rsidRPr="001E295B" w:rsidRDefault="00645C51" w:rsidP="007C363A">
      <w:pPr>
        <w:autoSpaceDE w:val="0"/>
        <w:autoSpaceDN w:val="0"/>
        <w:adjustRightInd w:val="0"/>
        <w:jc w:val="both"/>
        <w:rPr>
          <w:rFonts w:ascii="Palatino Linotype" w:eastAsia="SimSun" w:hAnsi="Palatino Linotype" w:cs="Times New Roman"/>
          <w:noProof/>
          <w:color w:val="000000"/>
          <w:sz w:val="20"/>
          <w:szCs w:val="20"/>
          <w:lang w:val="en-US" w:eastAsia="zh-CN"/>
        </w:rPr>
      </w:pPr>
      <w:r w:rsidRPr="001E295B">
        <w:rPr>
          <w:rFonts w:ascii="Palatino Linotype" w:eastAsia="SimSun" w:hAnsi="Palatino Linotype" w:cs="Times New Roman"/>
          <w:noProof/>
          <w:color w:val="000000"/>
          <w:sz w:val="20"/>
          <w:szCs w:val="20"/>
          <w:lang w:val="en-US" w:eastAsia="zh-CN"/>
        </w:rPr>
        <w:t xml:space="preserve">Both fusion and fission are controlled by guanosine triphosphatases (GTPases) from the dynamin family. In mammals, mitochondrial fusion is driven by the GTPases mitofusin 1 (MFN1) and mitofusin 2 (MFN2), both located in the OMM, and by the IMM-located optic atrophy 1 (OPA1) enzyme. </w:t>
      </w:r>
      <w:r>
        <w:rPr>
          <w:rFonts w:ascii="Palatino Linotype" w:eastAsia="SimSun" w:hAnsi="Palatino Linotype" w:cs="Times New Roman"/>
          <w:noProof/>
          <w:color w:val="000000"/>
          <w:sz w:val="20"/>
          <w:szCs w:val="20"/>
          <w:lang w:val="en-US" w:eastAsia="zh-CN"/>
        </w:rPr>
        <w:t xml:space="preserve"> </w:t>
      </w:r>
      <w:r w:rsidRPr="001E295B">
        <w:rPr>
          <w:rFonts w:ascii="Palatino Linotype" w:eastAsia="SimSun" w:hAnsi="Palatino Linotype" w:cs="Times New Roman"/>
          <w:noProof/>
          <w:color w:val="000000"/>
          <w:sz w:val="20"/>
          <w:szCs w:val="20"/>
          <w:lang w:val="en-US" w:eastAsia="zh-CN"/>
        </w:rPr>
        <w:t>Mitochondrial fusion is a two-step process that requires joining the OMM and IMM. When mitochondria are tethered by their OMM, GTP binding and hydrolysis changes MFN1 and MFN2 conformation increasing their contact sites and producing OMM fusion. During IMM fission</w:t>
      </w:r>
      <w:r>
        <w:rPr>
          <w:rFonts w:ascii="Palatino Linotype" w:eastAsia="SimSun" w:hAnsi="Palatino Linotype" w:cs="Times New Roman"/>
          <w:noProof/>
          <w:color w:val="000000"/>
          <w:sz w:val="20"/>
          <w:szCs w:val="20"/>
          <w:lang w:val="en-US" w:eastAsia="zh-CN"/>
        </w:rPr>
        <w:t>,</w:t>
      </w:r>
      <w:r w:rsidRPr="001E295B">
        <w:rPr>
          <w:rFonts w:ascii="Palatino Linotype" w:eastAsia="SimSun" w:hAnsi="Palatino Linotype" w:cs="Times New Roman"/>
          <w:noProof/>
          <w:color w:val="000000"/>
          <w:sz w:val="20"/>
          <w:szCs w:val="20"/>
          <w:lang w:val="en-US" w:eastAsia="zh-CN"/>
        </w:rPr>
        <w:t xml:space="preserve"> the interaction between OPA1 and cardiolipin, a specific lipid in the mitochondrial membrane, tethers the IMMs of both mitochondria. Consecutively, OPA1-dependent GTP hydrolysis results in IMM fusion. </w:t>
      </w:r>
    </w:p>
    <w:p w14:paraId="37143B83" w14:textId="3F77E813" w:rsidR="00A0540A" w:rsidRDefault="00645C51" w:rsidP="007C363A">
      <w:pPr>
        <w:autoSpaceDE w:val="0"/>
        <w:autoSpaceDN w:val="0"/>
        <w:adjustRightInd w:val="0"/>
        <w:jc w:val="both"/>
        <w:rPr>
          <w:rFonts w:ascii="Palatino Linotype" w:eastAsia="SimSun" w:hAnsi="Palatino Linotype" w:cs="Times New Roman"/>
          <w:b/>
          <w:bCs/>
          <w:noProof/>
          <w:color w:val="000000"/>
          <w:sz w:val="20"/>
          <w:szCs w:val="20"/>
          <w:u w:val="single"/>
          <w:lang w:val="en-US" w:eastAsia="zh-CN"/>
        </w:rPr>
      </w:pPr>
      <w:r w:rsidRPr="001E295B">
        <w:rPr>
          <w:rFonts w:ascii="Palatino Linotype" w:eastAsia="SimSun" w:hAnsi="Palatino Linotype" w:cs="Times New Roman"/>
          <w:noProof/>
          <w:color w:val="000000"/>
          <w:sz w:val="20"/>
          <w:szCs w:val="20"/>
          <w:lang w:val="en-US" w:eastAsia="zh-CN"/>
        </w:rPr>
        <w:t>Mitochondrial fission is carried out by the dynamin-related/-like protein 1 (DRP1) and dynamin</w:t>
      </w:r>
      <w:r w:rsidR="0096631A">
        <w:rPr>
          <w:rFonts w:ascii="Palatino Linotype" w:eastAsia="SimSun" w:hAnsi="Palatino Linotype" w:cs="Times New Roman"/>
          <w:noProof/>
          <w:color w:val="000000"/>
          <w:sz w:val="20"/>
          <w:szCs w:val="20"/>
          <w:lang w:val="en-US" w:eastAsia="zh-CN"/>
        </w:rPr>
        <w:t xml:space="preserve"> </w:t>
      </w:r>
      <w:r w:rsidRPr="001E295B">
        <w:rPr>
          <w:rFonts w:ascii="Palatino Linotype" w:eastAsia="SimSun" w:hAnsi="Palatino Linotype" w:cs="Times New Roman"/>
          <w:noProof/>
          <w:color w:val="000000"/>
          <w:sz w:val="20"/>
          <w:szCs w:val="20"/>
          <w:lang w:val="en-US" w:eastAsia="zh-CN"/>
        </w:rPr>
        <w:t xml:space="preserve">2 (DNM2), respectively </w:t>
      </w:r>
      <w:r w:rsidRPr="006E0F46">
        <w:rPr>
          <w:rFonts w:ascii="Palatino Linotype" w:eastAsia="SimSun" w:hAnsi="Palatino Linotype" w:cs="Times New Roman"/>
          <w:noProof/>
          <w:color w:val="000000"/>
          <w:sz w:val="20"/>
          <w:szCs w:val="20"/>
          <w:lang w:val="en-US" w:eastAsia="zh-CN"/>
        </w:rPr>
        <w:t>(</w:t>
      </w:r>
      <w:r w:rsidR="00E95A32" w:rsidRPr="006E0F46">
        <w:rPr>
          <w:rFonts w:ascii="Palatino Linotype" w:eastAsia="SimSun" w:hAnsi="Palatino Linotype" w:cs="Times New Roman"/>
          <w:b/>
          <w:bCs/>
          <w:noProof/>
          <w:color w:val="000000"/>
          <w:sz w:val="20"/>
          <w:szCs w:val="20"/>
          <w:lang w:val="en-US" w:eastAsia="zh-CN"/>
        </w:rPr>
        <w:t xml:space="preserve">Supplementary </w:t>
      </w:r>
      <w:r w:rsidRPr="006E0F46">
        <w:rPr>
          <w:rFonts w:ascii="Palatino Linotype" w:eastAsia="SimSun" w:hAnsi="Palatino Linotype" w:cs="Times New Roman"/>
          <w:b/>
          <w:bCs/>
          <w:noProof/>
          <w:color w:val="000000"/>
          <w:sz w:val="20"/>
          <w:szCs w:val="20"/>
          <w:lang w:val="en-US" w:eastAsia="zh-CN"/>
        </w:rPr>
        <w:t>Figure 1</w:t>
      </w:r>
      <w:r w:rsidRPr="006E0F46">
        <w:rPr>
          <w:rFonts w:ascii="Palatino Linotype" w:eastAsia="SimSun" w:hAnsi="Palatino Linotype" w:cs="Times New Roman"/>
          <w:noProof/>
          <w:color w:val="000000"/>
          <w:sz w:val="20"/>
          <w:szCs w:val="20"/>
          <w:lang w:val="en-US" w:eastAsia="zh-CN"/>
        </w:rPr>
        <w:t>).</w:t>
      </w:r>
      <w:r w:rsidRPr="001E295B">
        <w:rPr>
          <w:rFonts w:ascii="Palatino Linotype" w:eastAsia="SimSun" w:hAnsi="Palatino Linotype" w:cs="Times New Roman"/>
          <w:noProof/>
          <w:color w:val="000000"/>
          <w:sz w:val="20"/>
          <w:szCs w:val="20"/>
          <w:lang w:val="en-US" w:eastAsia="zh-CN"/>
        </w:rPr>
        <w:t xml:space="preserve"> This process starts with replication of mtDNA in the matrix, establishing the site for ER recruitment. DRP1 is recruited by fission 1 (FIS1) from the cytosol and anchored to the OMM, where the constriction starts at the mitochondria-ER contact sites. DRP1 oligomerization begins, forming a ring structure around the place of division. Hydrolysis of GTP leads to the conformational change of DRP1 and enhances mitochondrial constriction. Next, DNM2 is recruited resulting in two independent mitochondria. DRP1 activity is regulated by post-transcriptional modifications, especially phosphorylation, that affects its localization. Phosphorylation of DRP1 at Ser616, Ser537, and Ser600 initiates mitochondrial fission by promoting DRP1 translocation from the cytosol to the OMM, whereas phosphorylation at Ser637 and Ser656 reverses the process. Calcineurin, a cytosolic Ca</w:t>
      </w:r>
      <w:r w:rsidRPr="001E295B">
        <w:rPr>
          <w:rFonts w:ascii="Palatino Linotype" w:eastAsia="SimSun" w:hAnsi="Palatino Linotype" w:cs="Times New Roman"/>
          <w:noProof/>
          <w:color w:val="000000"/>
          <w:sz w:val="20"/>
          <w:szCs w:val="20"/>
          <w:vertAlign w:val="superscript"/>
          <w:lang w:val="en-US" w:eastAsia="zh-CN"/>
        </w:rPr>
        <w:t>2+</w:t>
      </w:r>
      <w:r w:rsidRPr="001E295B">
        <w:rPr>
          <w:rFonts w:ascii="Palatino Linotype" w:eastAsia="SimSun" w:hAnsi="Palatino Linotype" w:cs="Times New Roman"/>
          <w:noProof/>
          <w:color w:val="000000"/>
          <w:sz w:val="20"/>
          <w:szCs w:val="20"/>
          <w:lang w:val="en-US" w:eastAsia="zh-CN"/>
        </w:rPr>
        <w:t xml:space="preserve">-dependent phosphatase, dephosphorylates DRP1 at Ser656, promoting its translocation to the mitochondria. </w:t>
      </w:r>
    </w:p>
    <w:p w14:paraId="2D360143" w14:textId="77777777" w:rsidR="0090532F" w:rsidRDefault="0090532F">
      <w:pPr>
        <w:jc w:val="both"/>
        <w:rPr>
          <w:rFonts w:ascii="Palatino Linotype" w:eastAsia="SimSun" w:hAnsi="Palatino Linotype" w:cs="Times New Roman"/>
          <w:b/>
          <w:bCs/>
          <w:noProof/>
          <w:color w:val="000000"/>
          <w:sz w:val="20"/>
          <w:szCs w:val="20"/>
          <w:u w:val="single"/>
          <w:lang w:val="en-US" w:eastAsia="zh-CN"/>
        </w:rPr>
      </w:pPr>
    </w:p>
    <w:p w14:paraId="23560173" w14:textId="77777777" w:rsidR="0090532F" w:rsidRDefault="0090532F">
      <w:pPr>
        <w:jc w:val="both"/>
        <w:rPr>
          <w:rFonts w:ascii="Palatino Linotype" w:eastAsia="SimSun" w:hAnsi="Palatino Linotype" w:cs="Times New Roman"/>
          <w:b/>
          <w:bCs/>
          <w:noProof/>
          <w:color w:val="000000"/>
          <w:sz w:val="20"/>
          <w:szCs w:val="20"/>
          <w:u w:val="single"/>
          <w:lang w:val="en-US" w:eastAsia="zh-CN"/>
        </w:rPr>
      </w:pPr>
    </w:p>
    <w:p w14:paraId="384B6890" w14:textId="77777777" w:rsidR="00CD56A2" w:rsidRDefault="00CD56A2">
      <w:pPr>
        <w:jc w:val="both"/>
        <w:rPr>
          <w:rFonts w:ascii="Palatino Linotype" w:eastAsia="SimSun" w:hAnsi="Palatino Linotype" w:cs="Times New Roman"/>
          <w:b/>
          <w:bCs/>
          <w:noProof/>
          <w:color w:val="000000"/>
          <w:sz w:val="20"/>
          <w:szCs w:val="20"/>
          <w:u w:val="single"/>
          <w:lang w:val="en-US" w:eastAsia="zh-CN"/>
        </w:rPr>
      </w:pPr>
    </w:p>
    <w:p w14:paraId="0A050DF8" w14:textId="0B4D8747" w:rsidR="008637B9" w:rsidRDefault="008637B9" w:rsidP="007C363A">
      <w:pPr>
        <w:jc w:val="both"/>
        <w:rPr>
          <w:rFonts w:ascii="Palatino Linotype" w:eastAsia="SimSun" w:hAnsi="Palatino Linotype" w:cs="Times New Roman"/>
          <w:b/>
          <w:bCs/>
          <w:noProof/>
          <w:color w:val="000000"/>
          <w:sz w:val="20"/>
          <w:szCs w:val="20"/>
          <w:u w:val="single"/>
          <w:lang w:val="en-US" w:eastAsia="zh-CN"/>
        </w:rPr>
      </w:pPr>
      <w:r w:rsidRPr="00E95A32">
        <w:rPr>
          <w:rFonts w:ascii="Palatino Linotype" w:eastAsia="SimSun" w:hAnsi="Palatino Linotype" w:cs="Times New Roman"/>
          <w:b/>
          <w:bCs/>
          <w:noProof/>
          <w:color w:val="000000"/>
          <w:sz w:val="20"/>
          <w:szCs w:val="20"/>
          <w:u w:val="single"/>
          <w:lang w:val="en-US" w:eastAsia="zh-CN"/>
        </w:rPr>
        <w:lastRenderedPageBreak/>
        <w:t xml:space="preserve">Supplementary Box </w:t>
      </w:r>
      <w:r>
        <w:rPr>
          <w:rFonts w:ascii="Palatino Linotype" w:eastAsia="SimSun" w:hAnsi="Palatino Linotype" w:cs="Times New Roman"/>
          <w:b/>
          <w:bCs/>
          <w:noProof/>
          <w:color w:val="000000"/>
          <w:sz w:val="20"/>
          <w:szCs w:val="20"/>
          <w:u w:val="single"/>
          <w:lang w:val="en-US" w:eastAsia="zh-CN"/>
        </w:rPr>
        <w:t>4</w:t>
      </w:r>
    </w:p>
    <w:p w14:paraId="7EF58CAD" w14:textId="242BCD13" w:rsidR="00B22FE8" w:rsidRDefault="00B22FE8" w:rsidP="007C363A">
      <w:pPr>
        <w:jc w:val="both"/>
        <w:rPr>
          <w:rFonts w:ascii="Palatino Linotype" w:eastAsia="SimSun" w:hAnsi="Palatino Linotype" w:cs="Times New Roman"/>
          <w:b/>
          <w:bCs/>
          <w:noProof/>
          <w:color w:val="000000"/>
          <w:sz w:val="20"/>
          <w:szCs w:val="20"/>
          <w:lang w:val="en-US" w:eastAsia="zh-CN"/>
        </w:rPr>
      </w:pPr>
      <w:r w:rsidRPr="006E0F46">
        <w:rPr>
          <w:rFonts w:ascii="Palatino Linotype" w:eastAsia="SimSun" w:hAnsi="Palatino Linotype" w:cs="Times New Roman"/>
          <w:b/>
          <w:bCs/>
          <w:noProof/>
          <w:color w:val="000000"/>
          <w:sz w:val="20"/>
          <w:szCs w:val="20"/>
          <w:lang w:val="en-US" w:eastAsia="zh-CN"/>
        </w:rPr>
        <w:t xml:space="preserve">Mitochondrial </w:t>
      </w:r>
      <w:r w:rsidR="0046404C">
        <w:rPr>
          <w:rFonts w:ascii="Palatino Linotype" w:eastAsia="SimSun" w:hAnsi="Palatino Linotype" w:cs="Times New Roman"/>
          <w:b/>
          <w:bCs/>
          <w:noProof/>
          <w:color w:val="000000"/>
          <w:sz w:val="20"/>
          <w:szCs w:val="20"/>
          <w:lang w:val="en-US" w:eastAsia="zh-CN"/>
        </w:rPr>
        <w:t>F</w:t>
      </w:r>
      <w:r w:rsidRPr="006E0F46">
        <w:rPr>
          <w:rFonts w:ascii="Palatino Linotype" w:eastAsia="SimSun" w:hAnsi="Palatino Linotype" w:cs="Times New Roman"/>
          <w:b/>
          <w:bCs/>
          <w:noProof/>
          <w:color w:val="000000"/>
          <w:sz w:val="20"/>
          <w:szCs w:val="20"/>
          <w:lang w:val="en-US" w:eastAsia="zh-CN"/>
        </w:rPr>
        <w:t xml:space="preserve">unctions beyond </w:t>
      </w:r>
      <w:r w:rsidR="0046404C">
        <w:rPr>
          <w:rFonts w:ascii="Palatino Linotype" w:eastAsia="SimSun" w:hAnsi="Palatino Linotype" w:cs="Times New Roman"/>
          <w:b/>
          <w:bCs/>
          <w:noProof/>
          <w:color w:val="000000"/>
          <w:sz w:val="20"/>
          <w:szCs w:val="20"/>
          <w:lang w:val="en-US" w:eastAsia="zh-CN"/>
        </w:rPr>
        <w:t>M</w:t>
      </w:r>
      <w:r w:rsidRPr="006E0F46">
        <w:rPr>
          <w:rFonts w:ascii="Palatino Linotype" w:eastAsia="SimSun" w:hAnsi="Palatino Linotype" w:cs="Times New Roman"/>
          <w:b/>
          <w:bCs/>
          <w:noProof/>
          <w:color w:val="000000"/>
          <w:sz w:val="20"/>
          <w:szCs w:val="20"/>
          <w:lang w:val="en-US" w:eastAsia="zh-CN"/>
        </w:rPr>
        <w:t>etabolism</w:t>
      </w:r>
    </w:p>
    <w:p w14:paraId="3F670E38" w14:textId="5C25C243" w:rsidR="00554013" w:rsidRDefault="00554013" w:rsidP="000E018D">
      <w:pPr>
        <w:jc w:val="both"/>
        <w:rPr>
          <w:rFonts w:ascii="Palatino Linotype" w:eastAsia="SimSun" w:hAnsi="Palatino Linotype" w:cs="Times New Roman"/>
          <w:noProof/>
          <w:color w:val="000000"/>
          <w:sz w:val="20"/>
          <w:szCs w:val="20"/>
          <w:lang w:val="en-US" w:eastAsia="zh-CN"/>
        </w:rPr>
      </w:pPr>
      <w:r>
        <w:rPr>
          <w:rFonts w:ascii="Palatino Linotype" w:eastAsia="SimSun" w:hAnsi="Palatino Linotype" w:cs="Times New Roman"/>
          <w:noProof/>
          <w:color w:val="000000"/>
          <w:sz w:val="20"/>
          <w:szCs w:val="20"/>
          <w:lang w:val="en-US" w:eastAsia="zh-CN"/>
        </w:rPr>
        <w:t>Although regulation of</w:t>
      </w:r>
      <w:r w:rsidRPr="00554013">
        <w:rPr>
          <w:rFonts w:ascii="Palatino Linotype" w:eastAsia="SimSun" w:hAnsi="Palatino Linotype" w:cs="Times New Roman"/>
          <w:noProof/>
          <w:color w:val="000000"/>
          <w:sz w:val="20"/>
          <w:szCs w:val="20"/>
          <w:lang w:val="en-US" w:eastAsia="zh-CN"/>
        </w:rPr>
        <w:t xml:space="preserve"> </w:t>
      </w:r>
      <w:r>
        <w:rPr>
          <w:rFonts w:ascii="Palatino Linotype" w:eastAsia="SimSun" w:hAnsi="Palatino Linotype" w:cs="Times New Roman"/>
          <w:noProof/>
          <w:color w:val="000000"/>
          <w:sz w:val="20"/>
          <w:szCs w:val="20"/>
          <w:lang w:val="en-US" w:eastAsia="zh-CN"/>
        </w:rPr>
        <w:t xml:space="preserve">energy </w:t>
      </w:r>
      <w:r w:rsidRPr="00554013">
        <w:rPr>
          <w:rFonts w:ascii="Palatino Linotype" w:eastAsia="SimSun" w:hAnsi="Palatino Linotype" w:cs="Times New Roman"/>
          <w:noProof/>
          <w:color w:val="000000"/>
          <w:sz w:val="20"/>
          <w:szCs w:val="20"/>
          <w:lang w:val="en-US" w:eastAsia="zh-CN"/>
        </w:rPr>
        <w:t>metabolism</w:t>
      </w:r>
      <w:r>
        <w:rPr>
          <w:rFonts w:ascii="Palatino Linotype" w:eastAsia="SimSun" w:hAnsi="Palatino Linotype" w:cs="Times New Roman"/>
          <w:noProof/>
          <w:color w:val="000000"/>
          <w:sz w:val="20"/>
          <w:szCs w:val="20"/>
          <w:lang w:val="en-US" w:eastAsia="zh-CN"/>
        </w:rPr>
        <w:t xml:space="preserve"> is the most known mitochondrial function</w:t>
      </w:r>
      <w:r w:rsidRPr="00554013">
        <w:rPr>
          <w:rFonts w:ascii="Palatino Linotype" w:eastAsia="SimSun" w:hAnsi="Palatino Linotype" w:cs="Times New Roman"/>
          <w:noProof/>
          <w:color w:val="000000"/>
          <w:sz w:val="20"/>
          <w:szCs w:val="20"/>
          <w:lang w:val="en-US" w:eastAsia="zh-CN"/>
        </w:rPr>
        <w:t xml:space="preserve">, </w:t>
      </w:r>
      <w:r>
        <w:rPr>
          <w:rFonts w:ascii="Palatino Linotype" w:eastAsia="SimSun" w:hAnsi="Palatino Linotype" w:cs="Times New Roman"/>
          <w:noProof/>
          <w:color w:val="000000"/>
          <w:sz w:val="20"/>
          <w:szCs w:val="20"/>
          <w:lang w:val="en-US" w:eastAsia="zh-CN"/>
        </w:rPr>
        <w:t>they are also involved</w:t>
      </w:r>
      <w:r w:rsidRPr="00554013">
        <w:rPr>
          <w:rFonts w:ascii="Palatino Linotype" w:eastAsia="SimSun" w:hAnsi="Palatino Linotype" w:cs="Times New Roman"/>
          <w:noProof/>
          <w:color w:val="000000"/>
          <w:sz w:val="20"/>
          <w:szCs w:val="20"/>
          <w:lang w:val="en-US" w:eastAsia="zh-CN"/>
        </w:rPr>
        <w:t xml:space="preserve"> </w:t>
      </w:r>
      <w:r>
        <w:rPr>
          <w:rFonts w:ascii="Palatino Linotype" w:eastAsia="SimSun" w:hAnsi="Palatino Linotype" w:cs="Times New Roman"/>
          <w:noProof/>
          <w:color w:val="000000"/>
          <w:sz w:val="20"/>
          <w:szCs w:val="20"/>
          <w:lang w:val="en-US" w:eastAsia="zh-CN"/>
        </w:rPr>
        <w:t xml:space="preserve">in </w:t>
      </w:r>
      <w:r w:rsidRPr="00554013">
        <w:rPr>
          <w:rFonts w:ascii="Palatino Linotype" w:eastAsia="SimSun" w:hAnsi="Palatino Linotype" w:cs="Times New Roman"/>
          <w:noProof/>
          <w:color w:val="000000"/>
          <w:sz w:val="20"/>
          <w:szCs w:val="20"/>
          <w:lang w:val="en-US" w:eastAsia="zh-CN"/>
        </w:rPr>
        <w:t xml:space="preserve">other processes including apoptosis, ROS and calcium signaling as well as iron metabolism. </w:t>
      </w:r>
    </w:p>
    <w:p w14:paraId="2F9A5EDB" w14:textId="77777777" w:rsidR="009B773B" w:rsidRPr="004E50CC" w:rsidRDefault="009B773B" w:rsidP="007C363A">
      <w:pPr>
        <w:jc w:val="both"/>
        <w:rPr>
          <w:rFonts w:ascii="Palatino Linotype" w:eastAsia="SimSun" w:hAnsi="Palatino Linotype" w:cs="Times New Roman"/>
          <w:noProof/>
          <w:color w:val="000000"/>
          <w:sz w:val="20"/>
          <w:szCs w:val="20"/>
          <w:lang w:val="en-US" w:eastAsia="zh-CN"/>
        </w:rPr>
      </w:pPr>
    </w:p>
    <w:p w14:paraId="2D22C1C9" w14:textId="77777777" w:rsidR="0050730A" w:rsidRPr="008637B9" w:rsidRDefault="0050730A" w:rsidP="007C363A">
      <w:pPr>
        <w:pStyle w:val="ListParagraph"/>
        <w:numPr>
          <w:ilvl w:val="1"/>
          <w:numId w:val="4"/>
        </w:numPr>
        <w:jc w:val="both"/>
        <w:rPr>
          <w:rFonts w:ascii="Palatino Linotype" w:eastAsia="SimSun" w:hAnsi="Palatino Linotype" w:cs="Times New Roman"/>
          <w:noProof/>
          <w:color w:val="000000"/>
          <w:sz w:val="20"/>
          <w:szCs w:val="20"/>
          <w:u w:val="single"/>
          <w:lang w:val="en-GB" w:eastAsia="zh-CN"/>
        </w:rPr>
      </w:pPr>
      <w:r w:rsidRPr="008637B9">
        <w:rPr>
          <w:rFonts w:ascii="Palatino Linotype" w:eastAsia="SimSun" w:hAnsi="Palatino Linotype" w:cs="Times New Roman"/>
          <w:noProof/>
          <w:color w:val="000000"/>
          <w:sz w:val="20"/>
          <w:szCs w:val="20"/>
          <w:u w:val="single"/>
          <w:lang w:val="en-GB" w:eastAsia="zh-CN"/>
        </w:rPr>
        <w:t>Apoptosis</w:t>
      </w:r>
    </w:p>
    <w:p w14:paraId="2970F617" w14:textId="3B6CDEF0" w:rsidR="0050730A" w:rsidRDefault="0050730A" w:rsidP="000E018D">
      <w:pPr>
        <w:jc w:val="both"/>
        <w:rPr>
          <w:rFonts w:ascii="Palatino Linotype" w:eastAsia="SimSun" w:hAnsi="Palatino Linotype" w:cs="Times New Roman"/>
          <w:noProof/>
          <w:color w:val="000000"/>
          <w:sz w:val="20"/>
          <w:szCs w:val="20"/>
          <w:lang w:val="en-GB" w:eastAsia="zh-CN"/>
        </w:rPr>
      </w:pPr>
      <w:r w:rsidRPr="001E295B">
        <w:rPr>
          <w:rFonts w:ascii="Palatino Linotype" w:eastAsia="SimSun" w:hAnsi="Palatino Linotype" w:cs="Times New Roman"/>
          <w:noProof/>
          <w:color w:val="000000"/>
          <w:sz w:val="20"/>
          <w:szCs w:val="20"/>
          <w:lang w:val="en-GB" w:eastAsia="zh-CN"/>
        </w:rPr>
        <w:t>Apart from their important role in cellular metabolism, mitochondria are also implicated in the intrinsic apoptotic pathway. Upon death signals like DNA damage, growth factor deprivation, and an increased ROS levels, the mitochondrial membrane becomes permeable allowing the release of high molecular weight proteins including cytochrome c, second mitochondria-derived activator of caspase (Smac)</w:t>
      </w:r>
      <w:r w:rsidR="000A75D1">
        <w:rPr>
          <w:rFonts w:ascii="Palatino Linotype" w:eastAsia="SimSun" w:hAnsi="Palatino Linotype" w:cs="Times New Roman"/>
          <w:noProof/>
          <w:color w:val="000000"/>
          <w:sz w:val="20"/>
          <w:szCs w:val="20"/>
          <w:lang w:val="en-GB" w:eastAsia="zh-CN"/>
        </w:rPr>
        <w:t>/</w:t>
      </w:r>
      <w:r w:rsidRPr="001E295B">
        <w:rPr>
          <w:rFonts w:ascii="Palatino Linotype" w:eastAsia="SimSun" w:hAnsi="Palatino Linotype" w:cs="Times New Roman"/>
          <w:noProof/>
          <w:color w:val="000000"/>
          <w:sz w:val="20"/>
          <w:szCs w:val="20"/>
          <w:lang w:val="en-GB" w:eastAsia="zh-CN"/>
        </w:rPr>
        <w:t xml:space="preserve">direct inhibitor of apoptosis-binding protein (Diablo), and endonuclease G. This process, known as mitochondrial outer membrane permeabilization (MOMP), occurs due to the oligomerization of BCL-2 Associated X (BAX)/BCL-2 antagonist killer (BAK) in the OMM. Next, cytochrome c forms a complex named apoptosome, by binding to the apoptotic peptidase activating factor 1 (APAF1), resulting in caspase 9 activation, cleavage and activation of caspase 7, and subsequently cell death. </w:t>
      </w:r>
    </w:p>
    <w:p w14:paraId="5AB16B69" w14:textId="77777777" w:rsidR="009B773B" w:rsidRPr="001E295B" w:rsidRDefault="009B773B" w:rsidP="007C363A">
      <w:pPr>
        <w:jc w:val="both"/>
        <w:rPr>
          <w:rFonts w:ascii="Palatino Linotype" w:eastAsia="SimSun" w:hAnsi="Palatino Linotype" w:cs="Times New Roman"/>
          <w:noProof/>
          <w:color w:val="000000"/>
          <w:sz w:val="20"/>
          <w:szCs w:val="20"/>
          <w:lang w:val="en-GB" w:eastAsia="zh-CN"/>
        </w:rPr>
      </w:pPr>
    </w:p>
    <w:p w14:paraId="6D9DA16D" w14:textId="77777777" w:rsidR="0050730A" w:rsidRPr="001E295B" w:rsidRDefault="0050730A" w:rsidP="007C363A">
      <w:pPr>
        <w:numPr>
          <w:ilvl w:val="1"/>
          <w:numId w:val="4"/>
        </w:numPr>
        <w:jc w:val="both"/>
        <w:rPr>
          <w:rFonts w:ascii="Palatino Linotype" w:eastAsia="SimSun" w:hAnsi="Palatino Linotype" w:cs="Times New Roman"/>
          <w:noProof/>
          <w:color w:val="000000"/>
          <w:sz w:val="20"/>
          <w:szCs w:val="20"/>
          <w:u w:val="single"/>
          <w:lang w:val="en-GB" w:eastAsia="zh-CN"/>
        </w:rPr>
      </w:pPr>
      <w:r w:rsidRPr="001E295B">
        <w:rPr>
          <w:rFonts w:ascii="Palatino Linotype" w:eastAsia="SimSun" w:hAnsi="Palatino Linotype" w:cs="Times New Roman"/>
          <w:noProof/>
          <w:color w:val="000000"/>
          <w:sz w:val="20"/>
          <w:szCs w:val="20"/>
          <w:u w:val="single"/>
          <w:lang w:val="en-GB" w:eastAsia="zh-CN"/>
        </w:rPr>
        <w:t>ROS Signaling</w:t>
      </w:r>
    </w:p>
    <w:p w14:paraId="6B5E1353" w14:textId="3685C709" w:rsidR="000A75D1" w:rsidRDefault="0050730A" w:rsidP="000E018D">
      <w:pPr>
        <w:jc w:val="both"/>
        <w:rPr>
          <w:rFonts w:ascii="Palatino Linotype" w:eastAsia="SimSun" w:hAnsi="Palatino Linotype" w:cs="Times New Roman"/>
          <w:noProof/>
          <w:color w:val="000000"/>
          <w:sz w:val="20"/>
          <w:szCs w:val="20"/>
          <w:lang w:val="en-US" w:eastAsia="zh-CN"/>
        </w:rPr>
      </w:pPr>
      <w:r w:rsidRPr="001E295B">
        <w:rPr>
          <w:rFonts w:ascii="Palatino Linotype" w:eastAsia="SimSun" w:hAnsi="Palatino Linotype" w:cs="Times New Roman"/>
          <w:noProof/>
          <w:color w:val="000000"/>
          <w:sz w:val="20"/>
          <w:szCs w:val="20"/>
          <w:lang w:val="en-US" w:eastAsia="zh-CN"/>
        </w:rPr>
        <w:t>The electron transport chain and the different enzymatic reactions occurring in mitochondria result in formation of superoxide radicals (O</w:t>
      </w:r>
      <w:r w:rsidRPr="001E295B">
        <w:rPr>
          <w:rFonts w:ascii="Palatino Linotype" w:eastAsia="SimSun" w:hAnsi="Palatino Linotype" w:cs="Times New Roman"/>
          <w:noProof/>
          <w:color w:val="000000"/>
          <w:sz w:val="20"/>
          <w:szCs w:val="20"/>
          <w:vertAlign w:val="subscript"/>
          <w:lang w:val="en-US" w:eastAsia="zh-CN"/>
        </w:rPr>
        <w:t>2</w:t>
      </w:r>
      <w:r w:rsidRPr="001E295B">
        <w:rPr>
          <w:rFonts w:ascii="Palatino Linotype" w:eastAsia="SimSun" w:hAnsi="Palatino Linotype" w:cs="Times New Roman"/>
          <w:noProof/>
          <w:color w:val="000000"/>
          <w:sz w:val="20"/>
          <w:szCs w:val="20"/>
          <w:vertAlign w:val="superscript"/>
          <w:lang w:val="en-US" w:eastAsia="zh-CN"/>
        </w:rPr>
        <w:t>•–</w:t>
      </w:r>
      <w:r w:rsidRPr="001E295B">
        <w:rPr>
          <w:rFonts w:ascii="Palatino Linotype" w:eastAsia="SimSun" w:hAnsi="Palatino Linotype" w:cs="Times New Roman"/>
          <w:noProof/>
          <w:color w:val="000000"/>
          <w:sz w:val="20"/>
          <w:szCs w:val="20"/>
          <w:lang w:val="en-US" w:eastAsia="zh-CN"/>
        </w:rPr>
        <w:t>), which in turn generate other ROS and reactive nitrogen species (RNS). Reactive oxygen and nitrogen species are not just metabolic by-products, instead they are second messengers controlling cell proliferation and survival. The amount of ROS/RNS determines the cellular outcome, as low levels sustain signaling pathways, but high levels induce oxidative stress. An imbalance between the production of reactive species and the antioxidant systems affects cancer initiation and progression. At the same time, oncogenes impact on ROS production and the expression and function of the antioxidant systems to maintain crucial signaling pathways while avoiding cellular death.</w:t>
      </w:r>
    </w:p>
    <w:p w14:paraId="45318155" w14:textId="77777777" w:rsidR="009B773B" w:rsidRPr="001E295B" w:rsidRDefault="009B773B" w:rsidP="007C363A">
      <w:pPr>
        <w:jc w:val="both"/>
        <w:rPr>
          <w:rFonts w:ascii="Palatino Linotype" w:eastAsia="SimSun" w:hAnsi="Palatino Linotype" w:cs="Times New Roman"/>
          <w:noProof/>
          <w:color w:val="000000"/>
          <w:sz w:val="20"/>
          <w:szCs w:val="20"/>
          <w:lang w:val="en-US" w:eastAsia="zh-CN"/>
        </w:rPr>
      </w:pPr>
    </w:p>
    <w:p w14:paraId="5C65B2FF" w14:textId="77777777" w:rsidR="0050730A" w:rsidRPr="001E295B" w:rsidRDefault="0050730A" w:rsidP="007C363A">
      <w:pPr>
        <w:numPr>
          <w:ilvl w:val="1"/>
          <w:numId w:val="4"/>
        </w:numPr>
        <w:jc w:val="both"/>
        <w:rPr>
          <w:rFonts w:ascii="Palatino Linotype" w:eastAsia="SimSun" w:hAnsi="Palatino Linotype" w:cs="Times New Roman"/>
          <w:noProof/>
          <w:color w:val="000000"/>
          <w:sz w:val="20"/>
          <w:szCs w:val="20"/>
          <w:u w:val="single"/>
          <w:lang w:val="en-US" w:eastAsia="zh-CN"/>
        </w:rPr>
      </w:pPr>
      <w:r w:rsidRPr="001E295B">
        <w:rPr>
          <w:rFonts w:ascii="Palatino Linotype" w:eastAsia="SimSun" w:hAnsi="Palatino Linotype" w:cs="Times New Roman"/>
          <w:noProof/>
          <w:color w:val="000000"/>
          <w:sz w:val="20"/>
          <w:szCs w:val="20"/>
          <w:u w:val="single"/>
          <w:lang w:val="en-US" w:eastAsia="zh-CN"/>
        </w:rPr>
        <w:t>Mitochondrial-Nuclear Crosstalk</w:t>
      </w:r>
    </w:p>
    <w:p w14:paraId="4490D6B9" w14:textId="6652D916" w:rsidR="006E0F46" w:rsidRPr="009A0A18" w:rsidRDefault="0050730A" w:rsidP="007C363A">
      <w:pPr>
        <w:jc w:val="both"/>
        <w:rPr>
          <w:rFonts w:ascii="Palatino Linotype" w:eastAsia="SimSun" w:hAnsi="Palatino Linotype" w:cs="Times New Roman"/>
          <w:noProof/>
          <w:color w:val="000000"/>
          <w:sz w:val="20"/>
          <w:szCs w:val="20"/>
          <w:lang w:val="en-US" w:eastAsia="zh-CN"/>
        </w:rPr>
      </w:pPr>
      <w:r w:rsidRPr="001E295B">
        <w:rPr>
          <w:rFonts w:ascii="Palatino Linotype" w:eastAsia="SimSun" w:hAnsi="Palatino Linotype" w:cs="Times New Roman"/>
          <w:noProof/>
          <w:color w:val="000000"/>
          <w:sz w:val="20"/>
          <w:szCs w:val="20"/>
          <w:lang w:val="en-US" w:eastAsia="zh-CN"/>
        </w:rPr>
        <w:t xml:space="preserve">Mitochondria signal to the nuclei to regulate metabolic changes, which is known as “retrograde signaling”. This process is not limited to nuclear-encoded mitochondrial proteins, but to global nuclear transcription. Some of the pathways involved are nuclear factor of activated T-cells (NFAT), activating transcription factor 2 </w:t>
      </w:r>
      <w:r w:rsidRPr="0050730A">
        <w:rPr>
          <w:rFonts w:ascii="Palatino Linotype" w:eastAsia="SimSun" w:hAnsi="Palatino Linotype" w:cs="Times New Roman"/>
          <w:noProof/>
          <w:color w:val="000000"/>
          <w:sz w:val="20"/>
          <w:szCs w:val="20"/>
          <w:lang w:val="en-US" w:eastAsia="zh-CN"/>
        </w:rPr>
        <w:t>(ATF2)</w:t>
      </w:r>
      <w:r w:rsidR="000C0876">
        <w:rPr>
          <w:rFonts w:ascii="Palatino Linotype" w:eastAsia="SimSun" w:hAnsi="Palatino Linotype" w:cs="Times New Roman"/>
          <w:noProof/>
          <w:color w:val="000000"/>
          <w:sz w:val="20"/>
          <w:szCs w:val="20"/>
          <w:lang w:val="en-US" w:eastAsia="zh-CN"/>
        </w:rPr>
        <w:t xml:space="preserve"> and 5 (ATF5),</w:t>
      </w:r>
      <w:r w:rsidR="0095576C">
        <w:rPr>
          <w:rFonts w:ascii="Palatino Linotype" w:eastAsia="SimSun" w:hAnsi="Palatino Linotype" w:cs="Times New Roman"/>
          <w:noProof/>
          <w:color w:val="000000"/>
          <w:sz w:val="20"/>
          <w:szCs w:val="20"/>
          <w:lang w:val="en-US" w:eastAsia="zh-CN"/>
        </w:rPr>
        <w:t xml:space="preserve"> the latter involved in the </w:t>
      </w:r>
      <w:r w:rsidR="00934069">
        <w:rPr>
          <w:rFonts w:ascii="Palatino Linotype" w:eastAsia="SimSun" w:hAnsi="Palatino Linotype" w:cs="Times New Roman"/>
          <w:noProof/>
          <w:color w:val="000000"/>
          <w:sz w:val="20"/>
          <w:szCs w:val="20"/>
          <w:lang w:val="en-US" w:eastAsia="zh-CN"/>
        </w:rPr>
        <w:t xml:space="preserve">activation of the </w:t>
      </w:r>
      <w:r w:rsidR="0095576C" w:rsidRPr="0095576C">
        <w:rPr>
          <w:rFonts w:ascii="Palatino Linotype" w:eastAsia="SimSun" w:hAnsi="Palatino Linotype" w:cs="Times New Roman"/>
          <w:noProof/>
          <w:color w:val="000000"/>
          <w:sz w:val="20"/>
          <w:szCs w:val="20"/>
          <w:lang w:val="en-US" w:eastAsia="zh-CN"/>
        </w:rPr>
        <w:t>mitochondrial unfolded protein response (UPR).</w:t>
      </w:r>
      <w:r w:rsidRPr="001E295B">
        <w:rPr>
          <w:rFonts w:ascii="Palatino Linotype" w:eastAsia="SimSun" w:hAnsi="Palatino Linotype" w:cs="Times New Roman"/>
          <w:noProof/>
          <w:color w:val="000000"/>
          <w:sz w:val="20"/>
          <w:szCs w:val="20"/>
          <w:lang w:val="en-US" w:eastAsia="zh-CN"/>
        </w:rPr>
        <w:t xml:space="preserve"> </w:t>
      </w:r>
      <w:r w:rsidR="00C62F15">
        <w:rPr>
          <w:rFonts w:ascii="Palatino Linotype" w:eastAsia="SimSun" w:hAnsi="Palatino Linotype" w:cs="Times New Roman"/>
          <w:noProof/>
          <w:color w:val="000000"/>
          <w:sz w:val="20"/>
          <w:szCs w:val="20"/>
          <w:lang w:val="en-US" w:eastAsia="zh-CN"/>
        </w:rPr>
        <w:t xml:space="preserve">In addition, </w:t>
      </w:r>
      <w:r w:rsidRPr="001E295B">
        <w:rPr>
          <w:rFonts w:ascii="Palatino Linotype" w:eastAsia="SimSun" w:hAnsi="Palatino Linotype" w:cs="Times New Roman"/>
          <w:noProof/>
          <w:color w:val="000000"/>
          <w:sz w:val="20"/>
          <w:szCs w:val="20"/>
          <w:lang w:val="en-US" w:eastAsia="zh-CN"/>
        </w:rPr>
        <w:t>nuclear factor kappa light chain enhancer of activated B cells (NF-κB), mitogen-activated protein kinase (MAPK), protein kinase C (PKC), and Cam-KIV-mediated activation of CREB. Moreover, mitochondrial metabolites can also serve as messengers for the nucleus. Fumarate, succinate, and 2-hydroxyglutarate, act as epigenetic regulators controlling DNA methylation, and acetyl-CoA influences histone acetylation, thus affecting cellular transcription.</w:t>
      </w:r>
    </w:p>
    <w:p w14:paraId="4D5C1EE1" w14:textId="77777777" w:rsidR="00A0540A" w:rsidRDefault="00A0540A" w:rsidP="007C363A">
      <w:pPr>
        <w:jc w:val="both"/>
        <w:rPr>
          <w:rFonts w:ascii="Palatino Linotype" w:eastAsia="SimSun" w:hAnsi="Palatino Linotype" w:cs="Times New Roman"/>
          <w:b/>
          <w:bCs/>
          <w:noProof/>
          <w:color w:val="000000"/>
          <w:sz w:val="20"/>
          <w:szCs w:val="20"/>
          <w:u w:val="single"/>
          <w:lang w:val="en-US" w:eastAsia="zh-CN"/>
        </w:rPr>
      </w:pPr>
    </w:p>
    <w:p w14:paraId="038A5B3E" w14:textId="63C666A1" w:rsidR="00F24653" w:rsidRDefault="006D4588" w:rsidP="007C363A">
      <w:pPr>
        <w:jc w:val="both"/>
        <w:rPr>
          <w:rFonts w:ascii="Palatino Linotype" w:eastAsia="SimSun" w:hAnsi="Palatino Linotype" w:cs="Times New Roman"/>
          <w:b/>
          <w:bCs/>
          <w:noProof/>
          <w:color w:val="000000"/>
          <w:sz w:val="20"/>
          <w:szCs w:val="20"/>
          <w:u w:val="single"/>
          <w:lang w:val="en-US" w:eastAsia="zh-CN"/>
        </w:rPr>
      </w:pPr>
      <w:r w:rsidRPr="00E95A32">
        <w:rPr>
          <w:rFonts w:ascii="Palatino Linotype" w:eastAsia="SimSun" w:hAnsi="Palatino Linotype" w:cs="Times New Roman"/>
          <w:b/>
          <w:bCs/>
          <w:noProof/>
          <w:color w:val="000000"/>
          <w:sz w:val="20"/>
          <w:szCs w:val="20"/>
          <w:u w:val="single"/>
          <w:lang w:val="en-US" w:eastAsia="zh-CN"/>
        </w:rPr>
        <w:t xml:space="preserve">Supplementary Box </w:t>
      </w:r>
      <w:r>
        <w:rPr>
          <w:rFonts w:ascii="Palatino Linotype" w:eastAsia="SimSun" w:hAnsi="Palatino Linotype" w:cs="Times New Roman"/>
          <w:b/>
          <w:bCs/>
          <w:noProof/>
          <w:color w:val="000000"/>
          <w:sz w:val="20"/>
          <w:szCs w:val="20"/>
          <w:u w:val="single"/>
          <w:lang w:val="en-US" w:eastAsia="zh-CN"/>
        </w:rPr>
        <w:t>5</w:t>
      </w:r>
    </w:p>
    <w:p w14:paraId="6DDAF971" w14:textId="77777777" w:rsidR="00A06CC4" w:rsidRPr="006E0F46" w:rsidRDefault="0038785F" w:rsidP="007C363A">
      <w:pPr>
        <w:jc w:val="both"/>
        <w:rPr>
          <w:rFonts w:ascii="Palatino Linotype" w:eastAsia="SimSun" w:hAnsi="Palatino Linotype" w:cs="Times New Roman"/>
          <w:b/>
          <w:bCs/>
          <w:noProof/>
          <w:color w:val="000000"/>
          <w:sz w:val="20"/>
          <w:szCs w:val="20"/>
          <w:lang w:val="en-US" w:eastAsia="zh-CN"/>
        </w:rPr>
      </w:pPr>
      <w:r w:rsidRPr="006E0F46">
        <w:rPr>
          <w:rFonts w:ascii="Palatino Linotype" w:eastAsia="SimSun" w:hAnsi="Palatino Linotype" w:cs="Times New Roman"/>
          <w:b/>
          <w:bCs/>
          <w:noProof/>
          <w:color w:val="000000"/>
          <w:sz w:val="20"/>
          <w:szCs w:val="20"/>
          <w:lang w:val="en-US" w:eastAsia="zh-CN"/>
        </w:rPr>
        <w:t xml:space="preserve">Other </w:t>
      </w:r>
      <w:r w:rsidR="0046404C">
        <w:rPr>
          <w:rFonts w:ascii="Palatino Linotype" w:eastAsia="SimSun" w:hAnsi="Palatino Linotype" w:cs="Times New Roman"/>
          <w:b/>
          <w:bCs/>
          <w:noProof/>
          <w:color w:val="000000"/>
          <w:sz w:val="20"/>
          <w:szCs w:val="20"/>
          <w:lang w:val="en-US" w:eastAsia="zh-CN"/>
        </w:rPr>
        <w:t>M</w:t>
      </w:r>
      <w:r w:rsidRPr="006E0F46">
        <w:rPr>
          <w:rFonts w:ascii="Palatino Linotype" w:eastAsia="SimSun" w:hAnsi="Palatino Linotype" w:cs="Times New Roman"/>
          <w:b/>
          <w:bCs/>
          <w:noProof/>
          <w:color w:val="000000"/>
          <w:sz w:val="20"/>
          <w:szCs w:val="20"/>
          <w:lang w:val="en-US" w:eastAsia="zh-CN"/>
        </w:rPr>
        <w:t xml:space="preserve">utations in TCA </w:t>
      </w:r>
      <w:r w:rsidR="0046404C">
        <w:rPr>
          <w:rFonts w:ascii="Palatino Linotype" w:eastAsia="SimSun" w:hAnsi="Palatino Linotype" w:cs="Times New Roman"/>
          <w:b/>
          <w:bCs/>
          <w:noProof/>
          <w:color w:val="000000"/>
          <w:sz w:val="20"/>
          <w:szCs w:val="20"/>
          <w:lang w:val="en-US" w:eastAsia="zh-CN"/>
        </w:rPr>
        <w:t>E</w:t>
      </w:r>
      <w:r w:rsidRPr="006E0F46">
        <w:rPr>
          <w:rFonts w:ascii="Palatino Linotype" w:eastAsia="SimSun" w:hAnsi="Palatino Linotype" w:cs="Times New Roman"/>
          <w:b/>
          <w:bCs/>
          <w:noProof/>
          <w:color w:val="000000"/>
          <w:sz w:val="20"/>
          <w:szCs w:val="20"/>
          <w:lang w:val="en-US" w:eastAsia="zh-CN"/>
        </w:rPr>
        <w:t xml:space="preserve">nzymes in </w:t>
      </w:r>
      <w:r w:rsidR="0046404C">
        <w:rPr>
          <w:rFonts w:ascii="Palatino Linotype" w:eastAsia="SimSun" w:hAnsi="Palatino Linotype" w:cs="Times New Roman"/>
          <w:b/>
          <w:bCs/>
          <w:noProof/>
          <w:color w:val="000000"/>
          <w:sz w:val="20"/>
          <w:szCs w:val="20"/>
          <w:lang w:val="en-US" w:eastAsia="zh-CN"/>
        </w:rPr>
        <w:t>C</w:t>
      </w:r>
      <w:r w:rsidRPr="006E0F46">
        <w:rPr>
          <w:rFonts w:ascii="Palatino Linotype" w:eastAsia="SimSun" w:hAnsi="Palatino Linotype" w:cs="Times New Roman"/>
          <w:b/>
          <w:bCs/>
          <w:noProof/>
          <w:color w:val="000000"/>
          <w:sz w:val="20"/>
          <w:szCs w:val="20"/>
          <w:lang w:val="en-US" w:eastAsia="zh-CN"/>
        </w:rPr>
        <w:t>ancer</w:t>
      </w:r>
    </w:p>
    <w:p w14:paraId="04A04C6E" w14:textId="40B257CB" w:rsidR="00F24653" w:rsidRDefault="00F24653" w:rsidP="000E018D">
      <w:pPr>
        <w:jc w:val="both"/>
        <w:rPr>
          <w:rFonts w:ascii="Palatino Linotype" w:eastAsia="SimSun" w:hAnsi="Palatino Linotype" w:cs="Times New Roman"/>
          <w:noProof/>
          <w:color w:val="000000"/>
          <w:sz w:val="20"/>
          <w:szCs w:val="20"/>
          <w:lang w:val="en-US" w:eastAsia="zh-CN"/>
        </w:rPr>
      </w:pPr>
      <w:r w:rsidRPr="00EB179A">
        <w:rPr>
          <w:rFonts w:ascii="Palatino Linotype" w:eastAsia="SimSun" w:hAnsi="Palatino Linotype" w:cs="Times New Roman"/>
          <w:noProof/>
          <w:color w:val="000000"/>
          <w:sz w:val="20"/>
          <w:szCs w:val="20"/>
          <w:lang w:val="en-US" w:eastAsia="zh-CN"/>
        </w:rPr>
        <w:t xml:space="preserve">Citrate synthase (CS) is the rate limiting enzyme of the TCA cycle, where oxalacetate and acetyl-CoA are converted to citrate. Citrate synthase knockout (KO) results in a metabolic shift from OXPHOS to glycolysis and EMT in different cancer cell lines associated with aggressiveness. The enzyme </w:t>
      </w:r>
      <w:r>
        <w:rPr>
          <w:rFonts w:ascii="Palatino Linotype" w:eastAsia="SimSun" w:hAnsi="Palatino Linotype" w:cs="Times New Roman"/>
          <w:noProof/>
          <w:color w:val="000000"/>
          <w:sz w:val="20"/>
          <w:szCs w:val="20"/>
          <w:lang w:val="en-US" w:eastAsia="zh-CN"/>
        </w:rPr>
        <w:t>is</w:t>
      </w:r>
      <w:r w:rsidRPr="00EB179A">
        <w:rPr>
          <w:rFonts w:ascii="Palatino Linotype" w:eastAsia="SimSun" w:hAnsi="Palatino Linotype" w:cs="Times New Roman"/>
          <w:noProof/>
          <w:color w:val="000000"/>
          <w:sz w:val="20"/>
          <w:szCs w:val="20"/>
          <w:lang w:val="en-US" w:eastAsia="zh-CN"/>
        </w:rPr>
        <w:t xml:space="preserve"> upregulated in pancreatic, prostate, and ovarian cancer</w:t>
      </w:r>
      <w:r>
        <w:rPr>
          <w:rFonts w:ascii="Palatino Linotype" w:eastAsia="SimSun" w:hAnsi="Palatino Linotype" w:cs="Times New Roman"/>
          <w:noProof/>
          <w:color w:val="000000"/>
          <w:sz w:val="20"/>
          <w:szCs w:val="20"/>
          <w:lang w:val="en-US" w:eastAsia="zh-CN"/>
        </w:rPr>
        <w:t>.</w:t>
      </w:r>
      <w:r w:rsidR="000A75D1">
        <w:rPr>
          <w:rFonts w:ascii="Palatino Linotype" w:eastAsia="SimSun" w:hAnsi="Palatino Linotype" w:cs="Times New Roman"/>
          <w:noProof/>
          <w:color w:val="000000"/>
          <w:sz w:val="20"/>
          <w:szCs w:val="20"/>
          <w:lang w:val="en-US" w:eastAsia="zh-CN"/>
        </w:rPr>
        <w:t xml:space="preserve"> </w:t>
      </w:r>
      <w:r w:rsidRPr="00EB179A">
        <w:rPr>
          <w:rFonts w:ascii="Palatino Linotype" w:eastAsia="SimSun" w:hAnsi="Palatino Linotype" w:cs="Times New Roman"/>
          <w:noProof/>
          <w:color w:val="000000"/>
          <w:sz w:val="20"/>
          <w:szCs w:val="20"/>
          <w:lang w:val="en-US" w:eastAsia="zh-CN"/>
        </w:rPr>
        <w:t xml:space="preserve">Reducing </w:t>
      </w:r>
      <w:r w:rsidRPr="00EB179A">
        <w:rPr>
          <w:rFonts w:ascii="Palatino Linotype" w:eastAsia="SimSun" w:hAnsi="Palatino Linotype" w:cs="Times New Roman"/>
          <w:i/>
          <w:iCs/>
          <w:noProof/>
          <w:color w:val="000000"/>
          <w:sz w:val="20"/>
          <w:szCs w:val="20"/>
          <w:lang w:val="en-US" w:eastAsia="zh-CN"/>
        </w:rPr>
        <w:t>CS</w:t>
      </w:r>
      <w:r w:rsidRPr="00EB179A">
        <w:rPr>
          <w:rFonts w:ascii="Palatino Linotype" w:eastAsia="SimSun" w:hAnsi="Palatino Linotype" w:cs="Times New Roman"/>
          <w:noProof/>
          <w:color w:val="000000"/>
          <w:sz w:val="20"/>
          <w:szCs w:val="20"/>
          <w:lang w:val="en-US" w:eastAsia="zh-CN"/>
        </w:rPr>
        <w:t xml:space="preserve"> expression in ovarian cancer cells lines led to decreased proliferation and migration. </w:t>
      </w:r>
    </w:p>
    <w:p w14:paraId="14DED499" w14:textId="77777777" w:rsidR="009B773B" w:rsidRPr="00EB179A" w:rsidRDefault="009B773B" w:rsidP="007C363A">
      <w:pPr>
        <w:jc w:val="both"/>
        <w:rPr>
          <w:rFonts w:ascii="Palatino Linotype" w:eastAsia="SimSun" w:hAnsi="Palatino Linotype" w:cs="Times New Roman"/>
          <w:noProof/>
          <w:color w:val="000000"/>
          <w:sz w:val="20"/>
          <w:szCs w:val="20"/>
          <w:lang w:val="en-US" w:eastAsia="zh-CN"/>
        </w:rPr>
      </w:pPr>
    </w:p>
    <w:p w14:paraId="14A0CC7D" w14:textId="56C3E043" w:rsidR="00F24653" w:rsidRPr="00EB179A" w:rsidRDefault="00F24653" w:rsidP="007C363A">
      <w:pPr>
        <w:jc w:val="both"/>
        <w:rPr>
          <w:rFonts w:ascii="Palatino Linotype" w:eastAsia="SimSun" w:hAnsi="Palatino Linotype" w:cs="Times New Roman"/>
          <w:noProof/>
          <w:color w:val="000000"/>
          <w:sz w:val="20"/>
          <w:szCs w:val="20"/>
          <w:lang w:val="en-US" w:eastAsia="zh-CN"/>
        </w:rPr>
      </w:pPr>
      <w:r w:rsidRPr="00EB179A">
        <w:rPr>
          <w:rFonts w:ascii="Palatino Linotype" w:eastAsia="SimSun" w:hAnsi="Palatino Linotype" w:cs="Times New Roman"/>
          <w:noProof/>
          <w:color w:val="000000"/>
          <w:sz w:val="20"/>
          <w:szCs w:val="20"/>
          <w:lang w:val="en-US" w:eastAsia="zh-CN"/>
        </w:rPr>
        <w:t xml:space="preserve">Aconitase 2 (ACO2) is responsible for the reversible isomerization of citrate to isocitrate. The cytoplasmic version of this reaction is performed by aconitase 1 (ACO1). </w:t>
      </w:r>
      <w:r w:rsidR="005F6F5C">
        <w:rPr>
          <w:rFonts w:ascii="Palatino Linotype" w:eastAsia="SimSun" w:hAnsi="Palatino Linotype" w:cs="Times New Roman"/>
          <w:noProof/>
          <w:color w:val="000000"/>
          <w:sz w:val="20"/>
          <w:szCs w:val="20"/>
          <w:lang w:val="en-US" w:eastAsia="zh-CN"/>
        </w:rPr>
        <w:t xml:space="preserve">The </w:t>
      </w:r>
      <w:r w:rsidRPr="007C363A">
        <w:rPr>
          <w:rFonts w:ascii="Palatino Linotype" w:eastAsia="SimSun" w:hAnsi="Palatino Linotype" w:cs="Times New Roman"/>
          <w:i/>
          <w:iCs/>
          <w:noProof/>
          <w:color w:val="000000"/>
          <w:sz w:val="20"/>
          <w:szCs w:val="20"/>
          <w:lang w:val="en-US" w:eastAsia="zh-CN"/>
        </w:rPr>
        <w:t>ACO2</w:t>
      </w:r>
      <w:r w:rsidRPr="00EB179A">
        <w:rPr>
          <w:rFonts w:ascii="Palatino Linotype" w:eastAsia="SimSun" w:hAnsi="Palatino Linotype" w:cs="Times New Roman"/>
          <w:noProof/>
          <w:color w:val="000000"/>
          <w:sz w:val="20"/>
          <w:szCs w:val="20"/>
          <w:lang w:val="en-US" w:eastAsia="zh-CN"/>
        </w:rPr>
        <w:t xml:space="preserve"> </w:t>
      </w:r>
      <w:r w:rsidR="005F6F5C">
        <w:rPr>
          <w:rFonts w:ascii="Palatino Linotype" w:eastAsia="SimSun" w:hAnsi="Palatino Linotype" w:cs="Times New Roman"/>
          <w:noProof/>
          <w:color w:val="000000"/>
          <w:sz w:val="20"/>
          <w:szCs w:val="20"/>
          <w:lang w:val="en-US" w:eastAsia="zh-CN"/>
        </w:rPr>
        <w:t xml:space="preserve">gene </w:t>
      </w:r>
      <w:r w:rsidRPr="00EB179A">
        <w:rPr>
          <w:rFonts w:ascii="Palatino Linotype" w:eastAsia="SimSun" w:hAnsi="Palatino Linotype" w:cs="Times New Roman"/>
          <w:noProof/>
          <w:color w:val="000000"/>
          <w:sz w:val="20"/>
          <w:szCs w:val="20"/>
          <w:lang w:val="en-US" w:eastAsia="zh-CN"/>
        </w:rPr>
        <w:t xml:space="preserve">is inactivated in </w:t>
      </w:r>
      <w:r w:rsidRPr="007C363A">
        <w:rPr>
          <w:rFonts w:ascii="Palatino Linotype" w:eastAsia="SimSun" w:hAnsi="Palatino Linotype" w:cs="Times New Roman"/>
          <w:i/>
          <w:iCs/>
          <w:noProof/>
          <w:color w:val="000000"/>
          <w:sz w:val="20"/>
          <w:szCs w:val="20"/>
          <w:lang w:val="en-US" w:eastAsia="zh-CN"/>
        </w:rPr>
        <w:t>FH</w:t>
      </w:r>
      <w:r w:rsidRPr="00EB179A">
        <w:rPr>
          <w:rFonts w:ascii="Palatino Linotype" w:eastAsia="SimSun" w:hAnsi="Palatino Linotype" w:cs="Times New Roman"/>
          <w:noProof/>
          <w:color w:val="000000"/>
          <w:sz w:val="20"/>
          <w:szCs w:val="20"/>
          <w:lang w:val="en-US" w:eastAsia="zh-CN"/>
        </w:rPr>
        <w:t xml:space="preserve">-deficient tumors and </w:t>
      </w:r>
      <w:r w:rsidR="005F6F5C">
        <w:rPr>
          <w:rFonts w:ascii="Palatino Linotype" w:eastAsia="SimSun" w:hAnsi="Palatino Linotype" w:cs="Times New Roman"/>
          <w:noProof/>
          <w:color w:val="000000"/>
          <w:sz w:val="20"/>
          <w:szCs w:val="20"/>
          <w:lang w:val="en-US" w:eastAsia="zh-CN"/>
        </w:rPr>
        <w:t xml:space="preserve">the </w:t>
      </w:r>
      <w:r w:rsidRPr="00EB179A">
        <w:rPr>
          <w:rFonts w:ascii="Palatino Linotype" w:eastAsia="SimSun" w:hAnsi="Palatino Linotype" w:cs="Times New Roman"/>
          <w:noProof/>
          <w:color w:val="000000"/>
          <w:sz w:val="20"/>
          <w:szCs w:val="20"/>
          <w:lang w:val="en-US" w:eastAsia="zh-CN"/>
        </w:rPr>
        <w:t xml:space="preserve">levels are decreased in several cancer types. For instance, overexpression of the enzyme in breast cancer cells results in inhibition of proliferation and a shift to oxidative metabolism. In colorectal cancer cells, </w:t>
      </w:r>
      <w:r w:rsidRPr="00EB179A">
        <w:rPr>
          <w:rFonts w:ascii="Palatino Linotype" w:eastAsia="SimSun" w:hAnsi="Palatino Linotype" w:cs="Times New Roman"/>
          <w:i/>
          <w:iCs/>
          <w:noProof/>
          <w:color w:val="000000"/>
          <w:sz w:val="20"/>
          <w:szCs w:val="20"/>
          <w:lang w:val="en-US" w:eastAsia="zh-CN"/>
        </w:rPr>
        <w:t>ACO2</w:t>
      </w:r>
      <w:r w:rsidRPr="00EB179A">
        <w:rPr>
          <w:rFonts w:ascii="Palatino Linotype" w:eastAsia="SimSun" w:hAnsi="Palatino Linotype" w:cs="Times New Roman"/>
          <w:noProof/>
          <w:color w:val="000000"/>
          <w:sz w:val="20"/>
          <w:szCs w:val="20"/>
          <w:lang w:val="en-US" w:eastAsia="zh-CN"/>
        </w:rPr>
        <w:t xml:space="preserve"> KO promotes cell proliferation while its </w:t>
      </w:r>
      <w:r w:rsidRPr="00EB179A">
        <w:rPr>
          <w:rFonts w:ascii="Palatino Linotype" w:eastAsia="SimSun" w:hAnsi="Palatino Linotype" w:cs="Times New Roman"/>
          <w:noProof/>
          <w:color w:val="000000"/>
          <w:sz w:val="20"/>
          <w:szCs w:val="20"/>
          <w:lang w:val="en-US" w:eastAsia="zh-CN"/>
        </w:rPr>
        <w:lastRenderedPageBreak/>
        <w:t xml:space="preserve">inhibition reduces oxidative phosphorylation, increasing glycolysis and citrate usage for lipid synthesis, favoring tumor growth.  </w:t>
      </w:r>
    </w:p>
    <w:p w14:paraId="26652EB9" w14:textId="77777777" w:rsidR="005F6F5C" w:rsidRDefault="005F6F5C" w:rsidP="000E018D">
      <w:pPr>
        <w:shd w:val="clear" w:color="auto" w:fill="FFFFFF"/>
        <w:jc w:val="both"/>
        <w:rPr>
          <w:rFonts w:ascii="Palatino Linotype" w:eastAsia="SimSun" w:hAnsi="Palatino Linotype" w:cs="Times New Roman"/>
          <w:noProof/>
          <w:color w:val="000000"/>
          <w:sz w:val="20"/>
          <w:szCs w:val="20"/>
          <w:shd w:val="clear" w:color="auto" w:fill="FFFFFF"/>
          <w:lang w:val="en-US" w:eastAsia="zh-CN"/>
        </w:rPr>
      </w:pPr>
    </w:p>
    <w:p w14:paraId="77D1978C" w14:textId="5D0BA1A7" w:rsidR="00F24653" w:rsidRDefault="00F24653" w:rsidP="000E018D">
      <w:pPr>
        <w:shd w:val="clear" w:color="auto" w:fill="FFFFFF"/>
        <w:jc w:val="both"/>
        <w:rPr>
          <w:rFonts w:ascii="Palatino Linotype" w:eastAsia="SimSun" w:hAnsi="Palatino Linotype" w:cs="Times New Roman"/>
          <w:noProof/>
          <w:color w:val="000000"/>
          <w:sz w:val="20"/>
          <w:szCs w:val="20"/>
          <w:shd w:val="clear" w:color="auto" w:fill="FFFFFF"/>
          <w:lang w:val="en-US" w:eastAsia="zh-CN"/>
        </w:rPr>
      </w:pPr>
      <w:r w:rsidRPr="00EB179A">
        <w:rPr>
          <w:rFonts w:ascii="Palatino Linotype" w:eastAsia="SimSun" w:hAnsi="Palatino Linotype" w:cs="Times New Roman"/>
          <w:noProof/>
          <w:color w:val="000000"/>
          <w:sz w:val="20"/>
          <w:szCs w:val="20"/>
          <w:shd w:val="clear" w:color="auto" w:fill="FFFFFF"/>
          <w:lang w:val="en-US" w:eastAsia="zh-CN"/>
        </w:rPr>
        <w:t xml:space="preserve">The multienzyme </w:t>
      </w:r>
      <w:r w:rsidRPr="00EB179A">
        <w:rPr>
          <w:rFonts w:ascii="Palatino Linotype" w:eastAsia="SimSun" w:hAnsi="Palatino Linotype" w:cstheme="minorHAnsi"/>
          <w:noProof/>
          <w:color w:val="000000"/>
          <w:sz w:val="20"/>
          <w:szCs w:val="20"/>
          <w:shd w:val="clear" w:color="auto" w:fill="FFFFFF"/>
          <w:lang w:val="en-US" w:eastAsia="zh-CN"/>
        </w:rPr>
        <w:t>α</w:t>
      </w:r>
      <w:r w:rsidRPr="00EB179A">
        <w:rPr>
          <w:rFonts w:ascii="Palatino Linotype" w:eastAsia="SimSun" w:hAnsi="Palatino Linotype" w:cs="Times New Roman"/>
          <w:noProof/>
          <w:color w:val="000000"/>
          <w:sz w:val="20"/>
          <w:szCs w:val="20"/>
          <w:shd w:val="clear" w:color="auto" w:fill="FFFFFF"/>
          <w:lang w:val="en-US" w:eastAsia="zh-CN"/>
        </w:rPr>
        <w:t xml:space="preserve">-KG dehydrogenase complex (KGDHC) catalyzes the conversion of </w:t>
      </w:r>
      <w:r w:rsidRPr="00EB179A">
        <w:rPr>
          <w:rFonts w:ascii="Palatino Linotype" w:eastAsia="SimSun" w:hAnsi="Palatino Linotype" w:cstheme="minorHAnsi"/>
          <w:noProof/>
          <w:color w:val="000000"/>
          <w:sz w:val="20"/>
          <w:szCs w:val="20"/>
          <w:shd w:val="clear" w:color="auto" w:fill="FFFFFF"/>
          <w:lang w:val="en-US" w:eastAsia="zh-CN"/>
        </w:rPr>
        <w:t>α</w:t>
      </w:r>
      <w:r w:rsidRPr="00EB179A">
        <w:rPr>
          <w:rFonts w:ascii="Palatino Linotype" w:eastAsia="SimSun" w:hAnsi="Palatino Linotype" w:cs="Times New Roman"/>
          <w:noProof/>
          <w:color w:val="000000"/>
          <w:sz w:val="20"/>
          <w:szCs w:val="20"/>
          <w:shd w:val="clear" w:color="auto" w:fill="FFFFFF"/>
          <w:lang w:val="en-US" w:eastAsia="zh-CN"/>
        </w:rPr>
        <w:t xml:space="preserve">-KG to succinyl-CoA and includes three components: α-KG dehydrogenase (OGDH), dihydrolipoamide S-succinyltransferase (DLST), and dihydrolipoamide dehydrogenase (DLD). </w:t>
      </w:r>
      <w:r w:rsidR="005F6F5C" w:rsidRPr="00EB179A">
        <w:rPr>
          <w:rFonts w:ascii="Palatino Linotype" w:eastAsia="SimSun" w:hAnsi="Palatino Linotype" w:cs="Times New Roman"/>
          <w:noProof/>
          <w:color w:val="000000"/>
          <w:sz w:val="20"/>
          <w:szCs w:val="20"/>
          <w:shd w:val="clear" w:color="auto" w:fill="FFFFFF"/>
          <w:lang w:val="en-US" w:eastAsia="zh-CN"/>
        </w:rPr>
        <w:t xml:space="preserve">α-KG dehydrogenase </w:t>
      </w:r>
      <w:r w:rsidR="005F6F5C">
        <w:rPr>
          <w:rFonts w:ascii="Palatino Linotype" w:eastAsia="SimSun" w:hAnsi="Palatino Linotype" w:cs="Times New Roman"/>
          <w:noProof/>
          <w:color w:val="000000"/>
          <w:sz w:val="20"/>
          <w:szCs w:val="20"/>
          <w:shd w:val="clear" w:color="auto" w:fill="FFFFFF"/>
          <w:lang w:val="en-US" w:eastAsia="zh-CN"/>
        </w:rPr>
        <w:t>(</w:t>
      </w:r>
      <w:r w:rsidRPr="00EB179A">
        <w:rPr>
          <w:rFonts w:ascii="Palatino Linotype" w:eastAsia="SimSun" w:hAnsi="Palatino Linotype" w:cs="Times New Roman"/>
          <w:noProof/>
          <w:color w:val="000000"/>
          <w:sz w:val="20"/>
          <w:szCs w:val="20"/>
          <w:shd w:val="clear" w:color="auto" w:fill="FFFFFF"/>
          <w:lang w:val="en-US" w:eastAsia="zh-CN"/>
        </w:rPr>
        <w:t>OGDH</w:t>
      </w:r>
      <w:r w:rsidR="005F6F5C">
        <w:rPr>
          <w:rFonts w:ascii="Palatino Linotype" w:eastAsia="SimSun" w:hAnsi="Palatino Linotype" w:cs="Times New Roman"/>
          <w:noProof/>
          <w:color w:val="000000"/>
          <w:sz w:val="20"/>
          <w:szCs w:val="20"/>
          <w:shd w:val="clear" w:color="auto" w:fill="FFFFFF"/>
          <w:lang w:val="en-US" w:eastAsia="zh-CN"/>
        </w:rPr>
        <w:t>)</w:t>
      </w:r>
      <w:r w:rsidRPr="00EB179A">
        <w:rPr>
          <w:rFonts w:ascii="Palatino Linotype" w:eastAsia="SimSun" w:hAnsi="Palatino Linotype" w:cs="Times New Roman"/>
          <w:noProof/>
          <w:color w:val="000000"/>
          <w:sz w:val="20"/>
          <w:szCs w:val="20"/>
          <w:shd w:val="clear" w:color="auto" w:fill="FFFFFF"/>
          <w:lang w:val="en-US" w:eastAsia="zh-CN"/>
        </w:rPr>
        <w:t xml:space="preserve"> is upregulated and contributes to gastric cancer progression by increasing mitochondrial function</w:t>
      </w:r>
      <w:r>
        <w:rPr>
          <w:rFonts w:ascii="Palatino Linotype" w:eastAsia="SimSun" w:hAnsi="Palatino Linotype" w:cs="Times New Roman"/>
          <w:noProof/>
          <w:color w:val="000000"/>
          <w:sz w:val="20"/>
          <w:szCs w:val="20"/>
          <w:shd w:val="clear" w:color="auto" w:fill="FFFFFF"/>
          <w:lang w:val="en-US" w:eastAsia="zh-CN"/>
        </w:rPr>
        <w:t>,</w:t>
      </w:r>
      <w:r w:rsidRPr="00EB179A">
        <w:rPr>
          <w:rFonts w:ascii="Palatino Linotype" w:eastAsia="SimSun" w:hAnsi="Palatino Linotype" w:cs="Times New Roman"/>
          <w:noProof/>
          <w:color w:val="000000"/>
          <w:sz w:val="20"/>
          <w:szCs w:val="20"/>
          <w:shd w:val="clear" w:color="auto" w:fill="FFFFFF"/>
          <w:lang w:val="en-US" w:eastAsia="zh-CN"/>
        </w:rPr>
        <w:t xml:space="preserve"> activating Wnt/β-catenin signaling and the expression of EMT transcription factors. Moreover, MYC-driven T-cell acute lymphoblastic leukemias depend on the DLST component of KGDHC for cell growth and survival. In addition, a high dependency on OGDH in several cancer cell types has been reported.</w:t>
      </w:r>
    </w:p>
    <w:p w14:paraId="635AEC6F" w14:textId="77777777" w:rsidR="009B773B" w:rsidRPr="00EB179A" w:rsidRDefault="009B773B" w:rsidP="007C363A">
      <w:pPr>
        <w:shd w:val="clear" w:color="auto" w:fill="FFFFFF"/>
        <w:jc w:val="both"/>
        <w:rPr>
          <w:rFonts w:ascii="Palatino Linotype" w:eastAsia="SimSun" w:hAnsi="Palatino Linotype" w:cs="Times New Roman"/>
          <w:noProof/>
          <w:color w:val="000000"/>
          <w:sz w:val="20"/>
          <w:szCs w:val="20"/>
          <w:shd w:val="clear" w:color="auto" w:fill="FFFFFF"/>
          <w:lang w:val="en-US" w:eastAsia="zh-CN"/>
        </w:rPr>
      </w:pPr>
    </w:p>
    <w:p w14:paraId="0F2DF5DE" w14:textId="2D37BEA3" w:rsidR="00D21A19" w:rsidRDefault="00F24653" w:rsidP="007C363A">
      <w:pPr>
        <w:shd w:val="clear" w:color="auto" w:fill="FFFFFF"/>
        <w:jc w:val="both"/>
        <w:rPr>
          <w:rFonts w:ascii="Palatino Linotype" w:eastAsia="SimSun" w:hAnsi="Palatino Linotype" w:cs="Times New Roman"/>
          <w:noProof/>
          <w:color w:val="000000"/>
          <w:sz w:val="20"/>
          <w:szCs w:val="20"/>
          <w:shd w:val="clear" w:color="auto" w:fill="FFFFFF"/>
          <w:lang w:val="en-US" w:eastAsia="zh-CN"/>
        </w:rPr>
      </w:pPr>
      <w:r w:rsidRPr="00EB179A">
        <w:rPr>
          <w:rFonts w:ascii="Palatino Linotype" w:eastAsia="SimSun" w:hAnsi="Palatino Linotype" w:cs="Times New Roman"/>
          <w:noProof/>
          <w:color w:val="000000"/>
          <w:sz w:val="20"/>
          <w:szCs w:val="20"/>
          <w:shd w:val="clear" w:color="auto" w:fill="FFFFFF"/>
          <w:lang w:val="en-US" w:eastAsia="zh-CN"/>
        </w:rPr>
        <w:t>The conversion of pyruvate into oxalacetate by pyruvate carboxylase (PC) is one of the major anaplerotic reactions. This enzyme is also important for lipogenesis and generation of reducing equivalents, protecting from oxidative stress. Due to its central role, PC regulation is important for metabolic plasticity in cells. Its expression is upregulated in different types of cancer, including breast, lung, gallbladder, and papillary thyroid cancer</w:t>
      </w:r>
      <w:r>
        <w:rPr>
          <w:rFonts w:ascii="Palatino Linotype" w:eastAsia="SimSun" w:hAnsi="Palatino Linotype" w:cs="Times New Roman"/>
          <w:noProof/>
          <w:color w:val="000000"/>
          <w:sz w:val="20"/>
          <w:szCs w:val="20"/>
          <w:shd w:val="clear" w:color="auto" w:fill="FFFFFF"/>
          <w:lang w:val="en-US" w:eastAsia="zh-CN"/>
        </w:rPr>
        <w:t>,</w:t>
      </w:r>
      <w:r w:rsidRPr="00EB179A">
        <w:rPr>
          <w:rFonts w:ascii="Palatino Linotype" w:eastAsia="SimSun" w:hAnsi="Palatino Linotype" w:cs="Times New Roman"/>
          <w:noProof/>
          <w:color w:val="000000"/>
          <w:sz w:val="20"/>
          <w:szCs w:val="20"/>
          <w:shd w:val="clear" w:color="auto" w:fill="FFFFFF"/>
          <w:lang w:val="en-US" w:eastAsia="zh-CN"/>
        </w:rPr>
        <w:t xml:space="preserve"> and it is necessary for breast cancer cells growth after dissemination to the lungs. In non-small cell lung cancer (NSCLC),</w:t>
      </w:r>
      <w:r w:rsidR="00466339">
        <w:rPr>
          <w:rFonts w:ascii="Palatino Linotype" w:eastAsia="SimSun" w:hAnsi="Palatino Linotype" w:cs="Times New Roman"/>
          <w:noProof/>
          <w:color w:val="000000"/>
          <w:sz w:val="20"/>
          <w:szCs w:val="20"/>
          <w:shd w:val="clear" w:color="auto" w:fill="FFFFFF"/>
          <w:lang w:val="en-US" w:eastAsia="zh-CN"/>
        </w:rPr>
        <w:t xml:space="preserve"> </w:t>
      </w:r>
      <w:r w:rsidRPr="00EB179A">
        <w:rPr>
          <w:rFonts w:ascii="Palatino Linotype" w:eastAsia="SimSun" w:hAnsi="Palatino Linotype" w:cs="Times New Roman"/>
          <w:i/>
          <w:noProof/>
          <w:color w:val="000000"/>
          <w:sz w:val="20"/>
          <w:szCs w:val="20"/>
          <w:shd w:val="clear" w:color="auto" w:fill="FFFFFF"/>
          <w:lang w:val="en-US" w:eastAsia="zh-CN"/>
        </w:rPr>
        <w:t>PC</w:t>
      </w:r>
      <w:r w:rsidRPr="00EB179A">
        <w:rPr>
          <w:rFonts w:ascii="Palatino Linotype" w:eastAsia="SimSun" w:hAnsi="Palatino Linotype" w:cs="Times New Roman"/>
          <w:noProof/>
          <w:color w:val="000000"/>
          <w:sz w:val="20"/>
          <w:szCs w:val="20"/>
          <w:shd w:val="clear" w:color="auto" w:fill="FFFFFF"/>
          <w:lang w:val="en-US" w:eastAsia="zh-CN"/>
        </w:rPr>
        <w:t xml:space="preserve"> KO cells decreased cell proliferation and colony formation </w:t>
      </w:r>
      <w:r w:rsidRPr="00EB179A">
        <w:rPr>
          <w:rFonts w:ascii="Palatino Linotype" w:eastAsia="SimSun" w:hAnsi="Palatino Linotype" w:cs="Times New Roman"/>
          <w:i/>
          <w:iCs/>
          <w:noProof/>
          <w:color w:val="000000"/>
          <w:sz w:val="20"/>
          <w:szCs w:val="20"/>
          <w:shd w:val="clear" w:color="auto" w:fill="FFFFFF"/>
          <w:lang w:val="en-US" w:eastAsia="zh-CN"/>
        </w:rPr>
        <w:t>in vitro</w:t>
      </w:r>
      <w:r w:rsidRPr="00EB179A">
        <w:rPr>
          <w:rFonts w:ascii="Palatino Linotype" w:eastAsia="SimSun" w:hAnsi="Palatino Linotype" w:cs="Times New Roman"/>
          <w:noProof/>
          <w:color w:val="000000"/>
          <w:sz w:val="20"/>
          <w:szCs w:val="20"/>
          <w:shd w:val="clear" w:color="auto" w:fill="FFFFFF"/>
          <w:lang w:val="en-US" w:eastAsia="zh-CN"/>
        </w:rPr>
        <w:t xml:space="preserve"> and reduced tumor burden </w:t>
      </w:r>
      <w:r w:rsidRPr="00EB179A">
        <w:rPr>
          <w:rFonts w:ascii="Palatino Linotype" w:eastAsia="SimSun" w:hAnsi="Palatino Linotype" w:cs="Times New Roman"/>
          <w:i/>
          <w:iCs/>
          <w:noProof/>
          <w:color w:val="000000"/>
          <w:sz w:val="20"/>
          <w:szCs w:val="20"/>
          <w:shd w:val="clear" w:color="auto" w:fill="FFFFFF"/>
          <w:lang w:val="en-US" w:eastAsia="zh-CN"/>
        </w:rPr>
        <w:t>in vivo</w:t>
      </w:r>
      <w:r w:rsidRPr="00EB179A">
        <w:rPr>
          <w:rFonts w:ascii="Palatino Linotype" w:eastAsia="SimSun" w:hAnsi="Palatino Linotype" w:cs="Times New Roman"/>
          <w:noProof/>
          <w:color w:val="000000"/>
          <w:sz w:val="20"/>
          <w:szCs w:val="20"/>
          <w:shd w:val="clear" w:color="auto" w:fill="FFFFFF"/>
          <w:lang w:val="en-US" w:eastAsia="zh-CN"/>
        </w:rPr>
        <w:t xml:space="preserve">. </w:t>
      </w:r>
    </w:p>
    <w:p w14:paraId="5AE1C01E" w14:textId="77777777" w:rsidR="000E018D" w:rsidRDefault="000E018D" w:rsidP="007C363A">
      <w:pPr>
        <w:shd w:val="clear" w:color="auto" w:fill="FFFFFF"/>
        <w:jc w:val="both"/>
        <w:rPr>
          <w:rFonts w:ascii="Palatino Linotype" w:eastAsia="SimSun" w:hAnsi="Palatino Linotype" w:cs="Times New Roman"/>
          <w:b/>
          <w:bCs/>
          <w:noProof/>
          <w:color w:val="000000"/>
          <w:sz w:val="20"/>
          <w:szCs w:val="20"/>
          <w:u w:val="single"/>
          <w:shd w:val="clear" w:color="auto" w:fill="FFFFFF"/>
          <w:lang w:val="en-US" w:eastAsia="zh-CN"/>
        </w:rPr>
      </w:pPr>
    </w:p>
    <w:p w14:paraId="77BD17B3" w14:textId="23890717" w:rsidR="00AF447D" w:rsidRPr="001E7FD7" w:rsidRDefault="00AF447D" w:rsidP="007C363A">
      <w:pPr>
        <w:shd w:val="clear" w:color="auto" w:fill="FFFFFF"/>
        <w:jc w:val="both"/>
        <w:rPr>
          <w:rFonts w:ascii="Palatino Linotype" w:eastAsia="SimSun" w:hAnsi="Palatino Linotype" w:cs="Times New Roman"/>
          <w:b/>
          <w:bCs/>
          <w:noProof/>
          <w:color w:val="000000"/>
          <w:sz w:val="20"/>
          <w:szCs w:val="20"/>
          <w:u w:val="single"/>
          <w:shd w:val="clear" w:color="auto" w:fill="FFFFFF"/>
          <w:lang w:val="en-US" w:eastAsia="zh-CN"/>
        </w:rPr>
      </w:pPr>
      <w:r w:rsidRPr="001E7FD7">
        <w:rPr>
          <w:rFonts w:ascii="Palatino Linotype" w:eastAsia="SimSun" w:hAnsi="Palatino Linotype" w:cs="Times New Roman"/>
          <w:b/>
          <w:bCs/>
          <w:noProof/>
          <w:color w:val="000000"/>
          <w:sz w:val="20"/>
          <w:szCs w:val="20"/>
          <w:u w:val="single"/>
          <w:shd w:val="clear" w:color="auto" w:fill="FFFFFF"/>
          <w:lang w:val="en-US" w:eastAsia="zh-CN"/>
        </w:rPr>
        <w:t>Supplementary Box 6</w:t>
      </w:r>
    </w:p>
    <w:p w14:paraId="2C431C2C" w14:textId="2E184AED" w:rsidR="00AF447D" w:rsidRDefault="00AF447D" w:rsidP="000E018D">
      <w:pPr>
        <w:jc w:val="both"/>
        <w:rPr>
          <w:rFonts w:ascii="Palatino Linotype" w:eastAsia="SimSun" w:hAnsi="Palatino Linotype" w:cs="Times New Roman"/>
          <w:b/>
          <w:bCs/>
          <w:noProof/>
          <w:color w:val="000000"/>
          <w:sz w:val="20"/>
          <w:szCs w:val="20"/>
          <w:lang w:val="en-US" w:eastAsia="zh-CN"/>
        </w:rPr>
      </w:pPr>
      <w:r w:rsidRPr="00DC15D4">
        <w:rPr>
          <w:rFonts w:ascii="Palatino Linotype" w:eastAsia="SimSun" w:hAnsi="Palatino Linotype" w:cs="Times New Roman"/>
          <w:b/>
          <w:bCs/>
          <w:noProof/>
          <w:color w:val="000000"/>
          <w:sz w:val="20"/>
          <w:szCs w:val="20"/>
          <w:lang w:val="en-US" w:eastAsia="zh-CN"/>
        </w:rPr>
        <w:t>TCA Cycle Derived Oncometabolites</w:t>
      </w:r>
    </w:p>
    <w:p w14:paraId="74FF3E10" w14:textId="77777777" w:rsidR="009B773B" w:rsidRPr="00DC15D4" w:rsidRDefault="009B773B" w:rsidP="007C363A">
      <w:pPr>
        <w:jc w:val="both"/>
        <w:rPr>
          <w:rFonts w:ascii="Palatino Linotype" w:eastAsia="SimSun" w:hAnsi="Palatino Linotype" w:cs="Times New Roman"/>
          <w:b/>
          <w:bCs/>
          <w:noProof/>
          <w:color w:val="000000"/>
          <w:sz w:val="20"/>
          <w:szCs w:val="20"/>
          <w:lang w:val="en-US" w:eastAsia="zh-CN"/>
        </w:rPr>
      </w:pPr>
    </w:p>
    <w:p w14:paraId="259C9E6D" w14:textId="77777777" w:rsidR="00AF447D" w:rsidRPr="00DC15D4" w:rsidRDefault="00AF447D" w:rsidP="007C363A">
      <w:pPr>
        <w:pStyle w:val="ListParagraph"/>
        <w:numPr>
          <w:ilvl w:val="1"/>
          <w:numId w:val="7"/>
        </w:numPr>
        <w:jc w:val="both"/>
        <w:rPr>
          <w:rFonts w:ascii="Palatino Linotype" w:eastAsia="SimSun" w:hAnsi="Palatino Linotype" w:cs="Times New Roman"/>
          <w:noProof/>
          <w:color w:val="000000"/>
          <w:sz w:val="20"/>
          <w:szCs w:val="20"/>
          <w:u w:val="single"/>
          <w:lang w:val="en-GB" w:eastAsia="zh-CN"/>
        </w:rPr>
      </w:pPr>
      <w:r w:rsidRPr="00DC15D4">
        <w:rPr>
          <w:rFonts w:ascii="Palatino Linotype" w:eastAsia="SimSun" w:hAnsi="Palatino Linotype" w:cs="Times New Roman"/>
          <w:noProof/>
          <w:color w:val="000000"/>
          <w:sz w:val="20"/>
          <w:szCs w:val="20"/>
          <w:u w:val="single"/>
          <w:lang w:val="en-GB" w:eastAsia="zh-CN"/>
        </w:rPr>
        <w:t>2-Hydroxyglutarate</w:t>
      </w:r>
    </w:p>
    <w:p w14:paraId="26E26DB4" w14:textId="15855747" w:rsidR="009B773B" w:rsidRDefault="00AF447D" w:rsidP="000E018D">
      <w:pPr>
        <w:jc w:val="both"/>
        <w:rPr>
          <w:rFonts w:ascii="Palatino Linotype" w:eastAsia="SimSun" w:hAnsi="Palatino Linotype" w:cs="Times New Roman"/>
          <w:noProof/>
          <w:color w:val="000000"/>
          <w:sz w:val="20"/>
          <w:szCs w:val="20"/>
          <w:lang w:val="en-US" w:eastAsia="zh-CN"/>
        </w:rPr>
      </w:pPr>
      <w:r w:rsidRPr="00EB179A">
        <w:rPr>
          <w:rFonts w:ascii="Palatino Linotype" w:eastAsia="SimSun" w:hAnsi="Palatino Linotype" w:cs="Times New Roman"/>
          <w:i/>
          <w:iCs/>
          <w:noProof/>
          <w:color w:val="000000"/>
          <w:sz w:val="20"/>
          <w:szCs w:val="20"/>
          <w:lang w:val="en-US" w:eastAsia="zh-CN"/>
        </w:rPr>
        <w:t>IDH1</w:t>
      </w:r>
      <w:r w:rsidRPr="00EB179A">
        <w:rPr>
          <w:rFonts w:ascii="Palatino Linotype" w:eastAsia="SimSun" w:hAnsi="Palatino Linotype" w:cs="Times New Roman"/>
          <w:noProof/>
          <w:color w:val="000000"/>
          <w:sz w:val="20"/>
          <w:szCs w:val="20"/>
          <w:lang w:val="en-US" w:eastAsia="zh-CN"/>
        </w:rPr>
        <w:t xml:space="preserve"> and </w:t>
      </w:r>
      <w:r w:rsidRPr="00EB179A">
        <w:rPr>
          <w:rFonts w:ascii="Palatino Linotype" w:eastAsia="SimSun" w:hAnsi="Palatino Linotype" w:cs="Times New Roman"/>
          <w:i/>
          <w:iCs/>
          <w:noProof/>
          <w:color w:val="000000"/>
          <w:sz w:val="20"/>
          <w:szCs w:val="20"/>
          <w:lang w:val="en-US" w:eastAsia="zh-CN"/>
        </w:rPr>
        <w:t>IDH2</w:t>
      </w:r>
      <w:r w:rsidRPr="00EB179A">
        <w:rPr>
          <w:rFonts w:ascii="Palatino Linotype" w:eastAsia="SimSun" w:hAnsi="Palatino Linotype" w:cs="Times New Roman"/>
          <w:noProof/>
          <w:color w:val="000000"/>
          <w:sz w:val="20"/>
          <w:szCs w:val="20"/>
          <w:lang w:val="en-US" w:eastAsia="zh-CN"/>
        </w:rPr>
        <w:t xml:space="preserve"> mutations confer cancer cells the capacity to reduce α-</w:t>
      </w:r>
      <w:r>
        <w:rPr>
          <w:rFonts w:ascii="Palatino Linotype" w:eastAsia="SimSun" w:hAnsi="Palatino Linotype" w:cs="Times New Roman"/>
          <w:noProof/>
          <w:color w:val="000000"/>
          <w:sz w:val="20"/>
          <w:szCs w:val="20"/>
          <w:lang w:val="en-US" w:eastAsia="zh-CN"/>
        </w:rPr>
        <w:t>KG</w:t>
      </w:r>
      <w:r w:rsidRPr="00EB179A">
        <w:rPr>
          <w:rFonts w:ascii="Palatino Linotype" w:eastAsia="SimSun" w:hAnsi="Palatino Linotype" w:cs="Times New Roman"/>
          <w:noProof/>
          <w:color w:val="000000"/>
          <w:sz w:val="20"/>
          <w:szCs w:val="20"/>
          <w:lang w:val="en-US" w:eastAsia="zh-CN"/>
        </w:rPr>
        <w:t xml:space="preserve"> to 2-hydroxyglutarate (2HG). Due to its chiral carbon-2, it has two enantiomers: D- </w:t>
      </w:r>
      <w:r w:rsidR="009B7600">
        <w:rPr>
          <w:rFonts w:ascii="Palatino Linotype" w:eastAsia="SimSun" w:hAnsi="Palatino Linotype" w:cs="Times New Roman"/>
          <w:noProof/>
          <w:color w:val="000000"/>
          <w:sz w:val="20"/>
          <w:szCs w:val="20"/>
          <w:lang w:val="en-US" w:eastAsia="zh-CN"/>
        </w:rPr>
        <w:t>and</w:t>
      </w:r>
      <w:r w:rsidRPr="00EB179A">
        <w:rPr>
          <w:rFonts w:ascii="Palatino Linotype" w:eastAsia="SimSun" w:hAnsi="Palatino Linotype" w:cs="Times New Roman"/>
          <w:noProof/>
          <w:color w:val="000000"/>
          <w:sz w:val="20"/>
          <w:szCs w:val="20"/>
          <w:lang w:val="en-US" w:eastAsia="zh-CN"/>
        </w:rPr>
        <w:t xml:space="preserve"> L-2HG. While D-2HG accumulates in leukemias and gliomas, L-2HG is elevated in ccRCC. Under hypoxic conditions in renal cancer, L-2HG is synthetized by LDHA and malate dehydrogenase (MDH). </w:t>
      </w:r>
      <w:r w:rsidR="00DB1F7F" w:rsidRPr="00EB179A">
        <w:rPr>
          <w:rFonts w:ascii="Palatino Linotype" w:eastAsia="SimSun" w:hAnsi="Palatino Linotype" w:cs="Times New Roman"/>
          <w:noProof/>
          <w:color w:val="000000"/>
          <w:sz w:val="20"/>
          <w:szCs w:val="20"/>
          <w:lang w:val="en-US" w:eastAsia="zh-CN"/>
        </w:rPr>
        <w:t>2-hydroxyglutarate (2HG)</w:t>
      </w:r>
      <w:r w:rsidRPr="00EB179A">
        <w:rPr>
          <w:rFonts w:ascii="Palatino Linotype" w:eastAsia="SimSun" w:hAnsi="Palatino Linotype" w:cs="Times New Roman"/>
          <w:noProof/>
          <w:color w:val="000000"/>
          <w:sz w:val="20"/>
          <w:szCs w:val="20"/>
          <w:lang w:val="en-US" w:eastAsia="zh-CN"/>
        </w:rPr>
        <w:t xml:space="preserve"> inhibits α-</w:t>
      </w:r>
      <w:r>
        <w:rPr>
          <w:rFonts w:ascii="Palatino Linotype" w:eastAsia="SimSun" w:hAnsi="Palatino Linotype" w:cs="Times New Roman"/>
          <w:noProof/>
          <w:color w:val="000000"/>
          <w:sz w:val="20"/>
          <w:szCs w:val="20"/>
          <w:lang w:val="en-US" w:eastAsia="zh-CN"/>
        </w:rPr>
        <w:t>KG</w:t>
      </w:r>
      <w:r w:rsidRPr="00EB179A">
        <w:rPr>
          <w:rFonts w:ascii="Palatino Linotype" w:eastAsia="SimSun" w:hAnsi="Palatino Linotype" w:cs="Times New Roman"/>
          <w:noProof/>
          <w:color w:val="000000"/>
          <w:sz w:val="20"/>
          <w:szCs w:val="20"/>
          <w:lang w:val="en-US" w:eastAsia="zh-CN"/>
        </w:rPr>
        <w:t xml:space="preserve"> dependent dioxygenases, including jumonji-C (JmjC) histone demethylases and the TET family of 5-methlycytosine (5mC) hydroxylases, causing alterations in histone and DNA methylation. Restoring the activity of TET2 in ccRCC inhibits </w:t>
      </w:r>
      <w:r>
        <w:rPr>
          <w:rFonts w:ascii="Palatino Linotype" w:eastAsia="SimSun" w:hAnsi="Palatino Linotype" w:cs="Times New Roman"/>
          <w:noProof/>
          <w:color w:val="000000"/>
          <w:sz w:val="20"/>
          <w:szCs w:val="20"/>
          <w:lang w:val="en-US" w:eastAsia="zh-CN"/>
        </w:rPr>
        <w:t xml:space="preserve">proliferation and </w:t>
      </w:r>
      <w:r w:rsidRPr="00EB179A">
        <w:rPr>
          <w:rFonts w:ascii="Palatino Linotype" w:eastAsia="SimSun" w:hAnsi="Palatino Linotype" w:cs="Times New Roman"/>
          <w:noProof/>
          <w:color w:val="000000"/>
          <w:sz w:val="20"/>
          <w:szCs w:val="20"/>
          <w:lang w:val="en-US" w:eastAsia="zh-CN"/>
        </w:rPr>
        <w:t xml:space="preserve">tumor growth. Moreover, treatment with 2-HG results in decreased T cell-attracting chemokines and suppressed cytotoxic T cell accumulation in gliomas and activation of NF-κB gene transcription in stromal cells promoting a tumor niche for acute myeloid leukemia. Furthermore, MYC activation in aggressive breast tumors results in an increase of 2-HG leading to DNA hypermethylation similar to tumors with </w:t>
      </w:r>
      <w:r w:rsidRPr="00EB179A">
        <w:rPr>
          <w:rFonts w:ascii="Palatino Linotype" w:eastAsia="SimSun" w:hAnsi="Palatino Linotype" w:cs="Times New Roman"/>
          <w:i/>
          <w:iCs/>
          <w:noProof/>
          <w:color w:val="000000"/>
          <w:sz w:val="20"/>
          <w:szCs w:val="20"/>
          <w:lang w:val="en-US" w:eastAsia="zh-CN"/>
        </w:rPr>
        <w:t>IDH</w:t>
      </w:r>
      <w:r w:rsidRPr="00EB179A">
        <w:rPr>
          <w:rFonts w:ascii="Palatino Linotype" w:eastAsia="SimSun" w:hAnsi="Palatino Linotype" w:cs="Times New Roman"/>
          <w:noProof/>
          <w:color w:val="000000"/>
          <w:sz w:val="20"/>
          <w:szCs w:val="20"/>
          <w:lang w:val="en-US" w:eastAsia="zh-CN"/>
        </w:rPr>
        <w:t xml:space="preserve"> mutations.</w:t>
      </w:r>
    </w:p>
    <w:p w14:paraId="0476784B" w14:textId="70EBF351" w:rsidR="00AF447D" w:rsidRPr="00EB179A" w:rsidRDefault="00AF447D" w:rsidP="007C363A">
      <w:pPr>
        <w:jc w:val="both"/>
        <w:rPr>
          <w:rFonts w:ascii="Palatino Linotype" w:eastAsia="SimSun" w:hAnsi="Palatino Linotype" w:cs="Times New Roman"/>
          <w:noProof/>
          <w:color w:val="000000"/>
          <w:sz w:val="20"/>
          <w:szCs w:val="20"/>
          <w:lang w:val="en-US" w:eastAsia="zh-CN"/>
        </w:rPr>
      </w:pPr>
      <w:r w:rsidRPr="00EB179A">
        <w:rPr>
          <w:rFonts w:ascii="Palatino Linotype" w:eastAsia="SimSun" w:hAnsi="Palatino Linotype" w:cs="Times New Roman"/>
          <w:noProof/>
          <w:color w:val="000000"/>
          <w:sz w:val="20"/>
          <w:szCs w:val="20"/>
          <w:lang w:val="en-US" w:eastAsia="zh-CN"/>
        </w:rPr>
        <w:t xml:space="preserve"> </w:t>
      </w:r>
    </w:p>
    <w:p w14:paraId="4FF18DAB" w14:textId="77777777" w:rsidR="00AF447D" w:rsidRPr="00DC15D4" w:rsidRDefault="00AF447D" w:rsidP="007C363A">
      <w:pPr>
        <w:pStyle w:val="ListParagraph"/>
        <w:numPr>
          <w:ilvl w:val="1"/>
          <w:numId w:val="7"/>
        </w:numPr>
        <w:jc w:val="both"/>
        <w:rPr>
          <w:rFonts w:ascii="Palatino Linotype" w:eastAsia="SimSun" w:hAnsi="Palatino Linotype" w:cs="Times New Roman"/>
          <w:noProof/>
          <w:color w:val="000000"/>
          <w:sz w:val="20"/>
          <w:szCs w:val="20"/>
          <w:u w:val="single"/>
          <w:lang w:val="en-GB" w:eastAsia="zh-CN"/>
        </w:rPr>
      </w:pPr>
      <w:r w:rsidRPr="00DC15D4">
        <w:rPr>
          <w:rFonts w:ascii="Palatino Linotype" w:eastAsia="SimSun" w:hAnsi="Palatino Linotype" w:cs="Times New Roman"/>
          <w:noProof/>
          <w:color w:val="000000"/>
          <w:sz w:val="20"/>
          <w:szCs w:val="20"/>
          <w:u w:val="single"/>
          <w:lang w:val="en-GB" w:eastAsia="zh-CN"/>
        </w:rPr>
        <w:t>Succinate</w:t>
      </w:r>
    </w:p>
    <w:p w14:paraId="061E695A" w14:textId="1897FFDF" w:rsidR="009B773B" w:rsidRDefault="00A137A3" w:rsidP="007C363A">
      <w:pPr>
        <w:jc w:val="both"/>
        <w:rPr>
          <w:rFonts w:ascii="Palatino Linotype" w:eastAsia="SimSun" w:hAnsi="Palatino Linotype" w:cs="Times New Roman"/>
          <w:noProof/>
          <w:color w:val="000000"/>
          <w:sz w:val="20"/>
          <w:szCs w:val="20"/>
          <w:lang w:val="en-US" w:eastAsia="zh-CN"/>
        </w:rPr>
      </w:pPr>
      <w:r w:rsidRPr="00EB179A">
        <w:rPr>
          <w:rFonts w:ascii="Palatino Linotype" w:eastAsia="SimSun" w:hAnsi="Palatino Linotype" w:cs="Times New Roman"/>
          <w:noProof/>
          <w:color w:val="000000"/>
          <w:sz w:val="20"/>
          <w:szCs w:val="20"/>
          <w:lang w:val="en-US" w:eastAsia="zh-CN"/>
        </w:rPr>
        <w:t>Succinyl-CoA is formed by oxidative decarboxylation of α-</w:t>
      </w:r>
      <w:r>
        <w:rPr>
          <w:rFonts w:ascii="Palatino Linotype" w:eastAsia="SimSun" w:hAnsi="Palatino Linotype" w:cs="Times New Roman"/>
          <w:noProof/>
          <w:color w:val="000000"/>
          <w:sz w:val="20"/>
          <w:szCs w:val="20"/>
          <w:lang w:val="en-US" w:eastAsia="zh-CN"/>
        </w:rPr>
        <w:t>KG</w:t>
      </w:r>
      <w:r w:rsidRPr="00EB179A">
        <w:rPr>
          <w:rFonts w:ascii="Palatino Linotype" w:eastAsia="SimSun" w:hAnsi="Palatino Linotype" w:cs="Times New Roman"/>
          <w:noProof/>
          <w:color w:val="000000"/>
          <w:sz w:val="20"/>
          <w:szCs w:val="20"/>
          <w:lang w:val="en-US" w:eastAsia="zh-CN"/>
        </w:rPr>
        <w:t xml:space="preserve"> by α-</w:t>
      </w:r>
      <w:r>
        <w:rPr>
          <w:rFonts w:ascii="Palatino Linotype" w:eastAsia="SimSun" w:hAnsi="Palatino Linotype" w:cs="Times New Roman"/>
          <w:noProof/>
          <w:color w:val="000000"/>
          <w:sz w:val="20"/>
          <w:szCs w:val="20"/>
          <w:lang w:val="en-US" w:eastAsia="zh-CN"/>
        </w:rPr>
        <w:t>KG</w:t>
      </w:r>
      <w:r w:rsidRPr="00EB179A">
        <w:rPr>
          <w:rFonts w:ascii="Palatino Linotype" w:eastAsia="SimSun" w:hAnsi="Palatino Linotype" w:cs="Times New Roman"/>
          <w:noProof/>
          <w:color w:val="000000"/>
          <w:sz w:val="20"/>
          <w:szCs w:val="20"/>
          <w:lang w:val="en-US" w:eastAsia="zh-CN"/>
        </w:rPr>
        <w:t xml:space="preserve"> dehydrogenase, and is the precursor of succinate. </w:t>
      </w:r>
      <w:bookmarkStart w:id="2" w:name="_Hlk99981591"/>
      <w:r w:rsidRPr="00EB179A">
        <w:rPr>
          <w:rFonts w:ascii="Palatino Linotype" w:eastAsia="SimSun" w:hAnsi="Palatino Linotype" w:cs="Times New Roman"/>
          <w:noProof/>
          <w:color w:val="000000"/>
          <w:sz w:val="20"/>
          <w:szCs w:val="20"/>
          <w:lang w:val="en-US" w:eastAsia="zh-CN"/>
        </w:rPr>
        <w:t xml:space="preserve">Mutations in </w:t>
      </w:r>
      <w:r w:rsidRPr="00EB179A">
        <w:rPr>
          <w:rFonts w:ascii="Palatino Linotype" w:eastAsia="SimSun" w:hAnsi="Palatino Linotype" w:cs="Times New Roman"/>
          <w:i/>
          <w:iCs/>
          <w:noProof/>
          <w:color w:val="000000"/>
          <w:sz w:val="20"/>
          <w:szCs w:val="20"/>
          <w:lang w:val="en-US" w:eastAsia="zh-CN"/>
        </w:rPr>
        <w:t>SDH</w:t>
      </w:r>
      <w:r w:rsidRPr="00EB179A">
        <w:rPr>
          <w:rFonts w:ascii="Palatino Linotype" w:eastAsia="SimSun" w:hAnsi="Palatino Linotype" w:cs="Times New Roman"/>
          <w:noProof/>
          <w:color w:val="000000"/>
          <w:sz w:val="20"/>
          <w:szCs w:val="20"/>
          <w:lang w:val="en-US" w:eastAsia="zh-CN"/>
        </w:rPr>
        <w:t xml:space="preserve"> </w:t>
      </w:r>
      <w:r>
        <w:rPr>
          <w:rFonts w:ascii="Palatino Linotype" w:eastAsia="SimSun" w:hAnsi="Palatino Linotype" w:cs="Times New Roman"/>
          <w:noProof/>
          <w:color w:val="000000"/>
          <w:sz w:val="20"/>
          <w:szCs w:val="20"/>
          <w:lang w:val="en-US" w:eastAsia="zh-CN"/>
        </w:rPr>
        <w:t xml:space="preserve">results in </w:t>
      </w:r>
      <w:r w:rsidRPr="00EB179A">
        <w:rPr>
          <w:rFonts w:ascii="Palatino Linotype" w:eastAsia="SimSun" w:hAnsi="Palatino Linotype" w:cs="Times New Roman"/>
          <w:noProof/>
          <w:color w:val="000000"/>
          <w:sz w:val="20"/>
          <w:szCs w:val="20"/>
          <w:lang w:val="en-US" w:eastAsia="zh-CN"/>
        </w:rPr>
        <w:t xml:space="preserve">accumulation of both succinate and succinyl-CoA. </w:t>
      </w:r>
      <w:bookmarkEnd w:id="2"/>
      <w:r w:rsidR="00AF447D" w:rsidRPr="00EB179A">
        <w:rPr>
          <w:rFonts w:ascii="Palatino Linotype" w:eastAsia="SimSun" w:hAnsi="Palatino Linotype" w:cs="Times New Roman"/>
          <w:noProof/>
          <w:color w:val="000000"/>
          <w:sz w:val="20"/>
          <w:szCs w:val="20"/>
          <w:lang w:val="en-US" w:eastAsia="zh-CN"/>
        </w:rPr>
        <w:t xml:space="preserve">Histone succinylation by succinyl-CoA modulates gene expression and impairs DNA repair, suggesting a possible effect on cancer progression. Equally to 2-HG, succinate and fumarate are also inhibitors of α-KG-dependent dioxygenases. In normoxia, prolyl-hydroxylases (PHDs), from the family of α-KG-dependent dioxygenases, mediate the hydroxylation of two proline residues in </w:t>
      </w:r>
      <w:r w:rsidR="00AF447D" w:rsidRPr="00A137A3">
        <w:rPr>
          <w:rFonts w:ascii="Palatino Linotype" w:eastAsia="SimSun" w:hAnsi="Palatino Linotype" w:cs="Times New Roman"/>
          <w:noProof/>
          <w:color w:val="000000"/>
          <w:sz w:val="20"/>
          <w:szCs w:val="20"/>
          <w:lang w:val="en-US" w:eastAsia="zh-CN"/>
        </w:rPr>
        <w:t xml:space="preserve">the </w:t>
      </w:r>
      <w:r w:rsidR="00AF447D" w:rsidRPr="00BE0689">
        <w:rPr>
          <w:rFonts w:ascii="Palatino Linotype" w:eastAsia="SimSun" w:hAnsi="Palatino Linotype" w:cs="Times New Roman"/>
          <w:noProof/>
          <w:color w:val="000000"/>
          <w:sz w:val="20"/>
          <w:szCs w:val="20"/>
          <w:lang w:val="en-US" w:eastAsia="zh-CN"/>
        </w:rPr>
        <w:t>HIF-1/2α</w:t>
      </w:r>
      <w:r w:rsidR="00AF447D" w:rsidRPr="00EB179A">
        <w:rPr>
          <w:rFonts w:ascii="Palatino Linotype" w:eastAsia="SimSun" w:hAnsi="Palatino Linotype" w:cs="Times New Roman"/>
          <w:noProof/>
          <w:color w:val="000000"/>
          <w:sz w:val="20"/>
          <w:szCs w:val="20"/>
          <w:lang w:val="en-US" w:eastAsia="zh-CN"/>
        </w:rPr>
        <w:t xml:space="preserve">. The hydroxylation sites are recognized by the VHL (von Hippel-Lindau) tumor suppressor, targeting it for proteasomal degradation. During hypoxia or in cells lacking </w:t>
      </w:r>
      <w:r w:rsidR="00AF447D" w:rsidRPr="00EB179A">
        <w:rPr>
          <w:rFonts w:ascii="Palatino Linotype" w:eastAsia="SimSun" w:hAnsi="Palatino Linotype" w:cs="Times New Roman"/>
          <w:i/>
          <w:iCs/>
          <w:noProof/>
          <w:color w:val="000000"/>
          <w:sz w:val="20"/>
          <w:szCs w:val="20"/>
          <w:lang w:val="en-US" w:eastAsia="zh-CN"/>
        </w:rPr>
        <w:t>VHL</w:t>
      </w:r>
      <w:r w:rsidR="00AF447D" w:rsidRPr="00EB179A">
        <w:rPr>
          <w:rFonts w:ascii="Palatino Linotype" w:eastAsia="SimSun" w:hAnsi="Palatino Linotype" w:cs="Times New Roman"/>
          <w:noProof/>
          <w:color w:val="000000"/>
          <w:sz w:val="20"/>
          <w:szCs w:val="20"/>
          <w:lang w:val="en-US" w:eastAsia="zh-CN"/>
        </w:rPr>
        <w:t xml:space="preserve">, </w:t>
      </w:r>
      <w:r w:rsidR="00AF447D">
        <w:rPr>
          <w:rFonts w:ascii="Palatino Linotype" w:eastAsia="SimSun" w:hAnsi="Palatino Linotype" w:cs="Times New Roman"/>
          <w:noProof/>
          <w:color w:val="000000"/>
          <w:sz w:val="20"/>
          <w:szCs w:val="20"/>
          <w:lang w:val="en-US" w:eastAsia="zh-CN"/>
        </w:rPr>
        <w:t xml:space="preserve">the </w:t>
      </w:r>
      <w:r w:rsidR="00AF447D" w:rsidRPr="00EB179A">
        <w:rPr>
          <w:rFonts w:ascii="Palatino Linotype" w:eastAsia="SimSun" w:hAnsi="Palatino Linotype" w:cs="Times New Roman"/>
          <w:noProof/>
          <w:color w:val="000000"/>
          <w:sz w:val="20"/>
          <w:szCs w:val="20"/>
          <w:lang w:val="en-US" w:eastAsia="zh-CN"/>
        </w:rPr>
        <w:t xml:space="preserve">HIF1/2-α protein is stabilized and dimerizes with HIF-1β. The complex activates expression of the hypoxia response genes, increasing angiogenesis and glycolysis, </w:t>
      </w:r>
      <w:r w:rsidR="00AF447D">
        <w:rPr>
          <w:rFonts w:ascii="Palatino Linotype" w:eastAsia="SimSun" w:hAnsi="Palatino Linotype" w:cs="Times New Roman"/>
          <w:noProof/>
          <w:color w:val="000000"/>
          <w:sz w:val="20"/>
          <w:szCs w:val="20"/>
          <w:lang w:val="en-US" w:eastAsia="zh-CN"/>
        </w:rPr>
        <w:t xml:space="preserve">both cancer-associated </w:t>
      </w:r>
      <w:r w:rsidR="00AF447D" w:rsidRPr="00EB179A">
        <w:rPr>
          <w:rFonts w:ascii="Palatino Linotype" w:eastAsia="SimSun" w:hAnsi="Palatino Linotype" w:cs="Times New Roman"/>
          <w:noProof/>
          <w:color w:val="000000"/>
          <w:sz w:val="20"/>
          <w:szCs w:val="20"/>
          <w:lang w:val="en-US" w:eastAsia="zh-CN"/>
        </w:rPr>
        <w:t>processes. Accumulation of succinate creates a pseudohypoxic environment by inhibiting the activity of PHDs that can be reverted by an increase of α-KG levels. Moreover, it has been demonstrated that the secreted succinate by tumor cells promotes polarization of tumor associated macrophages (TAMs) and induces migration of cancer cells via PI3K/HIF-1α pathway.</w:t>
      </w:r>
    </w:p>
    <w:p w14:paraId="7997C7E9" w14:textId="77777777" w:rsidR="00AF447D" w:rsidRPr="00DC15D4" w:rsidRDefault="00AF447D" w:rsidP="007C363A">
      <w:pPr>
        <w:pStyle w:val="ListParagraph"/>
        <w:numPr>
          <w:ilvl w:val="1"/>
          <w:numId w:val="7"/>
        </w:numPr>
        <w:jc w:val="both"/>
        <w:rPr>
          <w:rFonts w:ascii="Palatino Linotype" w:eastAsia="SimSun" w:hAnsi="Palatino Linotype" w:cs="Times New Roman"/>
          <w:noProof/>
          <w:color w:val="000000"/>
          <w:sz w:val="20"/>
          <w:szCs w:val="20"/>
          <w:u w:val="single"/>
          <w:lang w:val="en-GB" w:eastAsia="zh-CN"/>
        </w:rPr>
      </w:pPr>
      <w:r w:rsidRPr="00DC15D4">
        <w:rPr>
          <w:rFonts w:ascii="Palatino Linotype" w:eastAsia="SimSun" w:hAnsi="Palatino Linotype" w:cs="Times New Roman"/>
          <w:noProof/>
          <w:color w:val="000000"/>
          <w:sz w:val="20"/>
          <w:szCs w:val="20"/>
          <w:u w:val="single"/>
          <w:lang w:val="en-GB" w:eastAsia="zh-CN"/>
        </w:rPr>
        <w:lastRenderedPageBreak/>
        <w:t>Fumarate</w:t>
      </w:r>
    </w:p>
    <w:p w14:paraId="4EDD1C99" w14:textId="69A21B98" w:rsidR="00AF447D" w:rsidRDefault="00AF447D" w:rsidP="007C363A">
      <w:pPr>
        <w:jc w:val="both"/>
        <w:rPr>
          <w:rFonts w:ascii="Palatino Linotype" w:eastAsia="SimSun" w:hAnsi="Palatino Linotype" w:cs="Times New Roman"/>
          <w:noProof/>
          <w:color w:val="000000"/>
          <w:sz w:val="20"/>
          <w:szCs w:val="20"/>
          <w:lang w:val="en-US" w:eastAsia="zh-CN"/>
        </w:rPr>
      </w:pPr>
      <w:r w:rsidRPr="00EB179A">
        <w:rPr>
          <w:rFonts w:ascii="Palatino Linotype" w:eastAsia="SimSun" w:hAnsi="Palatino Linotype" w:cs="Times New Roman"/>
          <w:noProof/>
          <w:color w:val="000000"/>
          <w:sz w:val="20"/>
          <w:szCs w:val="20"/>
          <w:lang w:val="en-US" w:eastAsia="zh-CN"/>
        </w:rPr>
        <w:t xml:space="preserve">Hydration of fumarate to malate by fumarate hydratase </w:t>
      </w:r>
      <w:r>
        <w:rPr>
          <w:rFonts w:ascii="Palatino Linotype" w:eastAsia="SimSun" w:hAnsi="Palatino Linotype" w:cs="Times New Roman"/>
          <w:noProof/>
          <w:color w:val="000000"/>
          <w:sz w:val="20"/>
          <w:szCs w:val="20"/>
          <w:lang w:val="en-US" w:eastAsia="zh-CN"/>
        </w:rPr>
        <w:t>prevents</w:t>
      </w:r>
      <w:r w:rsidRPr="00EB179A">
        <w:rPr>
          <w:rFonts w:ascii="Palatino Linotype" w:eastAsia="SimSun" w:hAnsi="Palatino Linotype" w:cs="Times New Roman"/>
          <w:noProof/>
          <w:color w:val="000000"/>
          <w:sz w:val="20"/>
          <w:szCs w:val="20"/>
          <w:lang w:val="en-US" w:eastAsia="zh-CN"/>
        </w:rPr>
        <w:t xml:space="preserve"> its accumulation in cells. Fumarate can also be produced by the urea and purine nucleotide cycles. High levels of this oncometabolite are also associated with cancer. Inhibition of α-KG-dependent oxygenases, specially PHDs, creates a pseudohypoxic environment stabilizing HIF levels and activating hypoxia response genes, associated to oncogenesis. Moreover, fumarate also inhibits the action of TET demethylases, suppressing </w:t>
      </w:r>
      <w:r w:rsidRPr="00EB179A">
        <w:rPr>
          <w:rFonts w:ascii="Palatino Linotype" w:eastAsia="SimSun" w:hAnsi="Palatino Linotype" w:cs="Times New Roman"/>
          <w:i/>
          <w:iCs/>
          <w:noProof/>
          <w:color w:val="000000"/>
          <w:sz w:val="20"/>
          <w:szCs w:val="20"/>
          <w:lang w:val="en-US" w:eastAsia="zh-CN"/>
        </w:rPr>
        <w:t>miR-200</w:t>
      </w:r>
      <w:r w:rsidRPr="00EB179A">
        <w:rPr>
          <w:rFonts w:ascii="Palatino Linotype" w:eastAsia="SimSun" w:hAnsi="Palatino Linotype" w:cs="Times New Roman"/>
          <w:noProof/>
          <w:color w:val="000000"/>
          <w:sz w:val="20"/>
          <w:szCs w:val="20"/>
          <w:lang w:val="en-US" w:eastAsia="zh-CN"/>
        </w:rPr>
        <w:t xml:space="preserve"> and promoting EMT associated with cancer migration and metastasis. In addition, fumarate is an endogenous electrophile that reacts with cysteine residues producing </w:t>
      </w:r>
      <w:r w:rsidRPr="00EB179A">
        <w:rPr>
          <w:rFonts w:ascii="Palatino Linotype" w:eastAsia="SimSun" w:hAnsi="Palatino Linotype" w:cs="Times New Roman"/>
          <w:i/>
          <w:iCs/>
          <w:noProof/>
          <w:color w:val="000000"/>
          <w:sz w:val="20"/>
          <w:szCs w:val="20"/>
          <w:lang w:val="en-US" w:eastAsia="zh-CN"/>
        </w:rPr>
        <w:t>S</w:t>
      </w:r>
      <w:r w:rsidRPr="00EB179A">
        <w:rPr>
          <w:rFonts w:ascii="Palatino Linotype" w:eastAsia="SimSun" w:hAnsi="Palatino Linotype" w:cs="Times New Roman"/>
          <w:noProof/>
          <w:color w:val="000000"/>
          <w:sz w:val="20"/>
          <w:szCs w:val="20"/>
          <w:lang w:val="en-US" w:eastAsia="zh-CN"/>
        </w:rPr>
        <w:t xml:space="preserve">-(2-succinyl) cysteine (2SC), a process termed succination. An increase in 2SC has been observed in </w:t>
      </w:r>
      <w:r w:rsidRPr="009A423A">
        <w:rPr>
          <w:rFonts w:ascii="Palatino Linotype" w:eastAsia="SimSun" w:hAnsi="Palatino Linotype" w:cs="Times New Roman"/>
          <w:i/>
          <w:iCs/>
          <w:noProof/>
          <w:color w:val="000000"/>
          <w:sz w:val="20"/>
          <w:szCs w:val="20"/>
          <w:lang w:val="en-US" w:eastAsia="zh-CN"/>
        </w:rPr>
        <w:t>FH-</w:t>
      </w:r>
      <w:r w:rsidRPr="00EB179A">
        <w:rPr>
          <w:rFonts w:ascii="Palatino Linotype" w:eastAsia="SimSun" w:hAnsi="Palatino Linotype" w:cs="Times New Roman"/>
          <w:noProof/>
          <w:color w:val="000000"/>
          <w:sz w:val="20"/>
          <w:szCs w:val="20"/>
          <w:lang w:val="en-US" w:eastAsia="zh-CN"/>
        </w:rPr>
        <w:t xml:space="preserve">deficient tumors compared to normal tissues. Succination of </w:t>
      </w:r>
      <w:r>
        <w:rPr>
          <w:rFonts w:ascii="Palatino Linotype" w:eastAsia="SimSun" w:hAnsi="Palatino Linotype" w:cs="Times New Roman"/>
          <w:noProof/>
          <w:color w:val="000000"/>
          <w:sz w:val="20"/>
          <w:szCs w:val="20"/>
          <w:lang w:val="en-US" w:eastAsia="zh-CN"/>
        </w:rPr>
        <w:t xml:space="preserve">the </w:t>
      </w:r>
      <w:r w:rsidRPr="00EB179A">
        <w:rPr>
          <w:rFonts w:ascii="Palatino Linotype" w:eastAsia="SimSun" w:hAnsi="Palatino Linotype" w:cs="Times New Roman"/>
          <w:noProof/>
          <w:color w:val="000000"/>
          <w:sz w:val="20"/>
          <w:szCs w:val="20"/>
          <w:lang w:val="en-US" w:eastAsia="zh-CN"/>
        </w:rPr>
        <w:t xml:space="preserve">kelch-like ECH-associated protein 1 (KEAP1) upon fumarate accumulation results in stabilization of </w:t>
      </w:r>
      <w:r>
        <w:rPr>
          <w:rFonts w:ascii="Palatino Linotype" w:eastAsia="SimSun" w:hAnsi="Palatino Linotype" w:cs="Times New Roman"/>
          <w:noProof/>
          <w:color w:val="000000"/>
          <w:sz w:val="20"/>
          <w:szCs w:val="20"/>
          <w:lang w:val="en-US" w:eastAsia="zh-CN"/>
        </w:rPr>
        <w:t>NRF2 (</w:t>
      </w:r>
      <w:r w:rsidRPr="00EB179A">
        <w:rPr>
          <w:rFonts w:ascii="Palatino Linotype" w:eastAsia="SimSun" w:hAnsi="Palatino Linotype" w:cs="Times New Roman"/>
          <w:noProof/>
          <w:color w:val="000000"/>
          <w:sz w:val="20"/>
          <w:szCs w:val="20"/>
          <w:lang w:val="en-US" w:eastAsia="zh-CN"/>
        </w:rPr>
        <w:t>nuclear factor erythroid</w:t>
      </w:r>
      <w:r>
        <w:rPr>
          <w:rFonts w:ascii="Palatino Linotype" w:eastAsia="SimSun" w:hAnsi="Palatino Linotype" w:cs="Times New Roman"/>
          <w:noProof/>
          <w:color w:val="000000"/>
          <w:sz w:val="20"/>
          <w:szCs w:val="20"/>
          <w:lang w:val="en-US" w:eastAsia="zh-CN"/>
        </w:rPr>
        <w:t xml:space="preserve"> 2- related factor </w:t>
      </w:r>
      <w:r w:rsidRPr="00EB179A">
        <w:rPr>
          <w:rFonts w:ascii="Palatino Linotype" w:eastAsia="SimSun" w:hAnsi="Palatino Linotype" w:cs="Times New Roman"/>
          <w:noProof/>
          <w:color w:val="000000"/>
          <w:sz w:val="20"/>
          <w:szCs w:val="20"/>
          <w:lang w:val="en-US" w:eastAsia="zh-CN"/>
        </w:rPr>
        <w:t>2</w:t>
      </w:r>
      <w:r>
        <w:rPr>
          <w:rFonts w:ascii="Palatino Linotype" w:eastAsia="SimSun" w:hAnsi="Palatino Linotype" w:cs="Times New Roman"/>
          <w:noProof/>
          <w:color w:val="000000"/>
          <w:sz w:val="20"/>
          <w:szCs w:val="20"/>
          <w:lang w:val="en-US" w:eastAsia="zh-CN"/>
        </w:rPr>
        <w:t xml:space="preserve">) </w:t>
      </w:r>
      <w:r w:rsidRPr="00EB179A">
        <w:rPr>
          <w:rFonts w:ascii="Palatino Linotype" w:eastAsia="SimSun" w:hAnsi="Palatino Linotype" w:cs="Times New Roman"/>
          <w:noProof/>
          <w:color w:val="000000"/>
          <w:sz w:val="20"/>
          <w:szCs w:val="20"/>
          <w:lang w:val="en-US" w:eastAsia="zh-CN"/>
        </w:rPr>
        <w:t>activating expression of genes that help tolerating high ROS levels in cancer cells.</w:t>
      </w:r>
    </w:p>
    <w:p w14:paraId="38AC7B16" w14:textId="77777777" w:rsidR="000E018D" w:rsidRDefault="000E018D" w:rsidP="007C363A">
      <w:pPr>
        <w:jc w:val="both"/>
        <w:rPr>
          <w:rFonts w:ascii="Palatino Linotype" w:eastAsia="SimSun" w:hAnsi="Palatino Linotype" w:cs="Times New Roman"/>
          <w:b/>
          <w:bCs/>
          <w:noProof/>
          <w:color w:val="000000"/>
          <w:sz w:val="20"/>
          <w:szCs w:val="20"/>
          <w:u w:val="single"/>
          <w:lang w:val="en-US" w:eastAsia="zh-CN"/>
        </w:rPr>
      </w:pPr>
    </w:p>
    <w:p w14:paraId="5335502F" w14:textId="5464C37D" w:rsidR="00C67724" w:rsidRDefault="00C67724" w:rsidP="007C363A">
      <w:pPr>
        <w:jc w:val="both"/>
        <w:rPr>
          <w:rFonts w:ascii="Palatino Linotype" w:eastAsia="SimSun" w:hAnsi="Palatino Linotype" w:cs="Times New Roman"/>
          <w:b/>
          <w:bCs/>
          <w:noProof/>
          <w:color w:val="000000"/>
          <w:sz w:val="20"/>
          <w:szCs w:val="20"/>
          <w:u w:val="single"/>
          <w:lang w:val="en-US" w:eastAsia="zh-CN"/>
        </w:rPr>
      </w:pPr>
      <w:r w:rsidRPr="00E95A32">
        <w:rPr>
          <w:rFonts w:ascii="Palatino Linotype" w:eastAsia="SimSun" w:hAnsi="Palatino Linotype" w:cs="Times New Roman"/>
          <w:b/>
          <w:bCs/>
          <w:noProof/>
          <w:color w:val="000000"/>
          <w:sz w:val="20"/>
          <w:szCs w:val="20"/>
          <w:u w:val="single"/>
          <w:lang w:val="en-US" w:eastAsia="zh-CN"/>
        </w:rPr>
        <w:t xml:space="preserve">Supplementary Box </w:t>
      </w:r>
      <w:r w:rsidR="00912E7E">
        <w:rPr>
          <w:rFonts w:ascii="Palatino Linotype" w:eastAsia="SimSun" w:hAnsi="Palatino Linotype" w:cs="Times New Roman"/>
          <w:b/>
          <w:bCs/>
          <w:noProof/>
          <w:color w:val="000000"/>
          <w:sz w:val="20"/>
          <w:szCs w:val="20"/>
          <w:u w:val="single"/>
          <w:lang w:val="en-US" w:eastAsia="zh-CN"/>
        </w:rPr>
        <w:t>7</w:t>
      </w:r>
    </w:p>
    <w:p w14:paraId="3F51EFAB" w14:textId="77777777" w:rsidR="00965C87" w:rsidRPr="00DC15D4" w:rsidRDefault="00965C87" w:rsidP="007C363A">
      <w:pPr>
        <w:jc w:val="both"/>
        <w:rPr>
          <w:rFonts w:ascii="Palatino Linotype" w:eastAsia="SimSun" w:hAnsi="Palatino Linotype" w:cs="Times New Roman"/>
          <w:b/>
          <w:bCs/>
          <w:noProof/>
          <w:color w:val="000000"/>
          <w:sz w:val="20"/>
          <w:szCs w:val="20"/>
          <w:lang w:val="en-US" w:eastAsia="zh-CN"/>
        </w:rPr>
      </w:pPr>
      <w:r w:rsidRPr="00DC15D4">
        <w:rPr>
          <w:rFonts w:ascii="Palatino Linotype" w:eastAsia="SimSun" w:hAnsi="Palatino Linotype" w:cs="Times New Roman"/>
          <w:b/>
          <w:bCs/>
          <w:noProof/>
          <w:color w:val="000000"/>
          <w:sz w:val="20"/>
          <w:szCs w:val="20"/>
          <w:lang w:val="en-US" w:eastAsia="zh-CN"/>
        </w:rPr>
        <w:t>Electron Transport Chain</w:t>
      </w:r>
      <w:r w:rsidR="00BB3D7F">
        <w:rPr>
          <w:rFonts w:ascii="Palatino Linotype" w:eastAsia="SimSun" w:hAnsi="Palatino Linotype" w:cs="Times New Roman"/>
          <w:b/>
          <w:bCs/>
          <w:noProof/>
          <w:color w:val="000000"/>
          <w:sz w:val="20"/>
          <w:szCs w:val="20"/>
          <w:lang w:val="en-US" w:eastAsia="zh-CN"/>
        </w:rPr>
        <w:t xml:space="preserve"> (ETC)</w:t>
      </w:r>
    </w:p>
    <w:p w14:paraId="45644FBC" w14:textId="3771FDE2" w:rsidR="009E7723" w:rsidRPr="00965C87" w:rsidRDefault="001302A6" w:rsidP="007C363A">
      <w:pPr>
        <w:jc w:val="both"/>
        <w:rPr>
          <w:rFonts w:ascii="Palatino Linotype" w:eastAsia="SimSun" w:hAnsi="Palatino Linotype" w:cs="Times New Roman"/>
          <w:noProof/>
          <w:color w:val="000000"/>
          <w:sz w:val="20"/>
          <w:szCs w:val="20"/>
          <w:shd w:val="clear" w:color="auto" w:fill="FFFFFF"/>
          <w:lang w:val="en-US" w:eastAsia="zh-CN"/>
        </w:rPr>
      </w:pPr>
      <w:r w:rsidRPr="00BA53E0">
        <w:rPr>
          <w:rFonts w:ascii="Tahoma" w:eastAsia="SimSun" w:hAnsi="Tahoma" w:cs="Tahoma"/>
          <w:noProof/>
          <w:color w:val="000000"/>
          <w:sz w:val="20"/>
          <w:szCs w:val="20"/>
          <w:lang w:eastAsia="zh-CN"/>
        </w:rPr>
        <w:t>﻿</w:t>
      </w:r>
      <w:r w:rsidR="00965C87" w:rsidRPr="00DC15D4">
        <w:rPr>
          <w:rFonts w:ascii="Palatino Linotype" w:eastAsia="SimSun" w:hAnsi="Palatino Linotype" w:cs="Times New Roman"/>
          <w:noProof/>
          <w:color w:val="000000"/>
          <w:sz w:val="20"/>
          <w:szCs w:val="20"/>
          <w:shd w:val="clear" w:color="auto" w:fill="FFFFFF"/>
          <w:lang w:val="en-US" w:eastAsia="zh-CN"/>
        </w:rPr>
        <w:t>The electron transport chain consist</w:t>
      </w:r>
      <w:r w:rsidR="005566BD">
        <w:rPr>
          <w:rFonts w:ascii="Palatino Linotype" w:eastAsia="SimSun" w:hAnsi="Palatino Linotype" w:cs="Times New Roman"/>
          <w:noProof/>
          <w:color w:val="000000"/>
          <w:sz w:val="20"/>
          <w:szCs w:val="20"/>
          <w:shd w:val="clear" w:color="auto" w:fill="FFFFFF"/>
          <w:lang w:val="en-US" w:eastAsia="zh-CN"/>
        </w:rPr>
        <w:t>s</w:t>
      </w:r>
      <w:r w:rsidR="00965C87" w:rsidRPr="00DC15D4">
        <w:rPr>
          <w:rFonts w:ascii="Palatino Linotype" w:eastAsia="SimSun" w:hAnsi="Palatino Linotype" w:cs="Times New Roman"/>
          <w:noProof/>
          <w:color w:val="000000"/>
          <w:sz w:val="20"/>
          <w:szCs w:val="20"/>
          <w:shd w:val="clear" w:color="auto" w:fill="FFFFFF"/>
          <w:lang w:val="en-US" w:eastAsia="zh-CN"/>
        </w:rPr>
        <w:t xml:space="preserve"> of five different complexes. </w:t>
      </w:r>
      <w:r w:rsidRPr="00DC15D4">
        <w:rPr>
          <w:rFonts w:ascii="Palatino Linotype" w:eastAsia="SimSun" w:hAnsi="Palatino Linotype" w:cs="Times New Roman"/>
          <w:noProof/>
          <w:color w:val="000000"/>
          <w:sz w:val="20"/>
          <w:szCs w:val="20"/>
          <w:shd w:val="clear" w:color="auto" w:fill="FFFFFF"/>
          <w:lang w:val="en-US" w:eastAsia="zh-CN"/>
        </w:rPr>
        <w:t xml:space="preserve">Complex I (NADH-Ubiquinone Oxidoreductase) </w:t>
      </w:r>
      <w:r w:rsidR="0000547A">
        <w:rPr>
          <w:rFonts w:ascii="Palatino Linotype" w:eastAsia="SimSun" w:hAnsi="Palatino Linotype" w:cs="Times New Roman"/>
          <w:noProof/>
          <w:color w:val="000000"/>
          <w:sz w:val="20"/>
          <w:szCs w:val="20"/>
          <w:shd w:val="clear" w:color="auto" w:fill="FFFFFF"/>
          <w:lang w:val="en-US" w:eastAsia="zh-CN"/>
        </w:rPr>
        <w:t>includes</w:t>
      </w:r>
      <w:r w:rsidRPr="00DC15D4">
        <w:rPr>
          <w:rFonts w:ascii="Palatino Linotype" w:eastAsia="SimSun" w:hAnsi="Palatino Linotype" w:cs="Times New Roman"/>
          <w:noProof/>
          <w:color w:val="000000"/>
          <w:sz w:val="20"/>
          <w:szCs w:val="20"/>
          <w:shd w:val="clear" w:color="auto" w:fill="FFFFFF"/>
          <w:lang w:val="en-US" w:eastAsia="zh-CN"/>
        </w:rPr>
        <w:t xml:space="preserve"> NADH dehydrogenase, flavin mononucleotide (FMN), iron-sulfur (Fe-S) clusters, and a final electron accepting Fe-S cluster (N2). When NADH generated during glycolysis and the TCA cycle is oxidized, two electrons flow to FMN, then to the Fe-S clusters and finally, ubiquinone (coenzyme Q, CoQ) is reduced to ubiquinol (CoQH2). Every NADH molecule results in the translocation of four protons. The second entry point to the ETC is complex II (Succinate Dehydrogenase). FAD accepts two electrons from the reduction of succinate to fumarate and electrons pass from FADH2 to three Fe-S clusters and CoQ. The released energy in this complex is not enough to pump protons. Once electrons from complexes I and II pass to CoQ, it undergoes reduction to semi-ubiquinone (CoQH</w:t>
      </w:r>
      <w:r w:rsidRPr="000A75D1">
        <w:rPr>
          <w:rFonts w:ascii="Palatino Linotype" w:eastAsia="SimSun" w:hAnsi="Palatino Linotype" w:cs="Times New Roman"/>
          <w:noProof/>
          <w:color w:val="000000"/>
          <w:sz w:val="20"/>
          <w:szCs w:val="20"/>
          <w:shd w:val="clear" w:color="auto" w:fill="FFFFFF"/>
          <w:vertAlign w:val="superscript"/>
          <w:lang w:val="en-US" w:eastAsia="zh-CN"/>
        </w:rPr>
        <w:t>-</w:t>
      </w:r>
      <w:r w:rsidRPr="00DC15D4">
        <w:rPr>
          <w:rFonts w:ascii="Palatino Linotype" w:eastAsia="SimSun" w:hAnsi="Palatino Linotype" w:cs="Times New Roman"/>
          <w:noProof/>
          <w:color w:val="000000"/>
          <w:sz w:val="20"/>
          <w:szCs w:val="20"/>
          <w:shd w:val="clear" w:color="auto" w:fill="FFFFFF"/>
          <w:lang w:val="en-US" w:eastAsia="zh-CN"/>
        </w:rPr>
        <w:t>) and CoQH2. Complex III (Ubiquinol-Cytochrome c Oxidoreductase) consists of cytochrome b (bL and bH), cytochrome c1 and a 2Fe-2S cluster wrapped by an iron-sulphur protein. The transfer of electrons from ubiquinol (QH</w:t>
      </w:r>
      <w:r w:rsidRPr="00BE0689">
        <w:rPr>
          <w:rFonts w:ascii="Palatino Linotype" w:eastAsia="SimSun" w:hAnsi="Palatino Linotype" w:cs="Times New Roman"/>
          <w:noProof/>
          <w:color w:val="000000"/>
          <w:sz w:val="20"/>
          <w:szCs w:val="20"/>
          <w:shd w:val="clear" w:color="auto" w:fill="FFFFFF"/>
          <w:vertAlign w:val="subscript"/>
          <w:lang w:val="en-US" w:eastAsia="zh-CN"/>
        </w:rPr>
        <w:t>2</w:t>
      </w:r>
      <w:r w:rsidRPr="00DC15D4">
        <w:rPr>
          <w:rFonts w:ascii="Palatino Linotype" w:eastAsia="SimSun" w:hAnsi="Palatino Linotype" w:cs="Times New Roman"/>
          <w:noProof/>
          <w:color w:val="000000"/>
          <w:sz w:val="20"/>
          <w:szCs w:val="20"/>
          <w:shd w:val="clear" w:color="auto" w:fill="FFFFFF"/>
          <w:lang w:val="en-US" w:eastAsia="zh-CN"/>
        </w:rPr>
        <w:t>) to complex III takes place through the Q-cycle. Every electron is transferred at a time and the energy after a full Q-cycle (2 electrons) results in the pumping of four protons. Complex IV (Cytochrome c Oxidase) oxidizes cytochrome c and transfers electrons, one at a time, to oxygen that converts to water molecules. This complex consists of thirteen different subunits that are responsible for the reduction of O</w:t>
      </w:r>
      <w:r w:rsidRPr="00BE0689">
        <w:rPr>
          <w:rFonts w:ascii="Palatino Linotype" w:eastAsia="SimSun" w:hAnsi="Palatino Linotype" w:cs="Times New Roman"/>
          <w:noProof/>
          <w:color w:val="000000"/>
          <w:sz w:val="20"/>
          <w:szCs w:val="20"/>
          <w:shd w:val="clear" w:color="auto" w:fill="FFFFFF"/>
          <w:vertAlign w:val="subscript"/>
          <w:lang w:val="en-US" w:eastAsia="zh-CN"/>
        </w:rPr>
        <w:t>2</w:t>
      </w:r>
      <w:r w:rsidRPr="00DC15D4">
        <w:rPr>
          <w:rFonts w:ascii="Palatino Linotype" w:eastAsia="SimSun" w:hAnsi="Palatino Linotype" w:cs="Times New Roman"/>
          <w:noProof/>
          <w:color w:val="000000"/>
          <w:sz w:val="20"/>
          <w:szCs w:val="20"/>
          <w:shd w:val="clear" w:color="auto" w:fill="FFFFFF"/>
          <w:lang w:val="en-US" w:eastAsia="zh-CN"/>
        </w:rPr>
        <w:t xml:space="preserve"> to H</w:t>
      </w:r>
      <w:r w:rsidRPr="00BE0689">
        <w:rPr>
          <w:rFonts w:ascii="Palatino Linotype" w:eastAsia="SimSun" w:hAnsi="Palatino Linotype" w:cs="Times New Roman"/>
          <w:noProof/>
          <w:color w:val="000000"/>
          <w:sz w:val="20"/>
          <w:szCs w:val="20"/>
          <w:shd w:val="clear" w:color="auto" w:fill="FFFFFF"/>
          <w:vertAlign w:val="subscript"/>
          <w:lang w:val="en-US" w:eastAsia="zh-CN"/>
        </w:rPr>
        <w:t>2</w:t>
      </w:r>
      <w:r w:rsidRPr="00DC15D4">
        <w:rPr>
          <w:rFonts w:ascii="Palatino Linotype" w:eastAsia="SimSun" w:hAnsi="Palatino Linotype" w:cs="Times New Roman"/>
          <w:noProof/>
          <w:color w:val="000000"/>
          <w:sz w:val="20"/>
          <w:szCs w:val="20"/>
          <w:shd w:val="clear" w:color="auto" w:fill="FFFFFF"/>
          <w:lang w:val="en-US" w:eastAsia="zh-CN"/>
        </w:rPr>
        <w:t>O. The two-electron transfer causes four protons to move into the intermembrane space. Finally, complex V (F</w:t>
      </w:r>
      <w:r w:rsidRPr="00BE0689">
        <w:rPr>
          <w:rFonts w:ascii="Palatino Linotype" w:eastAsia="SimSun" w:hAnsi="Palatino Linotype" w:cs="Times New Roman"/>
          <w:noProof/>
          <w:color w:val="000000"/>
          <w:sz w:val="20"/>
          <w:szCs w:val="20"/>
          <w:shd w:val="clear" w:color="auto" w:fill="FFFFFF"/>
          <w:vertAlign w:val="subscript"/>
          <w:lang w:val="en-US" w:eastAsia="zh-CN"/>
        </w:rPr>
        <w:t>1</w:t>
      </w:r>
      <w:r w:rsidRPr="00DC15D4">
        <w:rPr>
          <w:rFonts w:ascii="Palatino Linotype" w:eastAsia="SimSun" w:hAnsi="Palatino Linotype" w:cs="Times New Roman"/>
          <w:noProof/>
          <w:color w:val="000000"/>
          <w:sz w:val="20"/>
          <w:szCs w:val="20"/>
          <w:shd w:val="clear" w:color="auto" w:fill="FFFFFF"/>
          <w:lang w:val="en-US" w:eastAsia="zh-CN"/>
        </w:rPr>
        <w:t>F</w:t>
      </w:r>
      <w:r w:rsidRPr="00BE0689">
        <w:rPr>
          <w:rFonts w:ascii="Palatino Linotype" w:eastAsia="SimSun" w:hAnsi="Palatino Linotype" w:cs="Times New Roman"/>
          <w:noProof/>
          <w:color w:val="000000"/>
          <w:sz w:val="20"/>
          <w:szCs w:val="20"/>
          <w:shd w:val="clear" w:color="auto" w:fill="FFFFFF"/>
          <w:vertAlign w:val="subscript"/>
          <w:lang w:val="en-US" w:eastAsia="zh-CN"/>
        </w:rPr>
        <w:t>0</w:t>
      </w:r>
      <w:r w:rsidRPr="00DC15D4">
        <w:rPr>
          <w:rFonts w:ascii="Palatino Linotype" w:eastAsia="SimSun" w:hAnsi="Palatino Linotype" w:cs="Times New Roman"/>
          <w:noProof/>
          <w:color w:val="000000"/>
          <w:sz w:val="20"/>
          <w:szCs w:val="20"/>
          <w:shd w:val="clear" w:color="auto" w:fill="FFFFFF"/>
          <w:lang w:val="en-US" w:eastAsia="zh-CN"/>
        </w:rPr>
        <w:t>ATP synthase) uses the ETC proton gradient across the inner mitochondrial membrane to form ATP, one every four H</w:t>
      </w:r>
      <w:r w:rsidRPr="00BE0689">
        <w:rPr>
          <w:rFonts w:ascii="Palatino Linotype" w:eastAsia="SimSun" w:hAnsi="Palatino Linotype" w:cs="Times New Roman"/>
          <w:noProof/>
          <w:color w:val="000000"/>
          <w:sz w:val="20"/>
          <w:szCs w:val="20"/>
          <w:shd w:val="clear" w:color="auto" w:fill="FFFFFF"/>
          <w:vertAlign w:val="superscript"/>
          <w:lang w:val="en-US" w:eastAsia="zh-CN"/>
        </w:rPr>
        <w:t>+</w:t>
      </w:r>
      <w:r w:rsidRPr="00965C87">
        <w:rPr>
          <w:rFonts w:ascii="Palatino Linotype" w:eastAsia="SimSun" w:hAnsi="Palatino Linotype" w:cs="Times New Roman"/>
          <w:noProof/>
          <w:color w:val="000000"/>
          <w:sz w:val="20"/>
          <w:szCs w:val="20"/>
          <w:shd w:val="clear" w:color="auto" w:fill="FFFFFF"/>
          <w:lang w:val="en-US" w:eastAsia="zh-CN"/>
        </w:rPr>
        <w:t xml:space="preserve">. </w:t>
      </w:r>
      <w:r w:rsidR="00E51DCC">
        <w:rPr>
          <w:rFonts w:ascii="Palatino Linotype" w:eastAsia="SimSun" w:hAnsi="Palatino Linotype" w:cs="Times New Roman"/>
          <w:noProof/>
          <w:color w:val="000000"/>
          <w:sz w:val="20"/>
          <w:szCs w:val="20"/>
          <w:shd w:val="clear" w:color="auto" w:fill="FFFFFF"/>
          <w:lang w:val="en-US" w:eastAsia="zh-CN"/>
        </w:rPr>
        <w:t>Oxidative phosphorylation</w:t>
      </w:r>
      <w:r w:rsidR="00E51DCC" w:rsidRPr="00965C87">
        <w:rPr>
          <w:rFonts w:ascii="Palatino Linotype" w:eastAsia="SimSun" w:hAnsi="Palatino Linotype" w:cs="Times New Roman"/>
          <w:noProof/>
          <w:color w:val="000000"/>
          <w:sz w:val="20"/>
          <w:szCs w:val="20"/>
          <w:shd w:val="clear" w:color="auto" w:fill="FFFFFF"/>
          <w:lang w:val="en-US" w:eastAsia="zh-CN"/>
        </w:rPr>
        <w:t xml:space="preserve"> </w:t>
      </w:r>
      <w:r w:rsidRPr="00965C87">
        <w:rPr>
          <w:rFonts w:ascii="Palatino Linotype" w:eastAsia="SimSun" w:hAnsi="Palatino Linotype" w:cs="Times New Roman"/>
          <w:noProof/>
          <w:color w:val="000000"/>
          <w:sz w:val="20"/>
          <w:szCs w:val="20"/>
          <w:shd w:val="clear" w:color="auto" w:fill="FFFFFF"/>
          <w:lang w:val="en-US" w:eastAsia="zh-CN"/>
        </w:rPr>
        <w:t xml:space="preserve">is not completely coupled, and some protons can flow into the mitochondrial matrix instead of passing through the ATP synthase, the so called proton leak. </w:t>
      </w:r>
    </w:p>
    <w:p w14:paraId="33E1253F" w14:textId="77777777" w:rsidR="000E018D" w:rsidRDefault="000E018D" w:rsidP="007C363A">
      <w:pPr>
        <w:jc w:val="both"/>
        <w:rPr>
          <w:rFonts w:ascii="Palatino Linotype" w:eastAsia="SimSun" w:hAnsi="Palatino Linotype" w:cs="Times New Roman"/>
          <w:b/>
          <w:bCs/>
          <w:noProof/>
          <w:color w:val="000000"/>
          <w:sz w:val="20"/>
          <w:szCs w:val="20"/>
          <w:u w:val="single"/>
          <w:lang w:val="en-US" w:eastAsia="zh-CN"/>
        </w:rPr>
      </w:pPr>
    </w:p>
    <w:p w14:paraId="3453A641" w14:textId="11E25B9C" w:rsidR="00F70A52" w:rsidRDefault="00C35F8C" w:rsidP="007C363A">
      <w:pPr>
        <w:jc w:val="both"/>
        <w:rPr>
          <w:rFonts w:ascii="Palatino Linotype" w:eastAsia="SimSun" w:hAnsi="Palatino Linotype" w:cs="Times New Roman"/>
          <w:b/>
          <w:bCs/>
          <w:noProof/>
          <w:color w:val="000000"/>
          <w:sz w:val="20"/>
          <w:szCs w:val="20"/>
          <w:u w:val="single"/>
          <w:lang w:val="en-US" w:eastAsia="zh-CN"/>
        </w:rPr>
      </w:pPr>
      <w:r w:rsidRPr="00C35F8C">
        <w:rPr>
          <w:rFonts w:ascii="Palatino Linotype" w:eastAsia="SimSun" w:hAnsi="Palatino Linotype" w:cs="Times New Roman"/>
          <w:b/>
          <w:bCs/>
          <w:noProof/>
          <w:color w:val="000000"/>
          <w:sz w:val="20"/>
          <w:szCs w:val="20"/>
          <w:u w:val="single"/>
          <w:lang w:val="en-US" w:eastAsia="zh-CN"/>
        </w:rPr>
        <w:t xml:space="preserve">Supplementary Box </w:t>
      </w:r>
      <w:r w:rsidR="00912E7E">
        <w:rPr>
          <w:rFonts w:ascii="Palatino Linotype" w:eastAsia="SimSun" w:hAnsi="Palatino Linotype" w:cs="Times New Roman"/>
          <w:b/>
          <w:bCs/>
          <w:noProof/>
          <w:color w:val="000000"/>
          <w:sz w:val="20"/>
          <w:szCs w:val="20"/>
          <w:u w:val="single"/>
          <w:lang w:val="en-US" w:eastAsia="zh-CN"/>
        </w:rPr>
        <w:t>8</w:t>
      </w:r>
    </w:p>
    <w:p w14:paraId="081DE5FB" w14:textId="2B259EB2" w:rsidR="00965C87" w:rsidRPr="00DC15D4" w:rsidRDefault="00965C87" w:rsidP="007C363A">
      <w:pPr>
        <w:jc w:val="both"/>
        <w:rPr>
          <w:rFonts w:ascii="Palatino Linotype" w:eastAsia="SimSun" w:hAnsi="Palatino Linotype" w:cs="Times New Roman"/>
          <w:b/>
          <w:bCs/>
          <w:noProof/>
          <w:color w:val="000000"/>
          <w:sz w:val="20"/>
          <w:szCs w:val="20"/>
          <w:lang w:val="en-US" w:eastAsia="zh-CN"/>
        </w:rPr>
      </w:pPr>
      <w:r w:rsidRPr="00DC15D4">
        <w:rPr>
          <w:rFonts w:ascii="Palatino Linotype" w:eastAsia="SimSun" w:hAnsi="Palatino Linotype" w:cs="Times New Roman"/>
          <w:b/>
          <w:bCs/>
          <w:noProof/>
          <w:color w:val="000000"/>
          <w:sz w:val="20"/>
          <w:szCs w:val="20"/>
          <w:lang w:val="en-US" w:eastAsia="zh-CN"/>
        </w:rPr>
        <w:t xml:space="preserve">Fatty </w:t>
      </w:r>
      <w:r w:rsidR="0046404C">
        <w:rPr>
          <w:rFonts w:ascii="Palatino Linotype" w:eastAsia="SimSun" w:hAnsi="Palatino Linotype" w:cs="Times New Roman"/>
          <w:b/>
          <w:bCs/>
          <w:noProof/>
          <w:color w:val="000000"/>
          <w:sz w:val="20"/>
          <w:szCs w:val="20"/>
          <w:lang w:val="en-US" w:eastAsia="zh-CN"/>
        </w:rPr>
        <w:t>A</w:t>
      </w:r>
      <w:r w:rsidRPr="00DC15D4">
        <w:rPr>
          <w:rFonts w:ascii="Palatino Linotype" w:eastAsia="SimSun" w:hAnsi="Palatino Linotype" w:cs="Times New Roman"/>
          <w:b/>
          <w:bCs/>
          <w:noProof/>
          <w:color w:val="000000"/>
          <w:sz w:val="20"/>
          <w:szCs w:val="20"/>
          <w:lang w:val="en-US" w:eastAsia="zh-CN"/>
        </w:rPr>
        <w:t>cid β-</w:t>
      </w:r>
      <w:r w:rsidR="0046404C">
        <w:rPr>
          <w:rFonts w:ascii="Palatino Linotype" w:eastAsia="SimSun" w:hAnsi="Palatino Linotype" w:cs="Times New Roman"/>
          <w:b/>
          <w:bCs/>
          <w:noProof/>
          <w:color w:val="000000"/>
          <w:sz w:val="20"/>
          <w:szCs w:val="20"/>
          <w:lang w:val="en-US" w:eastAsia="zh-CN"/>
        </w:rPr>
        <w:t>O</w:t>
      </w:r>
      <w:r w:rsidRPr="00DC15D4">
        <w:rPr>
          <w:rFonts w:ascii="Palatino Linotype" w:eastAsia="SimSun" w:hAnsi="Palatino Linotype" w:cs="Times New Roman"/>
          <w:b/>
          <w:bCs/>
          <w:noProof/>
          <w:color w:val="000000"/>
          <w:sz w:val="20"/>
          <w:szCs w:val="20"/>
          <w:lang w:val="en-US" w:eastAsia="zh-CN"/>
        </w:rPr>
        <w:t>xidation</w:t>
      </w:r>
      <w:r w:rsidR="007E7067">
        <w:rPr>
          <w:rFonts w:ascii="Palatino Linotype" w:eastAsia="SimSun" w:hAnsi="Palatino Linotype" w:cs="Times New Roman"/>
          <w:b/>
          <w:bCs/>
          <w:noProof/>
          <w:color w:val="000000"/>
          <w:sz w:val="20"/>
          <w:szCs w:val="20"/>
          <w:lang w:val="en-US" w:eastAsia="zh-CN"/>
        </w:rPr>
        <w:t xml:space="preserve"> (FAO)</w:t>
      </w:r>
    </w:p>
    <w:p w14:paraId="36CB26B0" w14:textId="65946D61" w:rsidR="000E018D" w:rsidRDefault="00F70A52" w:rsidP="007C363A">
      <w:pPr>
        <w:jc w:val="both"/>
        <w:rPr>
          <w:rFonts w:ascii="Palatino Linotype" w:eastAsia="SimSun" w:hAnsi="Palatino Linotype" w:cs="Times New Roman"/>
          <w:b/>
          <w:bCs/>
          <w:noProof/>
          <w:color w:val="000000"/>
          <w:sz w:val="20"/>
          <w:szCs w:val="20"/>
          <w:u w:val="single"/>
          <w:lang w:val="en-US" w:eastAsia="zh-CN"/>
        </w:rPr>
      </w:pPr>
      <w:r w:rsidRPr="00E15CA1">
        <w:rPr>
          <w:rFonts w:ascii="Palatino Linotype" w:eastAsia="SimSun" w:hAnsi="Palatino Linotype" w:cs="Times New Roman"/>
          <w:noProof/>
          <w:color w:val="000000"/>
          <w:sz w:val="20"/>
          <w:szCs w:val="20"/>
          <w:lang w:val="en-US" w:eastAsia="zh-CN"/>
        </w:rPr>
        <w:t xml:space="preserve">Free fatty acids are unable to move through biological membranes. To enter mitochondria, </w:t>
      </w:r>
      <w:r w:rsidR="003D7D0D">
        <w:rPr>
          <w:rFonts w:ascii="Palatino Linotype" w:eastAsia="SimSun" w:hAnsi="Palatino Linotype" w:cs="Times New Roman"/>
          <w:noProof/>
          <w:color w:val="000000"/>
          <w:sz w:val="20"/>
          <w:szCs w:val="20"/>
          <w:lang w:val="en-US" w:eastAsia="zh-CN"/>
        </w:rPr>
        <w:t>they</w:t>
      </w:r>
      <w:r w:rsidRPr="00E15CA1">
        <w:rPr>
          <w:rFonts w:ascii="Palatino Linotype" w:eastAsia="SimSun" w:hAnsi="Palatino Linotype" w:cs="Times New Roman"/>
          <w:noProof/>
          <w:color w:val="000000"/>
          <w:sz w:val="20"/>
          <w:szCs w:val="20"/>
          <w:lang w:val="en-US" w:eastAsia="zh-CN"/>
        </w:rPr>
        <w:t xml:space="preserve"> are initially activated in the cytosol by binding to Coenzyme A (CoA) in an ATP-consuming reaction producing fatty acyl-CoA. The enzyme carnitine palmitoyltransferase 1 (CPT1), the rate-limiting enzyme of FAO, catalyzes fatty acyl to a carnitine, releasing CoA at the cytosolic side of the OMM. The resulting fatty acyl-carnitine is transferred to the mitochondrial matrix by the carnitine-acyl carnitine translocase, moving one molecule of free carnitine to the intermembrane space at the same time. Once in the matrix, CPT2 catalyzes the opposite reaction previously performed by CPT1, binding the fatty acyl to CoA, and releasing carnitine. The fatty acyl CoA is then degraded by the cyclic reactions of FAO, including the following enzymatic activities: acyl-CoA dehydrogenase, enoyl-CoA hydratase, 3-hydroxyacyl-CoA dehydrogenase, and acyl-CoA acetyltransferase (or thiolase). Each cycle results in the shortening of fatty acids by two carbon atoms, released in the form of acetyl-CoA which can be further oxidized through the TCA cycle, and for production of one molecule of NADH and one of FADH</w:t>
      </w:r>
      <w:r w:rsidRPr="00E15CA1">
        <w:rPr>
          <w:rFonts w:ascii="Palatino Linotype" w:eastAsia="SimSun" w:hAnsi="Palatino Linotype" w:cs="Times New Roman"/>
          <w:noProof/>
          <w:color w:val="000000"/>
          <w:sz w:val="20"/>
          <w:szCs w:val="20"/>
          <w:vertAlign w:val="subscript"/>
          <w:lang w:val="en-US" w:eastAsia="zh-CN"/>
        </w:rPr>
        <w:t>2</w:t>
      </w:r>
      <w:r w:rsidRPr="00E15CA1">
        <w:rPr>
          <w:rFonts w:ascii="Palatino Linotype" w:eastAsia="SimSun" w:hAnsi="Palatino Linotype" w:cs="Times New Roman"/>
          <w:noProof/>
          <w:color w:val="000000"/>
          <w:sz w:val="20"/>
          <w:szCs w:val="20"/>
          <w:lang w:val="en-US" w:eastAsia="zh-CN"/>
        </w:rPr>
        <w:t xml:space="preserve">, </w:t>
      </w:r>
      <w:r w:rsidR="00E87F5C">
        <w:rPr>
          <w:rFonts w:ascii="Palatino Linotype" w:eastAsia="SimSun" w:hAnsi="Palatino Linotype" w:cs="Times New Roman"/>
          <w:noProof/>
          <w:color w:val="000000"/>
          <w:sz w:val="20"/>
          <w:szCs w:val="20"/>
          <w:lang w:val="en-US" w:eastAsia="zh-CN"/>
        </w:rPr>
        <w:t>which</w:t>
      </w:r>
      <w:r w:rsidRPr="00E15CA1">
        <w:rPr>
          <w:rFonts w:ascii="Palatino Linotype" w:eastAsia="SimSun" w:hAnsi="Palatino Linotype" w:cs="Times New Roman"/>
          <w:noProof/>
          <w:color w:val="000000"/>
          <w:sz w:val="20"/>
          <w:szCs w:val="20"/>
          <w:lang w:val="en-US" w:eastAsia="zh-CN"/>
        </w:rPr>
        <w:t xml:space="preserve"> in turn will donate electrons to the ETC for ATP production. The final cycle will break </w:t>
      </w:r>
      <w:r w:rsidRPr="00E15CA1">
        <w:rPr>
          <w:rFonts w:ascii="Palatino Linotype" w:eastAsia="SimSun" w:hAnsi="Palatino Linotype" w:cs="Times New Roman"/>
          <w:noProof/>
          <w:color w:val="000000"/>
          <w:sz w:val="20"/>
          <w:szCs w:val="20"/>
          <w:lang w:val="en-US" w:eastAsia="zh-CN"/>
        </w:rPr>
        <w:lastRenderedPageBreak/>
        <w:t xml:space="preserve">down one four carbon-long fatty acid into two molecules of acetyl-CoA </w:t>
      </w:r>
      <w:r w:rsidRPr="00026FE0">
        <w:rPr>
          <w:rFonts w:ascii="Palatino Linotype" w:eastAsia="SimSun" w:hAnsi="Palatino Linotype" w:cs="Times New Roman"/>
          <w:noProof/>
          <w:color w:val="000000"/>
          <w:sz w:val="20"/>
          <w:szCs w:val="20"/>
          <w:lang w:val="en-US" w:eastAsia="zh-CN"/>
        </w:rPr>
        <w:t>(</w:t>
      </w:r>
      <w:r w:rsidR="00AE4E03">
        <w:rPr>
          <w:rFonts w:ascii="Palatino Linotype" w:eastAsia="SimSun" w:hAnsi="Palatino Linotype" w:cs="Times New Roman"/>
          <w:noProof/>
          <w:color w:val="000000"/>
          <w:sz w:val="20"/>
          <w:szCs w:val="20"/>
          <w:lang w:val="en-US" w:eastAsia="zh-CN"/>
        </w:rPr>
        <w:t xml:space="preserve">please </w:t>
      </w:r>
      <w:r w:rsidR="003939D1">
        <w:rPr>
          <w:rFonts w:ascii="Palatino Linotype" w:eastAsia="SimSun" w:hAnsi="Palatino Linotype" w:cs="Times New Roman"/>
          <w:noProof/>
          <w:color w:val="000000"/>
          <w:sz w:val="20"/>
          <w:szCs w:val="20"/>
          <w:lang w:val="en-US" w:eastAsia="zh-CN"/>
        </w:rPr>
        <w:t>refer to</w:t>
      </w:r>
      <w:r w:rsidR="00AE4E03">
        <w:rPr>
          <w:rFonts w:ascii="Palatino Linotype" w:eastAsia="SimSun" w:hAnsi="Palatino Linotype" w:cs="Times New Roman"/>
          <w:noProof/>
          <w:color w:val="000000"/>
          <w:sz w:val="20"/>
          <w:szCs w:val="20"/>
          <w:lang w:val="en-US" w:eastAsia="zh-CN"/>
        </w:rPr>
        <w:t xml:space="preserve"> </w:t>
      </w:r>
      <w:r w:rsidRPr="00026FE0">
        <w:rPr>
          <w:rFonts w:ascii="Palatino Linotype" w:eastAsia="SimSun" w:hAnsi="Palatino Linotype" w:cs="Times New Roman"/>
          <w:b/>
          <w:bCs/>
          <w:noProof/>
          <w:color w:val="000000"/>
          <w:sz w:val="20"/>
          <w:szCs w:val="20"/>
          <w:lang w:val="en-US" w:eastAsia="zh-CN"/>
        </w:rPr>
        <w:t xml:space="preserve">Figure </w:t>
      </w:r>
      <w:r w:rsidR="00026FE0" w:rsidRPr="00026FE0">
        <w:rPr>
          <w:rFonts w:ascii="Palatino Linotype" w:eastAsia="SimSun" w:hAnsi="Palatino Linotype" w:cs="Times New Roman"/>
          <w:b/>
          <w:bCs/>
          <w:noProof/>
          <w:color w:val="000000"/>
          <w:sz w:val="20"/>
          <w:szCs w:val="20"/>
          <w:lang w:val="en-US" w:eastAsia="zh-CN"/>
        </w:rPr>
        <w:t>4</w:t>
      </w:r>
      <w:r w:rsidRPr="00026FE0">
        <w:rPr>
          <w:rFonts w:ascii="Palatino Linotype" w:eastAsia="SimSun" w:hAnsi="Palatino Linotype" w:cs="Times New Roman"/>
          <w:noProof/>
          <w:color w:val="000000"/>
          <w:sz w:val="20"/>
          <w:szCs w:val="20"/>
          <w:lang w:val="en-US" w:eastAsia="zh-CN"/>
        </w:rPr>
        <w:t>).</w:t>
      </w:r>
      <w:r w:rsidRPr="00E15CA1">
        <w:rPr>
          <w:rFonts w:ascii="Palatino Linotype" w:eastAsia="SimSun" w:hAnsi="Palatino Linotype" w:cs="Times New Roman"/>
          <w:noProof/>
          <w:color w:val="000000"/>
          <w:sz w:val="20"/>
          <w:szCs w:val="20"/>
          <w:lang w:val="en-US" w:eastAsia="zh-CN"/>
        </w:rPr>
        <w:t xml:space="preserve"> Short fatty acids (less than six carbons) can diffuse through the IMM while very long chain </w:t>
      </w:r>
      <w:r w:rsidR="003D7D0D">
        <w:rPr>
          <w:rFonts w:ascii="Palatino Linotype" w:eastAsia="SimSun" w:hAnsi="Palatino Linotype" w:cs="Times New Roman"/>
          <w:noProof/>
          <w:color w:val="000000"/>
          <w:sz w:val="20"/>
          <w:szCs w:val="20"/>
          <w:lang w:val="en-US" w:eastAsia="zh-CN"/>
        </w:rPr>
        <w:t xml:space="preserve">ones </w:t>
      </w:r>
      <w:r w:rsidRPr="00E15CA1">
        <w:rPr>
          <w:rFonts w:ascii="Palatino Linotype" w:eastAsia="SimSun" w:hAnsi="Palatino Linotype" w:cs="Times New Roman"/>
          <w:noProof/>
          <w:color w:val="000000"/>
          <w:sz w:val="20"/>
          <w:szCs w:val="20"/>
          <w:lang w:val="en-US" w:eastAsia="zh-CN"/>
        </w:rPr>
        <w:t>(with 22 carbons or more) are not processed by mitochondrial FAO but in the peroxisomes.</w:t>
      </w:r>
      <w:r w:rsidR="002E0DC3">
        <w:rPr>
          <w:rFonts w:ascii="Palatino Linotype" w:eastAsia="SimSun" w:hAnsi="Palatino Linotype" w:cs="Times New Roman"/>
          <w:noProof/>
          <w:color w:val="000000"/>
          <w:sz w:val="20"/>
          <w:szCs w:val="20"/>
          <w:lang w:val="en-US" w:eastAsia="zh-CN"/>
        </w:rPr>
        <w:tab/>
      </w:r>
      <w:r w:rsidR="002E0DC3">
        <w:rPr>
          <w:rFonts w:ascii="Palatino Linotype" w:eastAsia="SimSun" w:hAnsi="Palatino Linotype" w:cs="Times New Roman"/>
          <w:noProof/>
          <w:color w:val="000000"/>
          <w:sz w:val="20"/>
          <w:szCs w:val="20"/>
          <w:lang w:val="en-US" w:eastAsia="zh-CN"/>
        </w:rPr>
        <w:br/>
      </w:r>
    </w:p>
    <w:p w14:paraId="412D3E30" w14:textId="467CA4CD" w:rsidR="008969AE" w:rsidRDefault="00C35F8C" w:rsidP="007C363A">
      <w:pPr>
        <w:jc w:val="both"/>
        <w:rPr>
          <w:rFonts w:ascii="Palatino Linotype" w:eastAsia="SimSun" w:hAnsi="Palatino Linotype" w:cs="Times New Roman"/>
          <w:b/>
          <w:bCs/>
          <w:noProof/>
          <w:color w:val="000000"/>
          <w:sz w:val="20"/>
          <w:szCs w:val="20"/>
          <w:u w:val="single"/>
          <w:lang w:val="en-US" w:eastAsia="zh-CN"/>
        </w:rPr>
      </w:pPr>
      <w:r w:rsidRPr="00C35F8C">
        <w:rPr>
          <w:rFonts w:ascii="Palatino Linotype" w:eastAsia="SimSun" w:hAnsi="Palatino Linotype" w:cs="Times New Roman"/>
          <w:b/>
          <w:bCs/>
          <w:noProof/>
          <w:color w:val="000000"/>
          <w:sz w:val="20"/>
          <w:szCs w:val="20"/>
          <w:u w:val="single"/>
          <w:lang w:val="en-US" w:eastAsia="zh-CN"/>
        </w:rPr>
        <w:t xml:space="preserve">Supplementary Box </w:t>
      </w:r>
      <w:r w:rsidR="00912E7E">
        <w:rPr>
          <w:rFonts w:ascii="Palatino Linotype" w:eastAsia="SimSun" w:hAnsi="Palatino Linotype" w:cs="Times New Roman"/>
          <w:b/>
          <w:bCs/>
          <w:noProof/>
          <w:color w:val="000000"/>
          <w:sz w:val="20"/>
          <w:szCs w:val="20"/>
          <w:u w:val="single"/>
          <w:lang w:val="en-US" w:eastAsia="zh-CN"/>
        </w:rPr>
        <w:t>9</w:t>
      </w:r>
    </w:p>
    <w:p w14:paraId="7FB78848" w14:textId="77777777" w:rsidR="00A06CC4" w:rsidRPr="00DC15D4" w:rsidRDefault="0046404C" w:rsidP="007C363A">
      <w:pPr>
        <w:jc w:val="both"/>
        <w:rPr>
          <w:rFonts w:ascii="Palatino Linotype" w:eastAsia="SimSun" w:hAnsi="Palatino Linotype" w:cs="Times New Roman"/>
          <w:b/>
          <w:bCs/>
          <w:noProof/>
          <w:color w:val="000000"/>
          <w:sz w:val="20"/>
          <w:szCs w:val="20"/>
          <w:lang w:val="en-US" w:eastAsia="zh-CN"/>
        </w:rPr>
      </w:pPr>
      <w:r>
        <w:rPr>
          <w:rFonts w:ascii="Palatino Linotype" w:eastAsia="SimSun" w:hAnsi="Palatino Linotype" w:cs="Times New Roman"/>
          <w:b/>
          <w:bCs/>
          <w:noProof/>
          <w:color w:val="000000"/>
          <w:sz w:val="20"/>
          <w:szCs w:val="20"/>
          <w:lang w:val="en-US" w:eastAsia="zh-CN"/>
        </w:rPr>
        <w:t xml:space="preserve">Glutamine </w:t>
      </w:r>
      <w:r w:rsidR="00912E7E" w:rsidRPr="00DC15D4">
        <w:rPr>
          <w:rFonts w:ascii="Palatino Linotype" w:eastAsia="SimSun" w:hAnsi="Palatino Linotype" w:cs="Times New Roman"/>
          <w:b/>
          <w:bCs/>
          <w:noProof/>
          <w:color w:val="000000"/>
          <w:sz w:val="20"/>
          <w:szCs w:val="20"/>
          <w:lang w:val="en-US" w:eastAsia="zh-CN"/>
        </w:rPr>
        <w:t xml:space="preserve">Metabolism in </w:t>
      </w:r>
      <w:r>
        <w:rPr>
          <w:rFonts w:ascii="Palatino Linotype" w:eastAsia="SimSun" w:hAnsi="Palatino Linotype" w:cs="Times New Roman"/>
          <w:b/>
          <w:bCs/>
          <w:noProof/>
          <w:color w:val="000000"/>
          <w:sz w:val="20"/>
          <w:szCs w:val="20"/>
          <w:lang w:val="en-US" w:eastAsia="zh-CN"/>
        </w:rPr>
        <w:t>M</w:t>
      </w:r>
      <w:r w:rsidR="00912E7E" w:rsidRPr="00DC15D4">
        <w:rPr>
          <w:rFonts w:ascii="Palatino Linotype" w:eastAsia="SimSun" w:hAnsi="Palatino Linotype" w:cs="Times New Roman"/>
          <w:b/>
          <w:bCs/>
          <w:noProof/>
          <w:color w:val="000000"/>
          <w:sz w:val="20"/>
          <w:szCs w:val="20"/>
          <w:lang w:val="en-US" w:eastAsia="zh-CN"/>
        </w:rPr>
        <w:t>itochondria</w:t>
      </w:r>
    </w:p>
    <w:p w14:paraId="3EF431FC" w14:textId="126EE712" w:rsidR="002E0DC3" w:rsidRDefault="00912E7E" w:rsidP="007C363A">
      <w:pPr>
        <w:jc w:val="both"/>
        <w:rPr>
          <w:rFonts w:ascii="Palatino Linotype" w:eastAsia="SimSun" w:hAnsi="Palatino Linotype" w:cs="Times New Roman"/>
          <w:noProof/>
          <w:color w:val="000000"/>
          <w:sz w:val="20"/>
          <w:szCs w:val="20"/>
          <w:lang w:val="en-US" w:eastAsia="zh-CN"/>
        </w:rPr>
      </w:pPr>
      <w:r w:rsidRPr="009A4281">
        <w:rPr>
          <w:rFonts w:ascii="Palatino Linotype" w:eastAsia="SimSun" w:hAnsi="Palatino Linotype" w:cs="Times New Roman"/>
          <w:noProof/>
          <w:color w:val="000000"/>
          <w:sz w:val="20"/>
          <w:szCs w:val="20"/>
          <w:lang w:val="en-US" w:eastAsia="zh-CN"/>
        </w:rPr>
        <w:t>In many cases, glutamine is the main TCA substrate in rapidly proliferating malignant cells. Its importance for cancer proliferation was first described by Eagle, demonstrating that HeLa cells require 10-to-100-fold molar excess of glutamine for optimal growth</w:t>
      </w:r>
      <w:r>
        <w:rPr>
          <w:rFonts w:ascii="Palatino Linotype" w:eastAsia="SimSun" w:hAnsi="Palatino Linotype" w:cs="Times New Roman"/>
          <w:noProof/>
          <w:color w:val="000000"/>
          <w:sz w:val="20"/>
          <w:szCs w:val="20"/>
          <w:lang w:val="en-US" w:eastAsia="zh-CN"/>
        </w:rPr>
        <w:t xml:space="preserve">. </w:t>
      </w:r>
      <w:r w:rsidR="00352A7A" w:rsidRPr="002F1108">
        <w:rPr>
          <w:rFonts w:ascii="Palatino Linotype" w:eastAsia="SimSun" w:hAnsi="Palatino Linotype" w:cs="Times New Roman"/>
          <w:noProof/>
          <w:color w:val="000000"/>
          <w:sz w:val="20"/>
          <w:szCs w:val="20"/>
          <w:lang w:val="en-US" w:eastAsia="zh-CN"/>
        </w:rPr>
        <w:t xml:space="preserve">Oncogenes such as </w:t>
      </w:r>
      <w:r w:rsidR="00352A7A" w:rsidRPr="006A70C5">
        <w:rPr>
          <w:rFonts w:ascii="Palatino Linotype" w:eastAsia="SimSun" w:hAnsi="Palatino Linotype" w:cs="Times New Roman"/>
          <w:i/>
          <w:iCs/>
          <w:noProof/>
          <w:color w:val="000000"/>
          <w:sz w:val="20"/>
          <w:szCs w:val="20"/>
          <w:lang w:val="en-US" w:eastAsia="zh-CN"/>
        </w:rPr>
        <w:t>RAS</w:t>
      </w:r>
      <w:r w:rsidR="00352A7A" w:rsidRPr="002F1108">
        <w:rPr>
          <w:rFonts w:ascii="Palatino Linotype" w:eastAsia="SimSun" w:hAnsi="Palatino Linotype" w:cs="Times New Roman"/>
          <w:noProof/>
          <w:color w:val="000000"/>
          <w:sz w:val="20"/>
          <w:szCs w:val="20"/>
          <w:lang w:val="en-US" w:eastAsia="zh-CN"/>
        </w:rPr>
        <w:t xml:space="preserve"> and </w:t>
      </w:r>
      <w:r w:rsidR="00352A7A" w:rsidRPr="006A70C5">
        <w:rPr>
          <w:rFonts w:ascii="Palatino Linotype" w:eastAsia="SimSun" w:hAnsi="Palatino Linotype" w:cs="Times New Roman"/>
          <w:i/>
          <w:iCs/>
          <w:noProof/>
          <w:color w:val="000000"/>
          <w:sz w:val="20"/>
          <w:szCs w:val="20"/>
          <w:lang w:val="en-US" w:eastAsia="zh-CN"/>
        </w:rPr>
        <w:t>MYC</w:t>
      </w:r>
      <w:r w:rsidR="00352A7A" w:rsidRPr="002F1108">
        <w:rPr>
          <w:rFonts w:ascii="Palatino Linotype" w:eastAsia="SimSun" w:hAnsi="Palatino Linotype" w:cs="Times New Roman"/>
          <w:noProof/>
          <w:color w:val="000000"/>
          <w:sz w:val="20"/>
          <w:szCs w:val="20"/>
          <w:lang w:val="en-US" w:eastAsia="zh-CN"/>
        </w:rPr>
        <w:t xml:space="preserve"> are responsible for this metabolic adaptation</w:t>
      </w:r>
      <w:r w:rsidR="00352A7A">
        <w:rPr>
          <w:rFonts w:ascii="Palatino Linotype" w:eastAsia="SimSun" w:hAnsi="Palatino Linotype" w:cs="Times New Roman"/>
          <w:noProof/>
          <w:color w:val="000000"/>
          <w:sz w:val="20"/>
          <w:szCs w:val="20"/>
          <w:lang w:val="en-US" w:eastAsia="zh-CN"/>
        </w:rPr>
        <w:t xml:space="preserve">. </w:t>
      </w:r>
      <w:r w:rsidR="008969AE" w:rsidRPr="00095AB3">
        <w:rPr>
          <w:rFonts w:ascii="Palatino Linotype" w:eastAsia="SimSun" w:hAnsi="Palatino Linotype" w:cs="Times New Roman"/>
          <w:noProof/>
          <w:color w:val="000000"/>
          <w:sz w:val="20"/>
          <w:szCs w:val="20"/>
          <w:lang w:val="en-US" w:eastAsia="zh-CN"/>
        </w:rPr>
        <w:t xml:space="preserve">To divert glutamine-derived carbons into the TCA cycle, mitochondrial glutaminases (GLS and GLS2), convert glutamine into glutamate. Glutamate dehydrogenase (GDH) subsequently converts glutamate to α-ketoglutarate. Alternatively, glutamate can be trans-aminated by alanine aminotransferase (GPT2) or aspartate aminotransferase (GOT2) to produce alanine and α-ketoglutarate or aspartate and α-ketoglutarate, respectively. α-ketoglutarate can enter the TCA cycle in a “backwards” flux called reductive carboxylation, getting reduced by IDH in a non-canonical reverse reaction to produce citrate. Citrate can in turn be shuttled to the cytosol for synthesis of fatty acids. Together with its role as an anaplerotic source, glutamine-derived glutamate can also be used in mitochondria to synthesize glutathione, serine, glycine (also constituents of glutathione), or proline. In addition, glutamine serves as a nitrogen donor for both </w:t>
      </w:r>
      <w:r w:rsidR="008969AE" w:rsidRPr="00095AB3">
        <w:rPr>
          <w:rFonts w:ascii="Palatino Linotype" w:eastAsia="SimSun" w:hAnsi="Palatino Linotype" w:cs="Times New Roman"/>
          <w:i/>
          <w:noProof/>
          <w:color w:val="000000"/>
          <w:sz w:val="20"/>
          <w:szCs w:val="20"/>
          <w:lang w:val="en-US" w:eastAsia="zh-CN"/>
        </w:rPr>
        <w:t>de novo</w:t>
      </w:r>
      <w:r w:rsidR="008969AE" w:rsidRPr="00095AB3">
        <w:rPr>
          <w:rFonts w:ascii="Palatino Linotype" w:eastAsia="SimSun" w:hAnsi="Palatino Linotype" w:cs="Times New Roman"/>
          <w:noProof/>
          <w:color w:val="000000"/>
          <w:sz w:val="20"/>
          <w:szCs w:val="20"/>
          <w:lang w:val="en-US" w:eastAsia="zh-CN"/>
        </w:rPr>
        <w:t xml:space="preserve"> pyrimidine and purine synthesis. While purine synthesis occurs in the cytosol, pyrimidine synthesis is compartmentalized between cytosol and mitochondria, with the synthesis of orotate by dihydroorotate dehydrogenase (DHODH) occurring in the IMM. </w:t>
      </w:r>
    </w:p>
    <w:p w14:paraId="745DF0A4" w14:textId="77777777" w:rsidR="000E018D" w:rsidRDefault="000E018D" w:rsidP="007C363A">
      <w:pPr>
        <w:jc w:val="both"/>
        <w:rPr>
          <w:rFonts w:ascii="Palatino Linotype" w:eastAsia="SimSun" w:hAnsi="Palatino Linotype" w:cs="Times New Roman"/>
          <w:b/>
          <w:bCs/>
          <w:noProof/>
          <w:color w:val="000000"/>
          <w:sz w:val="20"/>
          <w:szCs w:val="20"/>
          <w:u w:val="single"/>
          <w:lang w:val="en-US" w:eastAsia="zh-CN"/>
        </w:rPr>
      </w:pPr>
    </w:p>
    <w:p w14:paraId="392E65E4" w14:textId="47F09A58" w:rsidR="002E0DC3" w:rsidRDefault="002E0DC3" w:rsidP="007C363A">
      <w:pPr>
        <w:jc w:val="both"/>
        <w:rPr>
          <w:rFonts w:ascii="Palatino Linotype" w:eastAsia="SimSun" w:hAnsi="Palatino Linotype" w:cs="Times New Roman"/>
          <w:b/>
          <w:bCs/>
          <w:noProof/>
          <w:color w:val="000000"/>
          <w:sz w:val="20"/>
          <w:szCs w:val="20"/>
          <w:u w:val="single"/>
          <w:lang w:val="en-US" w:eastAsia="zh-CN"/>
        </w:rPr>
      </w:pPr>
      <w:r w:rsidRPr="00E95A32">
        <w:rPr>
          <w:rFonts w:ascii="Palatino Linotype" w:eastAsia="SimSun" w:hAnsi="Palatino Linotype" w:cs="Times New Roman"/>
          <w:b/>
          <w:bCs/>
          <w:noProof/>
          <w:color w:val="000000"/>
          <w:sz w:val="20"/>
          <w:szCs w:val="20"/>
          <w:u w:val="single"/>
          <w:lang w:val="en-US" w:eastAsia="zh-CN"/>
        </w:rPr>
        <w:t xml:space="preserve">Supplementary Box </w:t>
      </w:r>
      <w:r w:rsidR="00A97981">
        <w:rPr>
          <w:rFonts w:ascii="Palatino Linotype" w:eastAsia="SimSun" w:hAnsi="Palatino Linotype" w:cs="Times New Roman"/>
          <w:b/>
          <w:bCs/>
          <w:noProof/>
          <w:color w:val="000000"/>
          <w:sz w:val="20"/>
          <w:szCs w:val="20"/>
          <w:u w:val="single"/>
          <w:lang w:val="en-US" w:eastAsia="zh-CN"/>
        </w:rPr>
        <w:t>10</w:t>
      </w:r>
    </w:p>
    <w:p w14:paraId="4407B165" w14:textId="77777777" w:rsidR="002F03FA" w:rsidRPr="00BE0689" w:rsidRDefault="002F03FA" w:rsidP="007C363A">
      <w:pPr>
        <w:jc w:val="both"/>
        <w:rPr>
          <w:rFonts w:ascii="Palatino Linotype" w:eastAsia="SimSun" w:hAnsi="Palatino Linotype" w:cs="Times New Roman"/>
          <w:b/>
          <w:bCs/>
          <w:noProof/>
          <w:color w:val="000000"/>
          <w:sz w:val="20"/>
          <w:szCs w:val="20"/>
          <w:lang w:val="en-US" w:eastAsia="zh-CN"/>
        </w:rPr>
      </w:pPr>
      <w:r w:rsidRPr="002404AA">
        <w:rPr>
          <w:rFonts w:ascii="Palatino Linotype" w:eastAsia="SimSun" w:hAnsi="Palatino Linotype" w:cs="Times New Roman"/>
          <w:b/>
          <w:bCs/>
          <w:noProof/>
          <w:color w:val="000000"/>
          <w:sz w:val="20"/>
          <w:szCs w:val="20"/>
          <w:lang w:val="en-US" w:eastAsia="zh-CN"/>
        </w:rPr>
        <w:t xml:space="preserve">Reverse </w:t>
      </w:r>
      <w:r w:rsidR="0046404C">
        <w:rPr>
          <w:rFonts w:ascii="Palatino Linotype" w:eastAsia="SimSun" w:hAnsi="Palatino Linotype" w:cs="Times New Roman"/>
          <w:b/>
          <w:bCs/>
          <w:noProof/>
          <w:color w:val="000000"/>
          <w:sz w:val="20"/>
          <w:szCs w:val="20"/>
          <w:lang w:val="en-US" w:eastAsia="zh-CN"/>
        </w:rPr>
        <w:t>E</w:t>
      </w:r>
      <w:r w:rsidRPr="002404AA">
        <w:rPr>
          <w:rFonts w:ascii="Palatino Linotype" w:eastAsia="SimSun" w:hAnsi="Palatino Linotype" w:cs="Times New Roman"/>
          <w:b/>
          <w:bCs/>
          <w:noProof/>
          <w:color w:val="000000"/>
          <w:sz w:val="20"/>
          <w:szCs w:val="20"/>
          <w:lang w:val="en-US" w:eastAsia="zh-CN"/>
        </w:rPr>
        <w:t xml:space="preserve">lectron </w:t>
      </w:r>
      <w:r w:rsidR="0046404C">
        <w:rPr>
          <w:rFonts w:ascii="Palatino Linotype" w:eastAsia="SimSun" w:hAnsi="Palatino Linotype" w:cs="Times New Roman"/>
          <w:b/>
          <w:bCs/>
          <w:noProof/>
          <w:color w:val="000000"/>
          <w:sz w:val="20"/>
          <w:szCs w:val="20"/>
          <w:lang w:val="en-US" w:eastAsia="zh-CN"/>
        </w:rPr>
        <w:t>T</w:t>
      </w:r>
      <w:r w:rsidRPr="002404AA">
        <w:rPr>
          <w:rFonts w:ascii="Palatino Linotype" w:eastAsia="SimSun" w:hAnsi="Palatino Linotype" w:cs="Times New Roman"/>
          <w:b/>
          <w:bCs/>
          <w:noProof/>
          <w:color w:val="000000"/>
          <w:sz w:val="20"/>
          <w:szCs w:val="20"/>
          <w:lang w:val="en-US" w:eastAsia="zh-CN"/>
        </w:rPr>
        <w:t xml:space="preserve">ransport </w:t>
      </w:r>
    </w:p>
    <w:p w14:paraId="762D5A29" w14:textId="0A3518EE" w:rsidR="002E0DC3" w:rsidRDefault="002E0DC3" w:rsidP="000E018D">
      <w:pPr>
        <w:jc w:val="both"/>
        <w:rPr>
          <w:rFonts w:ascii="Tahoma" w:eastAsia="SimSun" w:hAnsi="Tahoma" w:cs="Tahoma"/>
          <w:noProof/>
          <w:color w:val="000000"/>
          <w:sz w:val="20"/>
          <w:szCs w:val="20"/>
          <w:lang w:val="en-US" w:eastAsia="zh-CN"/>
        </w:rPr>
      </w:pPr>
      <w:r w:rsidRPr="004E6545">
        <w:rPr>
          <w:rFonts w:ascii="Palatino Linotype" w:eastAsia="SimSun" w:hAnsi="Palatino Linotype" w:cs="Times New Roman"/>
          <w:noProof/>
          <w:color w:val="000000"/>
          <w:sz w:val="20"/>
          <w:szCs w:val="20"/>
          <w:lang w:val="en-US" w:eastAsia="zh-CN"/>
        </w:rPr>
        <w:t>In some situations, the electron chain acts in reverse (RET), and electrons are transferred from UbQH</w:t>
      </w:r>
      <w:r w:rsidRPr="004E6545">
        <w:rPr>
          <w:rFonts w:ascii="Palatino Linotype" w:eastAsia="SimSun" w:hAnsi="Palatino Linotype" w:cs="Times New Roman"/>
          <w:noProof/>
          <w:color w:val="000000"/>
          <w:sz w:val="20"/>
          <w:szCs w:val="20"/>
          <w:vertAlign w:val="subscript"/>
          <w:lang w:val="en-US" w:eastAsia="zh-CN"/>
        </w:rPr>
        <w:t>2</w:t>
      </w:r>
      <w:r w:rsidRPr="004E6545">
        <w:rPr>
          <w:rFonts w:ascii="Palatino Linotype" w:eastAsia="SimSun" w:hAnsi="Palatino Linotype" w:cs="Times New Roman"/>
          <w:noProof/>
          <w:color w:val="000000"/>
          <w:sz w:val="20"/>
          <w:szCs w:val="20"/>
          <w:lang w:val="en-US" w:eastAsia="zh-CN"/>
        </w:rPr>
        <w:t xml:space="preserve"> back to complex I, with the generation of NADH from NAD</w:t>
      </w:r>
      <w:r w:rsidRPr="004E6545">
        <w:rPr>
          <w:rFonts w:ascii="Palatino Linotype" w:eastAsia="SimSun" w:hAnsi="Palatino Linotype" w:cs="Times New Roman"/>
          <w:noProof/>
          <w:color w:val="000000"/>
          <w:sz w:val="20"/>
          <w:szCs w:val="20"/>
          <w:vertAlign w:val="superscript"/>
          <w:lang w:val="en-US" w:eastAsia="zh-CN"/>
        </w:rPr>
        <w:t>+</w:t>
      </w:r>
      <w:r w:rsidRPr="004E6545">
        <w:rPr>
          <w:rFonts w:ascii="Palatino Linotype" w:eastAsia="SimSun" w:hAnsi="Palatino Linotype" w:cs="Times New Roman"/>
          <w:noProof/>
          <w:color w:val="000000"/>
          <w:sz w:val="20"/>
          <w:szCs w:val="20"/>
          <w:lang w:val="en-US" w:eastAsia="zh-CN"/>
        </w:rPr>
        <w:t xml:space="preserve"> and significant amounts of ROS. </w:t>
      </w:r>
      <w:r w:rsidR="00E95657">
        <w:rPr>
          <w:rFonts w:ascii="Palatino Linotype" w:eastAsia="SimSun" w:hAnsi="Palatino Linotype" w:cs="Times New Roman"/>
          <w:noProof/>
          <w:color w:val="000000"/>
          <w:sz w:val="20"/>
          <w:szCs w:val="20"/>
          <w:lang w:val="en-US" w:eastAsia="zh-CN"/>
        </w:rPr>
        <w:t>This process</w:t>
      </w:r>
      <w:r w:rsidRPr="004E6545">
        <w:rPr>
          <w:rFonts w:ascii="Palatino Linotype" w:eastAsia="SimSun" w:hAnsi="Palatino Linotype" w:cs="Times New Roman"/>
          <w:noProof/>
          <w:color w:val="000000"/>
          <w:sz w:val="20"/>
          <w:szCs w:val="20"/>
          <w:lang w:val="en-US" w:eastAsia="zh-CN"/>
        </w:rPr>
        <w:t xml:space="preserve"> depend</w:t>
      </w:r>
      <w:r w:rsidR="00E95657">
        <w:rPr>
          <w:rFonts w:ascii="Palatino Linotype" w:eastAsia="SimSun" w:hAnsi="Palatino Linotype" w:cs="Times New Roman"/>
          <w:noProof/>
          <w:color w:val="000000"/>
          <w:sz w:val="20"/>
          <w:szCs w:val="20"/>
          <w:lang w:val="en-US" w:eastAsia="zh-CN"/>
        </w:rPr>
        <w:t>s</w:t>
      </w:r>
      <w:r w:rsidRPr="004E6545">
        <w:rPr>
          <w:rFonts w:ascii="Palatino Linotype" w:eastAsia="SimSun" w:hAnsi="Palatino Linotype" w:cs="Times New Roman"/>
          <w:noProof/>
          <w:color w:val="000000"/>
          <w:sz w:val="20"/>
          <w:szCs w:val="20"/>
          <w:lang w:val="en-US" w:eastAsia="zh-CN"/>
        </w:rPr>
        <w:t xml:space="preserve"> on the proton motive force (Δp), which indicates the ATP molecules mitochondria can produce, and the redox state of the CoQ pool, which is determined by several metabolic pathways. </w:t>
      </w:r>
      <w:r w:rsidR="004D2BBF">
        <w:rPr>
          <w:rFonts w:ascii="Palatino Linotype" w:eastAsia="SimSun" w:hAnsi="Palatino Linotype" w:cs="Times New Roman"/>
          <w:noProof/>
          <w:color w:val="000000"/>
          <w:sz w:val="20"/>
          <w:szCs w:val="20"/>
          <w:lang w:val="en-US" w:eastAsia="zh-CN"/>
        </w:rPr>
        <w:t xml:space="preserve">Indeed, </w:t>
      </w:r>
      <w:r w:rsidRPr="004E6545">
        <w:rPr>
          <w:rFonts w:ascii="Palatino Linotype" w:eastAsia="SimSun" w:hAnsi="Palatino Linotype" w:cs="Times New Roman"/>
          <w:noProof/>
          <w:color w:val="000000"/>
          <w:sz w:val="20"/>
          <w:szCs w:val="20"/>
          <w:lang w:val="en-US" w:eastAsia="zh-CN"/>
        </w:rPr>
        <w:t>RET-ROS serve as communication system from the mitochondria to other parts of the cell. It has roles both in physiological conditions (myoblast differentiation, macrophage functioning, anti-aging) and pathological (ischemia-reperfusion injury).</w:t>
      </w:r>
      <w:r w:rsidRPr="004E6545">
        <w:rPr>
          <w:rFonts w:ascii="Tahoma" w:eastAsia="SimSun" w:hAnsi="Tahoma" w:cs="Tahoma"/>
          <w:noProof/>
          <w:color w:val="000000"/>
          <w:sz w:val="20"/>
          <w:szCs w:val="20"/>
          <w:lang w:val="en-US" w:eastAsia="zh-CN"/>
        </w:rPr>
        <w:t xml:space="preserve"> </w:t>
      </w:r>
    </w:p>
    <w:p w14:paraId="03E4F9BC" w14:textId="77777777" w:rsidR="000E018D" w:rsidRDefault="000E018D" w:rsidP="007C363A">
      <w:pPr>
        <w:jc w:val="both"/>
        <w:rPr>
          <w:rFonts w:ascii="Palatino Linotype" w:eastAsia="SimSun" w:hAnsi="Palatino Linotype" w:cs="Times New Roman"/>
          <w:b/>
          <w:bCs/>
          <w:noProof/>
          <w:color w:val="000000"/>
          <w:sz w:val="20"/>
          <w:szCs w:val="20"/>
          <w:u w:val="single"/>
          <w:lang w:val="en-US" w:eastAsia="zh-CN"/>
        </w:rPr>
      </w:pPr>
    </w:p>
    <w:p w14:paraId="34348462" w14:textId="63BA79F1" w:rsidR="00872DB4" w:rsidRPr="00C53697" w:rsidRDefault="00872DB4" w:rsidP="007C363A">
      <w:pPr>
        <w:jc w:val="both"/>
        <w:rPr>
          <w:rFonts w:ascii="Palatino Linotype" w:eastAsia="SimSun" w:hAnsi="Palatino Linotype" w:cs="Times New Roman"/>
          <w:b/>
          <w:bCs/>
          <w:noProof/>
          <w:color w:val="000000"/>
          <w:sz w:val="20"/>
          <w:szCs w:val="20"/>
          <w:u w:val="single"/>
          <w:lang w:val="en-US" w:eastAsia="zh-CN"/>
        </w:rPr>
      </w:pPr>
      <w:r w:rsidRPr="00E95A32">
        <w:rPr>
          <w:rFonts w:ascii="Palatino Linotype" w:eastAsia="SimSun" w:hAnsi="Palatino Linotype" w:cs="Times New Roman"/>
          <w:b/>
          <w:bCs/>
          <w:noProof/>
          <w:color w:val="000000"/>
          <w:sz w:val="20"/>
          <w:szCs w:val="20"/>
          <w:u w:val="single"/>
          <w:lang w:val="en-US" w:eastAsia="zh-CN"/>
        </w:rPr>
        <w:t xml:space="preserve">Supplementary Box </w:t>
      </w:r>
      <w:r>
        <w:rPr>
          <w:rFonts w:ascii="Palatino Linotype" w:eastAsia="SimSun" w:hAnsi="Palatino Linotype" w:cs="Times New Roman"/>
          <w:b/>
          <w:bCs/>
          <w:noProof/>
          <w:color w:val="000000"/>
          <w:sz w:val="20"/>
          <w:szCs w:val="20"/>
          <w:u w:val="single"/>
          <w:lang w:val="en-US" w:eastAsia="zh-CN"/>
        </w:rPr>
        <w:t>11</w:t>
      </w:r>
    </w:p>
    <w:p w14:paraId="5DC77845" w14:textId="77777777" w:rsidR="00872DB4" w:rsidRPr="00BE0689" w:rsidRDefault="00872DB4" w:rsidP="007C363A">
      <w:pPr>
        <w:jc w:val="both"/>
        <w:rPr>
          <w:rFonts w:ascii="Palatino Linotype" w:eastAsia="SimSun" w:hAnsi="Palatino Linotype" w:cs="Times New Roman"/>
          <w:b/>
          <w:bCs/>
          <w:noProof/>
          <w:color w:val="000000"/>
          <w:sz w:val="20"/>
          <w:szCs w:val="20"/>
          <w:lang w:val="en-US" w:eastAsia="zh-CN"/>
        </w:rPr>
      </w:pPr>
      <w:r>
        <w:rPr>
          <w:rFonts w:ascii="Palatino Linotype" w:eastAsia="SimSun" w:hAnsi="Palatino Linotype" w:cs="Times New Roman"/>
          <w:b/>
          <w:bCs/>
          <w:noProof/>
          <w:color w:val="000000"/>
          <w:sz w:val="20"/>
          <w:szCs w:val="20"/>
          <w:lang w:val="en-US" w:eastAsia="zh-CN"/>
        </w:rPr>
        <w:t>Mitochondrial ROS</w:t>
      </w:r>
    </w:p>
    <w:p w14:paraId="485DD2A5" w14:textId="430BFFC6" w:rsidR="00872DB4" w:rsidRDefault="00872DB4" w:rsidP="007C363A">
      <w:pPr>
        <w:jc w:val="both"/>
        <w:rPr>
          <w:rFonts w:ascii="Palatino Linotype" w:eastAsia="SimSun" w:hAnsi="Palatino Linotype" w:cs="Times New Roman"/>
          <w:noProof/>
          <w:color w:val="000000"/>
          <w:sz w:val="20"/>
          <w:szCs w:val="20"/>
          <w:lang w:val="en-US" w:eastAsia="zh-CN"/>
        </w:rPr>
      </w:pPr>
      <w:r w:rsidRPr="00095AB3">
        <w:rPr>
          <w:rFonts w:ascii="Palatino Linotype" w:eastAsia="SimSun" w:hAnsi="Palatino Linotype" w:cs="Times New Roman"/>
          <w:noProof/>
          <w:color w:val="000000"/>
          <w:sz w:val="20"/>
          <w:szCs w:val="20"/>
          <w:lang w:val="en-US" w:eastAsia="zh-CN"/>
        </w:rPr>
        <w:t>Superoxide is produced at different sites of the respiratory chain, mainly in complex I (at sites I</w:t>
      </w:r>
      <w:r w:rsidRPr="00095AB3">
        <w:rPr>
          <w:rFonts w:ascii="Palatino Linotype" w:eastAsia="SimSun" w:hAnsi="Palatino Linotype" w:cs="Times New Roman"/>
          <w:noProof/>
          <w:color w:val="000000"/>
          <w:sz w:val="20"/>
          <w:szCs w:val="20"/>
          <w:vertAlign w:val="subscript"/>
          <w:lang w:val="en-US" w:eastAsia="zh-CN"/>
        </w:rPr>
        <w:t>Q</w:t>
      </w:r>
      <w:r w:rsidRPr="00095AB3">
        <w:rPr>
          <w:rFonts w:ascii="Palatino Linotype" w:eastAsia="SimSun" w:hAnsi="Palatino Linotype" w:cs="Times New Roman"/>
          <w:noProof/>
          <w:color w:val="000000"/>
          <w:sz w:val="20"/>
          <w:szCs w:val="20"/>
          <w:lang w:val="en-US" w:eastAsia="zh-CN"/>
        </w:rPr>
        <w:t xml:space="preserve"> and I</w:t>
      </w:r>
      <w:r w:rsidRPr="00095AB3">
        <w:rPr>
          <w:rFonts w:ascii="Palatino Linotype" w:eastAsia="SimSun" w:hAnsi="Palatino Linotype" w:cs="Times New Roman"/>
          <w:noProof/>
          <w:color w:val="000000"/>
          <w:sz w:val="20"/>
          <w:szCs w:val="20"/>
          <w:vertAlign w:val="subscript"/>
          <w:lang w:val="en-US" w:eastAsia="zh-CN"/>
        </w:rPr>
        <w:t>F</w:t>
      </w:r>
      <w:r w:rsidRPr="00095AB3">
        <w:rPr>
          <w:rFonts w:ascii="Palatino Linotype" w:eastAsia="SimSun" w:hAnsi="Palatino Linotype" w:cs="Times New Roman"/>
          <w:noProof/>
          <w:color w:val="000000"/>
          <w:sz w:val="20"/>
          <w:szCs w:val="20"/>
          <w:lang w:val="en-US" w:eastAsia="zh-CN"/>
        </w:rPr>
        <w:t>) and complex III (at site III</w:t>
      </w:r>
      <w:r w:rsidRPr="00095AB3">
        <w:rPr>
          <w:rFonts w:ascii="Palatino Linotype" w:eastAsia="SimSun" w:hAnsi="Palatino Linotype" w:cs="Times New Roman"/>
          <w:noProof/>
          <w:color w:val="000000"/>
          <w:sz w:val="20"/>
          <w:szCs w:val="20"/>
          <w:vertAlign w:val="subscript"/>
          <w:lang w:val="en-US" w:eastAsia="zh-CN"/>
        </w:rPr>
        <w:t>Qo</w:t>
      </w:r>
      <w:r w:rsidRPr="00095AB3">
        <w:rPr>
          <w:rFonts w:ascii="Palatino Linotype" w:eastAsia="SimSun" w:hAnsi="Palatino Linotype" w:cs="Times New Roman"/>
          <w:noProof/>
          <w:color w:val="000000"/>
          <w:sz w:val="20"/>
          <w:szCs w:val="20"/>
          <w:lang w:val="en-US" w:eastAsia="zh-CN"/>
        </w:rPr>
        <w:t>), but also in complex II (at site II</w:t>
      </w:r>
      <w:r w:rsidRPr="00095AB3">
        <w:rPr>
          <w:rFonts w:ascii="Palatino Linotype" w:eastAsia="SimSun" w:hAnsi="Palatino Linotype" w:cs="Times New Roman"/>
          <w:noProof/>
          <w:color w:val="000000"/>
          <w:sz w:val="20"/>
          <w:szCs w:val="20"/>
          <w:vertAlign w:val="subscript"/>
          <w:lang w:val="en-US" w:eastAsia="zh-CN"/>
        </w:rPr>
        <w:t>F</w:t>
      </w:r>
      <w:r w:rsidRPr="00095AB3">
        <w:rPr>
          <w:rFonts w:ascii="Palatino Linotype" w:eastAsia="SimSun" w:hAnsi="Palatino Linotype" w:cs="Times New Roman"/>
          <w:noProof/>
          <w:color w:val="000000"/>
          <w:sz w:val="20"/>
          <w:szCs w:val="20"/>
          <w:lang w:val="en-US" w:eastAsia="zh-CN"/>
        </w:rPr>
        <w:t xml:space="preserve">). Complex IV is indirectly involved in ROS production, as the overall electron flow depends on its activity. </w:t>
      </w:r>
      <w:r w:rsidRPr="004E6545">
        <w:rPr>
          <w:rFonts w:ascii="Palatino Linotype" w:eastAsia="SimSun" w:hAnsi="Palatino Linotype" w:cs="Times New Roman"/>
          <w:noProof/>
          <w:color w:val="000000"/>
          <w:sz w:val="20"/>
          <w:szCs w:val="20"/>
          <w:lang w:val="en-US" w:eastAsia="zh-CN"/>
        </w:rPr>
        <w:t xml:space="preserve">Mitochondrial enzymes can also produce superoxide as the result of the electron leakage during their reactions. For instance, proline dehydrogenase (PRODH), glycerophosphate dehydrogenase (GPDH/GPD2), mitochondrial DHODH, mono-amino oxidase (MAO), 2-oxoglutarate dehydrogenase (OGDH), and pyruvate dehydrogenase (PDH). </w:t>
      </w:r>
    </w:p>
    <w:p w14:paraId="6CB758E5" w14:textId="77777777" w:rsidR="009B773B" w:rsidRDefault="009B773B" w:rsidP="000E018D">
      <w:pPr>
        <w:jc w:val="both"/>
        <w:rPr>
          <w:rFonts w:ascii="Palatino Linotype" w:eastAsia="SimSun" w:hAnsi="Palatino Linotype" w:cs="Times New Roman"/>
          <w:noProof/>
          <w:color w:val="000000"/>
          <w:sz w:val="20"/>
          <w:szCs w:val="20"/>
          <w:lang w:val="en-US" w:eastAsia="zh-CN"/>
        </w:rPr>
      </w:pPr>
    </w:p>
    <w:p w14:paraId="5266ED24" w14:textId="320A0B26" w:rsidR="00872DB4" w:rsidRPr="004E6545" w:rsidRDefault="00872DB4" w:rsidP="007C363A">
      <w:pPr>
        <w:jc w:val="both"/>
        <w:rPr>
          <w:rFonts w:ascii="Palatino Linotype" w:eastAsia="SimSun" w:hAnsi="Palatino Linotype" w:cs="Times New Roman"/>
          <w:noProof/>
          <w:color w:val="000000"/>
          <w:sz w:val="20"/>
          <w:szCs w:val="20"/>
          <w:lang w:val="en-US" w:eastAsia="zh-CN"/>
        </w:rPr>
      </w:pPr>
      <w:r w:rsidRPr="004E6545">
        <w:rPr>
          <w:rFonts w:ascii="Palatino Linotype" w:eastAsia="SimSun" w:hAnsi="Palatino Linotype" w:cs="Times New Roman"/>
          <w:noProof/>
          <w:color w:val="000000"/>
          <w:sz w:val="20"/>
          <w:szCs w:val="20"/>
          <w:lang w:val="en-US" w:eastAsia="zh-CN"/>
        </w:rPr>
        <w:t xml:space="preserve">Chronic lymphocytic leukemia (CLL), acute myeloid leukemia (AML), paraganglioma, PCC, RCC, and gastrointestinal </w:t>
      </w:r>
      <w:r w:rsidR="00292F40">
        <w:rPr>
          <w:rFonts w:ascii="Palatino Linotype" w:eastAsia="SimSun" w:hAnsi="Palatino Linotype" w:cs="Times New Roman"/>
          <w:noProof/>
          <w:color w:val="000000"/>
          <w:sz w:val="20"/>
          <w:szCs w:val="20"/>
          <w:lang w:val="en-US" w:eastAsia="zh-CN"/>
        </w:rPr>
        <w:t>stromal tumor (</w:t>
      </w:r>
      <w:r w:rsidRPr="004E6545">
        <w:rPr>
          <w:rFonts w:ascii="Palatino Linotype" w:eastAsia="SimSun" w:hAnsi="Palatino Linotype" w:cs="Times New Roman"/>
          <w:noProof/>
          <w:color w:val="000000"/>
          <w:sz w:val="20"/>
          <w:szCs w:val="20"/>
          <w:lang w:val="en-US" w:eastAsia="zh-CN"/>
        </w:rPr>
        <w:t>GIST</w:t>
      </w:r>
      <w:r w:rsidR="00292F40">
        <w:rPr>
          <w:rFonts w:ascii="Palatino Linotype" w:eastAsia="SimSun" w:hAnsi="Palatino Linotype" w:cs="Times New Roman"/>
          <w:noProof/>
          <w:color w:val="000000"/>
          <w:sz w:val="20"/>
          <w:szCs w:val="20"/>
          <w:lang w:val="en-US" w:eastAsia="zh-CN"/>
        </w:rPr>
        <w:t>)</w:t>
      </w:r>
      <w:r w:rsidRPr="004E6545">
        <w:rPr>
          <w:rFonts w:ascii="Palatino Linotype" w:eastAsia="SimSun" w:hAnsi="Palatino Linotype" w:cs="Times New Roman"/>
          <w:noProof/>
          <w:color w:val="000000"/>
          <w:sz w:val="20"/>
          <w:szCs w:val="20"/>
          <w:lang w:val="en-US" w:eastAsia="zh-CN"/>
        </w:rPr>
        <w:t xml:space="preserve"> are examples of tumors with high mtROS. In addition, mutations in the ETC found in multiple tumors</w:t>
      </w:r>
      <w:r w:rsidR="00172B88">
        <w:rPr>
          <w:rFonts w:ascii="Palatino Linotype" w:eastAsia="SimSun" w:hAnsi="Palatino Linotype" w:cs="Times New Roman"/>
          <w:noProof/>
          <w:color w:val="000000"/>
          <w:sz w:val="20"/>
          <w:szCs w:val="20"/>
          <w:lang w:val="en-US" w:eastAsia="zh-CN"/>
        </w:rPr>
        <w:t xml:space="preserve"> </w:t>
      </w:r>
      <w:r w:rsidRPr="004E6545">
        <w:rPr>
          <w:rFonts w:ascii="Palatino Linotype" w:eastAsia="SimSun" w:hAnsi="Palatino Linotype" w:cs="Times New Roman"/>
          <w:noProof/>
          <w:color w:val="000000"/>
          <w:sz w:val="20"/>
          <w:szCs w:val="20"/>
          <w:lang w:val="en-US" w:eastAsia="zh-CN"/>
        </w:rPr>
        <w:t>lead to the impairment of the electron transfer and formation of mtROS. In melanoma, cells at metastatic lesions contained more mtROS than cells in circulation or in the primary tumor. Moreover, some subsets of cancer stem cells (CSCs) contain lower mtROS levels and higher antioxidant systems compared to non-tumorigenic cells, what results in less DNA damage and less sensitivity to irradiation.</w:t>
      </w:r>
    </w:p>
    <w:p w14:paraId="4AE6312B" w14:textId="77777777" w:rsidR="000E018D" w:rsidRDefault="000E018D" w:rsidP="007C363A">
      <w:pPr>
        <w:jc w:val="both"/>
        <w:rPr>
          <w:rFonts w:ascii="Palatino Linotype" w:eastAsia="SimSun" w:hAnsi="Palatino Linotype" w:cs="Times New Roman"/>
          <w:b/>
          <w:bCs/>
          <w:noProof/>
          <w:color w:val="000000"/>
          <w:sz w:val="20"/>
          <w:szCs w:val="20"/>
          <w:u w:val="single"/>
          <w:lang w:val="en-US" w:eastAsia="zh-CN"/>
        </w:rPr>
      </w:pPr>
    </w:p>
    <w:p w14:paraId="51A458D1" w14:textId="1C93A6A6" w:rsidR="002E0DC3" w:rsidRPr="00C53697" w:rsidRDefault="002E0DC3" w:rsidP="007C363A">
      <w:pPr>
        <w:jc w:val="both"/>
        <w:rPr>
          <w:rFonts w:ascii="Palatino Linotype" w:eastAsia="SimSun" w:hAnsi="Palatino Linotype" w:cs="Times New Roman"/>
          <w:b/>
          <w:bCs/>
          <w:noProof/>
          <w:color w:val="000000"/>
          <w:sz w:val="20"/>
          <w:szCs w:val="20"/>
          <w:u w:val="single"/>
          <w:lang w:val="en-US" w:eastAsia="zh-CN"/>
        </w:rPr>
      </w:pPr>
      <w:r w:rsidRPr="00E95A32">
        <w:rPr>
          <w:rFonts w:ascii="Palatino Linotype" w:eastAsia="SimSun" w:hAnsi="Palatino Linotype" w:cs="Times New Roman"/>
          <w:b/>
          <w:bCs/>
          <w:noProof/>
          <w:color w:val="000000"/>
          <w:sz w:val="20"/>
          <w:szCs w:val="20"/>
          <w:u w:val="single"/>
          <w:lang w:val="en-US" w:eastAsia="zh-CN"/>
        </w:rPr>
        <w:lastRenderedPageBreak/>
        <w:t xml:space="preserve">Supplementary Box </w:t>
      </w:r>
      <w:r>
        <w:rPr>
          <w:rFonts w:ascii="Palatino Linotype" w:eastAsia="SimSun" w:hAnsi="Palatino Linotype" w:cs="Times New Roman"/>
          <w:b/>
          <w:bCs/>
          <w:noProof/>
          <w:color w:val="000000"/>
          <w:sz w:val="20"/>
          <w:szCs w:val="20"/>
          <w:u w:val="single"/>
          <w:lang w:val="en-US" w:eastAsia="zh-CN"/>
        </w:rPr>
        <w:t>1</w:t>
      </w:r>
      <w:r w:rsidR="00872DB4">
        <w:rPr>
          <w:rFonts w:ascii="Palatino Linotype" w:eastAsia="SimSun" w:hAnsi="Palatino Linotype" w:cs="Times New Roman"/>
          <w:b/>
          <w:bCs/>
          <w:noProof/>
          <w:color w:val="000000"/>
          <w:sz w:val="20"/>
          <w:szCs w:val="20"/>
          <w:u w:val="single"/>
          <w:lang w:val="en-US" w:eastAsia="zh-CN"/>
        </w:rPr>
        <w:t>2</w:t>
      </w:r>
    </w:p>
    <w:p w14:paraId="28F0227E" w14:textId="77777777" w:rsidR="002F03FA" w:rsidRPr="00BE0689" w:rsidRDefault="002F03FA" w:rsidP="007C363A">
      <w:pPr>
        <w:jc w:val="both"/>
        <w:rPr>
          <w:rFonts w:ascii="Palatino Linotype" w:eastAsia="SimSun" w:hAnsi="Palatino Linotype" w:cs="Times New Roman"/>
          <w:b/>
          <w:bCs/>
          <w:noProof/>
          <w:color w:val="000000"/>
          <w:sz w:val="20"/>
          <w:szCs w:val="20"/>
          <w:lang w:val="en-US" w:eastAsia="zh-CN"/>
        </w:rPr>
      </w:pPr>
      <w:r w:rsidRPr="002404AA">
        <w:rPr>
          <w:rFonts w:ascii="Palatino Linotype" w:eastAsia="SimSun" w:hAnsi="Palatino Linotype" w:cs="Times New Roman"/>
          <w:b/>
          <w:bCs/>
          <w:noProof/>
          <w:color w:val="000000"/>
          <w:sz w:val="20"/>
          <w:szCs w:val="20"/>
          <w:lang w:val="en-US" w:eastAsia="zh-CN"/>
        </w:rPr>
        <w:t xml:space="preserve">Metabolism of </w:t>
      </w:r>
      <w:r w:rsidR="0046404C">
        <w:rPr>
          <w:rFonts w:ascii="Palatino Linotype" w:eastAsia="SimSun" w:hAnsi="Palatino Linotype" w:cs="Times New Roman"/>
          <w:b/>
          <w:bCs/>
          <w:noProof/>
          <w:color w:val="000000"/>
          <w:sz w:val="20"/>
          <w:szCs w:val="20"/>
          <w:lang w:val="en-US" w:eastAsia="zh-CN"/>
        </w:rPr>
        <w:t>K</w:t>
      </w:r>
      <w:r w:rsidRPr="002404AA">
        <w:rPr>
          <w:rFonts w:ascii="Palatino Linotype" w:eastAsia="SimSun" w:hAnsi="Palatino Linotype" w:cs="Times New Roman"/>
          <w:b/>
          <w:bCs/>
          <w:noProof/>
          <w:color w:val="000000"/>
          <w:sz w:val="20"/>
          <w:szCs w:val="20"/>
          <w:lang w:val="en-US" w:eastAsia="zh-CN"/>
        </w:rPr>
        <w:t xml:space="preserve">etone </w:t>
      </w:r>
      <w:r w:rsidR="0046404C">
        <w:rPr>
          <w:rFonts w:ascii="Palatino Linotype" w:eastAsia="SimSun" w:hAnsi="Palatino Linotype" w:cs="Times New Roman"/>
          <w:b/>
          <w:bCs/>
          <w:noProof/>
          <w:color w:val="000000"/>
          <w:sz w:val="20"/>
          <w:szCs w:val="20"/>
          <w:lang w:val="en-US" w:eastAsia="zh-CN"/>
        </w:rPr>
        <w:t>B</w:t>
      </w:r>
      <w:r w:rsidRPr="002404AA">
        <w:rPr>
          <w:rFonts w:ascii="Palatino Linotype" w:eastAsia="SimSun" w:hAnsi="Palatino Linotype" w:cs="Times New Roman"/>
          <w:b/>
          <w:bCs/>
          <w:noProof/>
          <w:color w:val="000000"/>
          <w:sz w:val="20"/>
          <w:szCs w:val="20"/>
          <w:lang w:val="en-US" w:eastAsia="zh-CN"/>
        </w:rPr>
        <w:t xml:space="preserve">odies </w:t>
      </w:r>
    </w:p>
    <w:p w14:paraId="1F680A13" w14:textId="1866660F" w:rsidR="002E0DC3" w:rsidRPr="004E6545" w:rsidRDefault="002E0DC3" w:rsidP="007C363A">
      <w:pPr>
        <w:jc w:val="both"/>
        <w:rPr>
          <w:rFonts w:ascii="Palatino Linotype" w:eastAsia="SimSun" w:hAnsi="Palatino Linotype" w:cs="Times New Roman"/>
          <w:noProof/>
          <w:color w:val="000000"/>
          <w:sz w:val="20"/>
          <w:szCs w:val="20"/>
          <w:lang w:val="en-US" w:eastAsia="zh-CN"/>
        </w:rPr>
      </w:pPr>
      <w:r w:rsidRPr="004E6545">
        <w:rPr>
          <w:rFonts w:ascii="Palatino Linotype" w:eastAsia="SimSun" w:hAnsi="Palatino Linotype" w:cs="Times New Roman"/>
          <w:noProof/>
          <w:color w:val="000000"/>
          <w:sz w:val="20"/>
          <w:szCs w:val="20"/>
          <w:lang w:val="en-US" w:eastAsia="zh-CN"/>
        </w:rPr>
        <w:t xml:space="preserve">Ketogenesis takes place after fatty acids are transported into mitochondria and catabolized into acetyl-CoA by </w:t>
      </w:r>
      <w:r w:rsidRPr="004E6545">
        <w:rPr>
          <w:rFonts w:ascii="Palatino Linotype" w:eastAsia="SimSun" w:hAnsi="Palatino Linotype" w:cs="Times New Roman"/>
          <w:noProof/>
          <w:color w:val="000000"/>
          <w:sz w:val="20"/>
          <w:szCs w:val="20"/>
          <w:lang w:val="en-US" w:eastAsia="zh-CN"/>
        </w:rPr>
        <w:sym w:font="Symbol" w:char="F062"/>
      </w:r>
      <w:r w:rsidRPr="004E6545">
        <w:rPr>
          <w:rFonts w:ascii="Palatino Linotype" w:eastAsia="SimSun" w:hAnsi="Palatino Linotype" w:cs="Times New Roman"/>
          <w:noProof/>
          <w:color w:val="000000"/>
          <w:sz w:val="20"/>
          <w:szCs w:val="20"/>
          <w:lang w:val="en-US" w:eastAsia="zh-CN"/>
        </w:rPr>
        <w:t>-oxidation. The enzyme 3-hydroxymethylglutaryl-CoA synthase (HMGCS2) generates hydroxymethylglutaryl (HMG-CoA) from acetoacetyl-CoA (AcAc-CoA) and acetyl-CoA. Next, hydroxymethylglutaryl-CoA lyase (HMGCL) cleaves HMG-CoA resulting in acetyl-CoA and acetoacetate (AcAc). Acetoacetate is reduced to D-</w:t>
      </w:r>
      <w:r w:rsidRPr="004E6545">
        <w:rPr>
          <w:rFonts w:ascii="Palatino Linotype" w:eastAsia="SimSun" w:hAnsi="Palatino Linotype" w:cs="Times New Roman"/>
          <w:noProof/>
          <w:color w:val="000000"/>
          <w:sz w:val="20"/>
          <w:szCs w:val="20"/>
          <w:lang w:val="en-US" w:eastAsia="zh-CN"/>
        </w:rPr>
        <w:sym w:font="Symbol" w:char="F062"/>
      </w:r>
      <w:r w:rsidRPr="004E6545">
        <w:rPr>
          <w:rFonts w:ascii="Palatino Linotype" w:eastAsia="SimSun" w:hAnsi="Palatino Linotype" w:cs="Times New Roman"/>
          <w:noProof/>
          <w:color w:val="000000"/>
          <w:sz w:val="20"/>
          <w:szCs w:val="20"/>
          <w:lang w:val="en-US" w:eastAsia="zh-CN"/>
        </w:rPr>
        <w:t>-hydroxybutyrate (D-</w:t>
      </w:r>
      <w:r w:rsidRPr="004E6545">
        <w:rPr>
          <w:rFonts w:ascii="Palatino Linotype" w:eastAsia="SimSun" w:hAnsi="Palatino Linotype" w:cs="Times New Roman"/>
          <w:noProof/>
          <w:color w:val="000000"/>
          <w:sz w:val="20"/>
          <w:szCs w:val="20"/>
          <w:lang w:val="en-US" w:eastAsia="zh-CN"/>
        </w:rPr>
        <w:sym w:font="Symbol" w:char="F062"/>
      </w:r>
      <w:r w:rsidRPr="004E6545">
        <w:rPr>
          <w:rFonts w:ascii="Palatino Linotype" w:eastAsia="SimSun" w:hAnsi="Palatino Linotype" w:cs="Times New Roman"/>
          <w:noProof/>
          <w:color w:val="000000"/>
          <w:sz w:val="20"/>
          <w:szCs w:val="20"/>
          <w:lang w:val="en-US" w:eastAsia="zh-CN"/>
        </w:rPr>
        <w:t>OHB) by phosphatidylcholine-dependent mitochondrial D-</w:t>
      </w:r>
      <w:r w:rsidRPr="004E6545">
        <w:rPr>
          <w:rFonts w:ascii="Palatino Linotype" w:eastAsia="SimSun" w:hAnsi="Palatino Linotype" w:cs="Times New Roman"/>
          <w:noProof/>
          <w:color w:val="000000"/>
          <w:sz w:val="20"/>
          <w:szCs w:val="20"/>
          <w:lang w:val="en-US" w:eastAsia="zh-CN"/>
        </w:rPr>
        <w:sym w:font="Symbol" w:char="F062"/>
      </w:r>
      <w:r w:rsidRPr="004E6545">
        <w:rPr>
          <w:rFonts w:ascii="Palatino Linotype" w:eastAsia="SimSun" w:hAnsi="Palatino Linotype" w:cs="Times New Roman"/>
          <w:noProof/>
          <w:color w:val="000000"/>
          <w:sz w:val="20"/>
          <w:szCs w:val="20"/>
          <w:lang w:val="en-US" w:eastAsia="zh-CN"/>
        </w:rPr>
        <w:t xml:space="preserve">OHB dehydrogenase (BDH1). </w:t>
      </w:r>
      <w:r w:rsidR="008B6749">
        <w:rPr>
          <w:rFonts w:ascii="Palatino Linotype" w:eastAsia="SimSun" w:hAnsi="Palatino Linotype" w:cs="Times New Roman"/>
          <w:noProof/>
          <w:color w:val="000000"/>
          <w:sz w:val="20"/>
          <w:szCs w:val="20"/>
          <w:lang w:val="en-US" w:eastAsia="zh-CN"/>
        </w:rPr>
        <w:t>The</w:t>
      </w:r>
      <w:r w:rsidR="008B6749" w:rsidRPr="004E6545">
        <w:rPr>
          <w:rFonts w:ascii="Palatino Linotype" w:eastAsia="SimSun" w:hAnsi="Palatino Linotype" w:cs="Times New Roman"/>
          <w:noProof/>
          <w:color w:val="000000"/>
          <w:sz w:val="20"/>
          <w:szCs w:val="20"/>
          <w:lang w:val="en-US" w:eastAsia="zh-CN"/>
        </w:rPr>
        <w:t xml:space="preserve"> </w:t>
      </w:r>
      <w:r w:rsidRPr="004E6545">
        <w:rPr>
          <w:rFonts w:ascii="Palatino Linotype" w:eastAsia="SimSun" w:hAnsi="Palatino Linotype" w:cs="Times New Roman"/>
          <w:noProof/>
          <w:color w:val="000000"/>
          <w:sz w:val="20"/>
          <w:szCs w:val="20"/>
          <w:lang w:val="en-US" w:eastAsia="zh-CN"/>
        </w:rPr>
        <w:t xml:space="preserve">activity </w:t>
      </w:r>
      <w:r w:rsidR="008B6749">
        <w:rPr>
          <w:rFonts w:ascii="Palatino Linotype" w:eastAsia="SimSun" w:hAnsi="Palatino Linotype" w:cs="Times New Roman"/>
          <w:noProof/>
          <w:color w:val="000000"/>
          <w:sz w:val="20"/>
          <w:szCs w:val="20"/>
          <w:lang w:val="en-US" w:eastAsia="zh-CN"/>
        </w:rPr>
        <w:t xml:space="preserve">of this enzyme </w:t>
      </w:r>
      <w:r w:rsidRPr="004E6545">
        <w:rPr>
          <w:rFonts w:ascii="Palatino Linotype" w:eastAsia="SimSun" w:hAnsi="Palatino Linotype" w:cs="Times New Roman"/>
          <w:noProof/>
          <w:color w:val="000000"/>
          <w:sz w:val="20"/>
          <w:szCs w:val="20"/>
          <w:lang w:val="en-US" w:eastAsia="zh-CN"/>
        </w:rPr>
        <w:t>is coupled to NAD</w:t>
      </w:r>
      <w:r w:rsidRPr="004E6545">
        <w:rPr>
          <w:rFonts w:ascii="Palatino Linotype" w:eastAsia="SimSun" w:hAnsi="Palatino Linotype" w:cs="Times New Roman"/>
          <w:noProof/>
          <w:color w:val="000000"/>
          <w:sz w:val="20"/>
          <w:szCs w:val="20"/>
          <w:vertAlign w:val="superscript"/>
          <w:lang w:val="en-US" w:eastAsia="zh-CN"/>
        </w:rPr>
        <w:t>+</w:t>
      </w:r>
      <w:r w:rsidRPr="004E6545">
        <w:rPr>
          <w:rFonts w:ascii="Palatino Linotype" w:eastAsia="SimSun" w:hAnsi="Palatino Linotype" w:cs="Times New Roman"/>
          <w:noProof/>
          <w:color w:val="000000"/>
          <w:sz w:val="20"/>
          <w:szCs w:val="20"/>
          <w:lang w:val="en-US" w:eastAsia="zh-CN"/>
        </w:rPr>
        <w:t>/NADH, thus, modulating mitochondrial redox potential. Acetone is produced by spontaneous decarboxylation of acetoacetate, and then excreted in the urine or exhaled from the lungs. Acetoacetate and D-</w:t>
      </w:r>
      <w:r w:rsidRPr="004E6545">
        <w:rPr>
          <w:rFonts w:ascii="Palatino Linotype" w:eastAsia="SimSun" w:hAnsi="Palatino Linotype" w:cs="Times New Roman"/>
          <w:noProof/>
          <w:color w:val="000000"/>
          <w:sz w:val="20"/>
          <w:szCs w:val="20"/>
          <w:lang w:val="en-US" w:eastAsia="zh-CN"/>
        </w:rPr>
        <w:sym w:font="Symbol" w:char="F062"/>
      </w:r>
      <w:r w:rsidRPr="004E6545">
        <w:rPr>
          <w:rFonts w:ascii="Palatino Linotype" w:eastAsia="SimSun" w:hAnsi="Palatino Linotype" w:cs="Times New Roman"/>
          <w:noProof/>
          <w:color w:val="000000"/>
          <w:sz w:val="20"/>
          <w:szCs w:val="20"/>
          <w:lang w:val="en-US" w:eastAsia="zh-CN"/>
        </w:rPr>
        <w:t xml:space="preserve">OHB are released from hepatocytes through monocarboxylate transporters (MCT1 and MCT2) and used in extrahepatic tissues, either for catabolism or for lipogenesis or sterol synthesis. </w:t>
      </w:r>
      <w:r w:rsidR="00DE5481">
        <w:rPr>
          <w:rFonts w:ascii="Palatino Linotype" w:eastAsia="SimSun" w:hAnsi="Palatino Linotype" w:cs="Times New Roman"/>
          <w:noProof/>
          <w:color w:val="000000"/>
          <w:sz w:val="20"/>
          <w:szCs w:val="20"/>
          <w:lang w:val="en-US" w:eastAsia="zh-CN"/>
        </w:rPr>
        <w:t xml:space="preserve">First, </w:t>
      </w:r>
      <w:r w:rsidRPr="004E6545">
        <w:rPr>
          <w:rFonts w:ascii="Palatino Linotype" w:eastAsia="SimSun" w:hAnsi="Palatino Linotype" w:cs="Times New Roman"/>
          <w:noProof/>
          <w:color w:val="000000"/>
          <w:sz w:val="20"/>
          <w:szCs w:val="20"/>
          <w:lang w:val="en-US" w:eastAsia="zh-CN"/>
        </w:rPr>
        <w:t xml:space="preserve">BDH1 converts </w:t>
      </w:r>
      <w:r w:rsidRPr="004E6545">
        <w:rPr>
          <w:rFonts w:ascii="Palatino Linotype" w:eastAsia="SimSun" w:hAnsi="Palatino Linotype" w:cs="Times New Roman"/>
          <w:noProof/>
          <w:color w:val="000000"/>
          <w:sz w:val="20"/>
          <w:szCs w:val="20"/>
          <w:lang w:val="en-US" w:eastAsia="zh-CN"/>
        </w:rPr>
        <w:sym w:font="Symbol" w:char="F062"/>
      </w:r>
      <w:r w:rsidRPr="004E6545">
        <w:rPr>
          <w:rFonts w:ascii="Palatino Linotype" w:eastAsia="SimSun" w:hAnsi="Palatino Linotype" w:cs="Times New Roman"/>
          <w:noProof/>
          <w:color w:val="000000"/>
          <w:sz w:val="20"/>
          <w:szCs w:val="20"/>
          <w:lang w:val="en-US" w:eastAsia="zh-CN"/>
        </w:rPr>
        <w:t>OHB to acetoacetate, and then succinyl-CoA-ketoacid-CoA transferase (SCOT) adds a CoA, resulting in acetoacetyl-CoA (AcAc-CoA). Finally, mitochondrial acetyl-CoA thiolases produce two molecules of acetyl-CoA, which enter the TCA cycle. Ketones are considered a super fuel, as they provide more acetyl-CoA molecules than glucose.</w:t>
      </w:r>
    </w:p>
    <w:p w14:paraId="3E8A1900" w14:textId="77777777" w:rsidR="009B773B" w:rsidRDefault="009B773B" w:rsidP="000E018D">
      <w:pPr>
        <w:jc w:val="both"/>
        <w:rPr>
          <w:rFonts w:ascii="Palatino Linotype" w:eastAsia="SimSun" w:hAnsi="Palatino Linotype" w:cs="Times New Roman"/>
          <w:noProof/>
          <w:color w:val="000000"/>
          <w:sz w:val="20"/>
          <w:szCs w:val="20"/>
          <w:lang w:val="en-US" w:eastAsia="zh-CN"/>
        </w:rPr>
      </w:pPr>
    </w:p>
    <w:p w14:paraId="4B5A5666" w14:textId="2F17C916" w:rsidR="00381EC4" w:rsidRPr="001B18B1" w:rsidRDefault="002E0DC3" w:rsidP="007C363A">
      <w:pPr>
        <w:jc w:val="both"/>
        <w:rPr>
          <w:rFonts w:ascii="Palatino Linotype" w:eastAsia="SimSun" w:hAnsi="Palatino Linotype" w:cs="Times New Roman"/>
          <w:noProof/>
          <w:color w:val="000000"/>
          <w:sz w:val="20"/>
          <w:szCs w:val="20"/>
          <w:lang w:val="en-US" w:eastAsia="zh-CN"/>
        </w:rPr>
      </w:pPr>
      <w:r w:rsidRPr="004E6545">
        <w:rPr>
          <w:rFonts w:ascii="Palatino Linotype" w:eastAsia="SimSun" w:hAnsi="Palatino Linotype" w:cs="Times New Roman"/>
          <w:noProof/>
          <w:color w:val="000000"/>
          <w:sz w:val="20"/>
          <w:szCs w:val="20"/>
          <w:lang w:val="en-US" w:eastAsia="zh-CN"/>
        </w:rPr>
        <w:t xml:space="preserve">Ketogenic diet has been widely used for the treatment of epilepsy due to its anti-seizure effect </w:t>
      </w:r>
      <w:r w:rsidRPr="004E6545">
        <w:rPr>
          <w:rFonts w:ascii="Palatino Linotype" w:eastAsia="SimSun" w:hAnsi="Palatino Linotype" w:cs="Times New Roman"/>
          <w:noProof/>
          <w:color w:val="000000"/>
          <w:sz w:val="20"/>
          <w:szCs w:val="20"/>
          <w:lang w:val="en-US" w:eastAsia="zh-CN"/>
        </w:rPr>
        <w:fldChar w:fldCharType="begin" w:fldLock="1"/>
      </w:r>
      <w:r w:rsidR="009F4BAE">
        <w:rPr>
          <w:rFonts w:ascii="Palatino Linotype" w:eastAsia="SimSun" w:hAnsi="Palatino Linotype" w:cs="Times New Roman"/>
          <w:noProof/>
          <w:color w:val="000000"/>
          <w:sz w:val="20"/>
          <w:szCs w:val="20"/>
          <w:lang w:val="en-US" w:eastAsia="zh-CN"/>
        </w:rPr>
        <w:instrText>ADDIN CSL_CITATION {"citationItems":[{"id":"ITEM-1","itemData":{"DOI":"10.1111/j.1528-1167.2007.00914.x","ISSN":"00139580","PMID":"17241206","abstract":"The ketogenic diet remains a valuable therapeutic option for patients with intractable epilepsy. Clinical aspects of the diet's success may provide insights into epileptogenesis and anticonvulsant action. The diet's efficacy has been established primarily through large case series. The diet has been used successfully in patients with many different epilepsy syndromes in countries around the world. Potential adverse effects can be avoided with careful attention during the diet's initiation and maintenance phases. In the last decade, variations to the classical ketogenic diet have been utilized. Ketogenic diets now are being used for diseases other than epilepsy. This critical analysis of the diet should provide the impetus for further clinical and basic research into the diet's application and mechanisms of action. © 2007 International League Against Epilepsy.","author":[{"dropping-particle":"","family":"Hartman","given":"Adam L.","non-dropping-particle":"","parse-names":false,"suffix":""},{"dropping-particle":"","family":"Vining","given":"Eileen P.G.","non-dropping-particle":"","parse-names":false,"suffix":""}],"container-title":"Epilepsia","id":"ITEM-1","issue":"1","issued":{"date-parts":[["2007"]]},"page":"31-42","title":"Clinical aspects of the ketogenic diet","type":"article-journal","volume":"48"},"uris":["http://www.mendeley.com/documents/?uuid=2881cdd6-3805-475d-a8c9-0d21aca77252","http://www.mendeley.com/documents/?uuid=6e08542c-3b37-4e81-b6eb-d0eb6839c17b"]}],"mendeley":{"formattedCitation":"[170]","manualFormatting":"(reviewed in Hartman and Vining, 2007)","plainTextFormattedCitation":"[170]","previouslyFormattedCitation":"(170)"},"properties":{"noteIndex":0},"schema":"https://github.com/citation-style-language/schema/raw/master/csl-citation.json"}</w:instrText>
      </w:r>
      <w:r w:rsidRPr="004E6545">
        <w:rPr>
          <w:rFonts w:ascii="Palatino Linotype" w:eastAsia="SimSun" w:hAnsi="Palatino Linotype" w:cs="Times New Roman"/>
          <w:noProof/>
          <w:color w:val="000000"/>
          <w:sz w:val="20"/>
          <w:szCs w:val="20"/>
          <w:lang w:val="en-US" w:eastAsia="zh-CN"/>
        </w:rPr>
        <w:fldChar w:fldCharType="separate"/>
      </w:r>
      <w:r w:rsidRPr="004E6545">
        <w:rPr>
          <w:rFonts w:ascii="Palatino Linotype" w:eastAsia="SimSun" w:hAnsi="Palatino Linotype" w:cs="Times New Roman"/>
          <w:noProof/>
          <w:color w:val="000000"/>
          <w:sz w:val="20"/>
          <w:szCs w:val="20"/>
          <w:lang w:val="en-US" w:eastAsia="zh-CN"/>
        </w:rPr>
        <w:t>(reviewed in Hartman and Vining, 2007)</w:t>
      </w:r>
      <w:r w:rsidRPr="004E6545">
        <w:rPr>
          <w:rFonts w:ascii="Palatino Linotype" w:eastAsia="SimSun" w:hAnsi="Palatino Linotype" w:cs="Times New Roman"/>
          <w:noProof/>
          <w:color w:val="000000"/>
          <w:sz w:val="20"/>
          <w:szCs w:val="20"/>
          <w:lang w:val="en-US" w:eastAsia="zh-CN"/>
        </w:rPr>
        <w:fldChar w:fldCharType="end"/>
      </w:r>
      <w:r w:rsidRPr="004E6545">
        <w:rPr>
          <w:rFonts w:ascii="Palatino Linotype" w:eastAsia="SimSun" w:hAnsi="Palatino Linotype" w:cs="Times New Roman"/>
          <w:noProof/>
          <w:color w:val="000000"/>
          <w:sz w:val="20"/>
          <w:szCs w:val="20"/>
          <w:lang w:val="en-US" w:eastAsia="zh-CN"/>
        </w:rPr>
        <w:t>. This high-fat diet prevents glutamate excitotoxicity by reducing ROS levels. The antioxidant effect of ketones has been explained by different mechanisms. An early increase in ketone bodies generates more ROS, which in turn activates the NRF2 transcription factor. In turn, NRF2 induces expression of the antioxidant response genes, which reduces ROS levels. Ketone bodies also increase the NAD</w:t>
      </w:r>
      <w:r w:rsidRPr="004E6545">
        <w:rPr>
          <w:rFonts w:ascii="Palatino Linotype" w:eastAsia="SimSun" w:hAnsi="Palatino Linotype" w:cs="Times New Roman"/>
          <w:noProof/>
          <w:color w:val="000000"/>
          <w:sz w:val="20"/>
          <w:szCs w:val="20"/>
          <w:vertAlign w:val="superscript"/>
          <w:lang w:val="en-US" w:eastAsia="zh-CN"/>
        </w:rPr>
        <w:t>+</w:t>
      </w:r>
      <w:r w:rsidRPr="004E6545">
        <w:rPr>
          <w:rFonts w:ascii="Palatino Linotype" w:eastAsia="SimSun" w:hAnsi="Palatino Linotype" w:cs="Times New Roman"/>
          <w:noProof/>
          <w:color w:val="000000"/>
          <w:sz w:val="20"/>
          <w:szCs w:val="20"/>
          <w:lang w:val="en-US" w:eastAsia="zh-CN"/>
        </w:rPr>
        <w:t>/NADH ratio, improving the mitochondrial redox status and protecting against oxidative stress. They rise the mitochondrial uncoupling protein activity (UCP), resulting in a lower membrane potential and reducing the production of superoxide. Ketogenic diet also stimulates mitochondria biogenesis and respiration rates</w:t>
      </w:r>
      <w:r w:rsidR="000A75D1">
        <w:rPr>
          <w:rFonts w:ascii="Palatino Linotype" w:eastAsia="SimSun" w:hAnsi="Palatino Linotype" w:cs="Times New Roman"/>
          <w:noProof/>
          <w:color w:val="000000"/>
          <w:sz w:val="20"/>
          <w:szCs w:val="20"/>
          <w:lang w:val="en-US" w:eastAsia="zh-CN"/>
        </w:rPr>
        <w:t xml:space="preserve"> a</w:t>
      </w:r>
      <w:r w:rsidRPr="004E6545">
        <w:rPr>
          <w:rFonts w:ascii="Palatino Linotype" w:eastAsia="SimSun" w:hAnsi="Palatino Linotype" w:cs="Times New Roman"/>
          <w:noProof/>
          <w:color w:val="000000"/>
          <w:sz w:val="20"/>
          <w:szCs w:val="20"/>
          <w:lang w:val="en-US" w:eastAsia="zh-CN"/>
        </w:rPr>
        <w:t>nd it has been associated with low insulin levels, a decrease in histone deacetylase activity (HDAC</w:t>
      </w:r>
      <w:r w:rsidR="00C668A2">
        <w:rPr>
          <w:rFonts w:ascii="Palatino Linotype" w:eastAsia="SimSun" w:hAnsi="Palatino Linotype" w:cs="Times New Roman"/>
          <w:noProof/>
          <w:color w:val="000000"/>
          <w:sz w:val="20"/>
          <w:szCs w:val="20"/>
          <w:lang w:val="en-US" w:eastAsia="zh-CN"/>
        </w:rPr>
        <w:t>)</w:t>
      </w:r>
      <w:r w:rsidRPr="004E6545">
        <w:rPr>
          <w:rFonts w:ascii="Palatino Linotype" w:eastAsia="SimSun" w:hAnsi="Palatino Linotype" w:cs="Times New Roman"/>
          <w:noProof/>
          <w:color w:val="000000"/>
          <w:sz w:val="20"/>
          <w:szCs w:val="20"/>
          <w:lang w:val="en-US" w:eastAsia="zh-CN"/>
        </w:rPr>
        <w:t>, and mTOR as well increased FOXO3.</w:t>
      </w:r>
    </w:p>
    <w:sectPr w:rsidR="00381EC4" w:rsidRPr="001B18B1" w:rsidSect="00615A8D">
      <w:footerReference w:type="even"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0960BE" w14:textId="77777777" w:rsidR="007B50D3" w:rsidRDefault="007B50D3" w:rsidP="0088638C">
      <w:r>
        <w:separator/>
      </w:r>
    </w:p>
  </w:endnote>
  <w:endnote w:type="continuationSeparator" w:id="0">
    <w:p w14:paraId="7B7F0FAF" w14:textId="77777777" w:rsidR="007B50D3" w:rsidRDefault="007B50D3" w:rsidP="008863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decorative"/>
    <w:pitch w:val="variable"/>
    <w:sig w:usb0="00000000" w:usb1="10000000" w:usb2="00000000" w:usb3="00000000" w:csb0="80000000" w:csb1="00000000"/>
  </w:font>
  <w:font w:name="Palatino">
    <w:panose1 w:val="00000000000000000000"/>
    <w:charset w:val="4D"/>
    <w:family w:val="auto"/>
    <w:pitch w:val="variable"/>
    <w:sig w:usb0="A00002FF" w:usb1="7800205A" w:usb2="14600000" w:usb3="00000000" w:csb0="00000193"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533881728"/>
      <w:docPartObj>
        <w:docPartGallery w:val="Page Numbers (Bottom of Page)"/>
        <w:docPartUnique/>
      </w:docPartObj>
    </w:sdtPr>
    <w:sdtEndPr>
      <w:rPr>
        <w:rStyle w:val="PageNumber"/>
      </w:rPr>
    </w:sdtEndPr>
    <w:sdtContent>
      <w:p w14:paraId="10F7AEA7" w14:textId="11E32685" w:rsidR="0088638C" w:rsidRDefault="0088638C" w:rsidP="00D9530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499F278" w14:textId="77777777" w:rsidR="0088638C" w:rsidRDefault="0088638C" w:rsidP="0088638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819996114"/>
      <w:docPartObj>
        <w:docPartGallery w:val="Page Numbers (Bottom of Page)"/>
        <w:docPartUnique/>
      </w:docPartObj>
    </w:sdtPr>
    <w:sdtEndPr>
      <w:rPr>
        <w:rStyle w:val="PageNumber"/>
      </w:rPr>
    </w:sdtEndPr>
    <w:sdtContent>
      <w:p w14:paraId="031ED3D1" w14:textId="365A832E" w:rsidR="0088638C" w:rsidRDefault="0088638C" w:rsidP="00D9530B">
        <w:pPr>
          <w:pStyle w:val="Footer"/>
          <w:framePr w:wrap="none" w:vAnchor="text" w:hAnchor="margin" w:xAlign="right" w:y="1"/>
          <w:rPr>
            <w:rStyle w:val="PageNumber"/>
          </w:rPr>
        </w:pPr>
        <w:r w:rsidRPr="00C90312">
          <w:rPr>
            <w:rStyle w:val="PageNumber"/>
            <w:rFonts w:ascii="Palatino" w:hAnsi="Palatino"/>
          </w:rPr>
          <w:fldChar w:fldCharType="begin"/>
        </w:r>
        <w:r w:rsidRPr="00C90312">
          <w:rPr>
            <w:rStyle w:val="PageNumber"/>
            <w:rFonts w:ascii="Palatino" w:hAnsi="Palatino"/>
          </w:rPr>
          <w:instrText xml:space="preserve"> PAGE </w:instrText>
        </w:r>
        <w:r w:rsidRPr="00C90312">
          <w:rPr>
            <w:rStyle w:val="PageNumber"/>
            <w:rFonts w:ascii="Palatino" w:hAnsi="Palatino"/>
          </w:rPr>
          <w:fldChar w:fldCharType="separate"/>
        </w:r>
        <w:r w:rsidRPr="00C90312">
          <w:rPr>
            <w:rStyle w:val="PageNumber"/>
            <w:rFonts w:ascii="Palatino" w:hAnsi="Palatino"/>
            <w:noProof/>
          </w:rPr>
          <w:t>1</w:t>
        </w:r>
        <w:r w:rsidRPr="00C90312">
          <w:rPr>
            <w:rStyle w:val="PageNumber"/>
            <w:rFonts w:ascii="Palatino" w:hAnsi="Palatino"/>
          </w:rPr>
          <w:fldChar w:fldCharType="end"/>
        </w:r>
      </w:p>
    </w:sdtContent>
  </w:sdt>
  <w:p w14:paraId="5611C77C" w14:textId="77777777" w:rsidR="0088638C" w:rsidRDefault="0088638C" w:rsidP="0088638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BEF461" w14:textId="77777777" w:rsidR="007B50D3" w:rsidRDefault="007B50D3" w:rsidP="0088638C">
      <w:r>
        <w:separator/>
      </w:r>
    </w:p>
  </w:footnote>
  <w:footnote w:type="continuationSeparator" w:id="0">
    <w:p w14:paraId="2C37A778" w14:textId="77777777" w:rsidR="007B50D3" w:rsidRDefault="007B50D3" w:rsidP="008863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5541A3"/>
    <w:multiLevelType w:val="multilevel"/>
    <w:tmpl w:val="7EC48C0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10AD022C"/>
    <w:multiLevelType w:val="multilevel"/>
    <w:tmpl w:val="DD26BCB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56A832EB"/>
    <w:multiLevelType w:val="multilevel"/>
    <w:tmpl w:val="281059B8"/>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59A2601D"/>
    <w:multiLevelType w:val="multilevel"/>
    <w:tmpl w:val="9C143FB2"/>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70A82D69"/>
    <w:multiLevelType w:val="multilevel"/>
    <w:tmpl w:val="A0A6837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76EC103F"/>
    <w:multiLevelType w:val="multilevel"/>
    <w:tmpl w:val="F75C442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78E71AA7"/>
    <w:multiLevelType w:val="multilevel"/>
    <w:tmpl w:val="6DE8E61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669454859">
    <w:abstractNumId w:val="3"/>
  </w:num>
  <w:num w:numId="2" w16cid:durableId="1986086174">
    <w:abstractNumId w:val="6"/>
  </w:num>
  <w:num w:numId="3" w16cid:durableId="1798983557">
    <w:abstractNumId w:val="2"/>
  </w:num>
  <w:num w:numId="4" w16cid:durableId="1487933806">
    <w:abstractNumId w:val="0"/>
  </w:num>
  <w:num w:numId="5" w16cid:durableId="328336354">
    <w:abstractNumId w:val="5"/>
  </w:num>
  <w:num w:numId="6" w16cid:durableId="1524829517">
    <w:abstractNumId w:val="4"/>
  </w:num>
  <w:num w:numId="7" w16cid:durableId="19774472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3"/>
  <w:hideSpellingErrors/>
  <w:hideGrammaticalErrors/>
  <w:proofState w:spelling="clean" w:grammar="clean"/>
  <w:attachedTemplate r:id="rId1"/>
  <w:trackRevision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4EF1"/>
    <w:rsid w:val="00002F76"/>
    <w:rsid w:val="0000547A"/>
    <w:rsid w:val="00026FE0"/>
    <w:rsid w:val="00035E5F"/>
    <w:rsid w:val="00061008"/>
    <w:rsid w:val="0007698D"/>
    <w:rsid w:val="000A75D1"/>
    <w:rsid w:val="000A7842"/>
    <w:rsid w:val="000C0876"/>
    <w:rsid w:val="000C1774"/>
    <w:rsid w:val="000C30E2"/>
    <w:rsid w:val="000C59FC"/>
    <w:rsid w:val="000E018D"/>
    <w:rsid w:val="001019C6"/>
    <w:rsid w:val="0010523B"/>
    <w:rsid w:val="001302A6"/>
    <w:rsid w:val="00146BE0"/>
    <w:rsid w:val="0016423F"/>
    <w:rsid w:val="0016646C"/>
    <w:rsid w:val="0017271D"/>
    <w:rsid w:val="00172B88"/>
    <w:rsid w:val="00175F32"/>
    <w:rsid w:val="00192D3E"/>
    <w:rsid w:val="001942E2"/>
    <w:rsid w:val="001A0DBD"/>
    <w:rsid w:val="001A3365"/>
    <w:rsid w:val="001A60D6"/>
    <w:rsid w:val="001A71EB"/>
    <w:rsid w:val="001B18B1"/>
    <w:rsid w:val="001E7FD7"/>
    <w:rsid w:val="002068CB"/>
    <w:rsid w:val="0021582C"/>
    <w:rsid w:val="002404AA"/>
    <w:rsid w:val="00260BC6"/>
    <w:rsid w:val="00263350"/>
    <w:rsid w:val="00263803"/>
    <w:rsid w:val="00292F40"/>
    <w:rsid w:val="002D69AD"/>
    <w:rsid w:val="002E0DC3"/>
    <w:rsid w:val="002F03FA"/>
    <w:rsid w:val="00314EE6"/>
    <w:rsid w:val="00315BC3"/>
    <w:rsid w:val="003428F7"/>
    <w:rsid w:val="00352A7A"/>
    <w:rsid w:val="00381EC4"/>
    <w:rsid w:val="0038785F"/>
    <w:rsid w:val="00390B73"/>
    <w:rsid w:val="003939D1"/>
    <w:rsid w:val="00393AA9"/>
    <w:rsid w:val="003A7A08"/>
    <w:rsid w:val="003C0665"/>
    <w:rsid w:val="003C4EF1"/>
    <w:rsid w:val="003D14EE"/>
    <w:rsid w:val="003D7D0D"/>
    <w:rsid w:val="003E52CE"/>
    <w:rsid w:val="003E6F5E"/>
    <w:rsid w:val="003F4B2A"/>
    <w:rsid w:val="00400613"/>
    <w:rsid w:val="00405338"/>
    <w:rsid w:val="0046404C"/>
    <w:rsid w:val="00466339"/>
    <w:rsid w:val="004D1267"/>
    <w:rsid w:val="004D2BBF"/>
    <w:rsid w:val="004E50CC"/>
    <w:rsid w:val="004E7560"/>
    <w:rsid w:val="004F77C8"/>
    <w:rsid w:val="005051FF"/>
    <w:rsid w:val="0050730A"/>
    <w:rsid w:val="00515CAB"/>
    <w:rsid w:val="00531AC9"/>
    <w:rsid w:val="005472B4"/>
    <w:rsid w:val="00554013"/>
    <w:rsid w:val="005566BD"/>
    <w:rsid w:val="00580AE4"/>
    <w:rsid w:val="00596170"/>
    <w:rsid w:val="005A507F"/>
    <w:rsid w:val="005D234A"/>
    <w:rsid w:val="005D7AA8"/>
    <w:rsid w:val="005E3D0B"/>
    <w:rsid w:val="005F6F5C"/>
    <w:rsid w:val="00615A8D"/>
    <w:rsid w:val="00645C51"/>
    <w:rsid w:val="006541BA"/>
    <w:rsid w:val="006620EA"/>
    <w:rsid w:val="00675566"/>
    <w:rsid w:val="006A3016"/>
    <w:rsid w:val="006A66D4"/>
    <w:rsid w:val="006D4588"/>
    <w:rsid w:val="006D50CD"/>
    <w:rsid w:val="006E0F46"/>
    <w:rsid w:val="00745276"/>
    <w:rsid w:val="007913A5"/>
    <w:rsid w:val="007A3857"/>
    <w:rsid w:val="007A5973"/>
    <w:rsid w:val="007B505B"/>
    <w:rsid w:val="007B50D3"/>
    <w:rsid w:val="007C363A"/>
    <w:rsid w:val="007E5F1A"/>
    <w:rsid w:val="007E7067"/>
    <w:rsid w:val="007F4F46"/>
    <w:rsid w:val="008051B3"/>
    <w:rsid w:val="008250A0"/>
    <w:rsid w:val="00836C73"/>
    <w:rsid w:val="008565A3"/>
    <w:rsid w:val="0086159E"/>
    <w:rsid w:val="008637B9"/>
    <w:rsid w:val="00872DB4"/>
    <w:rsid w:val="0088638C"/>
    <w:rsid w:val="00891533"/>
    <w:rsid w:val="008969AE"/>
    <w:rsid w:val="008A58C3"/>
    <w:rsid w:val="008B6749"/>
    <w:rsid w:val="008C64A8"/>
    <w:rsid w:val="008D1104"/>
    <w:rsid w:val="008D3D4D"/>
    <w:rsid w:val="0090532F"/>
    <w:rsid w:val="00912E7E"/>
    <w:rsid w:val="00915E5C"/>
    <w:rsid w:val="009200BC"/>
    <w:rsid w:val="00934069"/>
    <w:rsid w:val="0095576C"/>
    <w:rsid w:val="00965C87"/>
    <w:rsid w:val="0096631A"/>
    <w:rsid w:val="00973DF2"/>
    <w:rsid w:val="009A0A18"/>
    <w:rsid w:val="009B7600"/>
    <w:rsid w:val="009B773B"/>
    <w:rsid w:val="009E57B3"/>
    <w:rsid w:val="009E7723"/>
    <w:rsid w:val="009F4BAE"/>
    <w:rsid w:val="009F6B6F"/>
    <w:rsid w:val="00A0540A"/>
    <w:rsid w:val="00A06CC4"/>
    <w:rsid w:val="00A113FE"/>
    <w:rsid w:val="00A137A3"/>
    <w:rsid w:val="00A42BAA"/>
    <w:rsid w:val="00A97981"/>
    <w:rsid w:val="00AC0D1E"/>
    <w:rsid w:val="00AD1DFB"/>
    <w:rsid w:val="00AD35DB"/>
    <w:rsid w:val="00AE4E03"/>
    <w:rsid w:val="00AF447D"/>
    <w:rsid w:val="00AF61D2"/>
    <w:rsid w:val="00B00313"/>
    <w:rsid w:val="00B15DE4"/>
    <w:rsid w:val="00B22E12"/>
    <w:rsid w:val="00B22FE8"/>
    <w:rsid w:val="00B86E39"/>
    <w:rsid w:val="00BB3D7F"/>
    <w:rsid w:val="00BE0689"/>
    <w:rsid w:val="00BF31AC"/>
    <w:rsid w:val="00C35F8C"/>
    <w:rsid w:val="00C53697"/>
    <w:rsid w:val="00C62587"/>
    <w:rsid w:val="00C62F15"/>
    <w:rsid w:val="00C668A2"/>
    <w:rsid w:val="00C67724"/>
    <w:rsid w:val="00C802AC"/>
    <w:rsid w:val="00C846A3"/>
    <w:rsid w:val="00C864DA"/>
    <w:rsid w:val="00C87074"/>
    <w:rsid w:val="00C90312"/>
    <w:rsid w:val="00CB1A86"/>
    <w:rsid w:val="00CD56A2"/>
    <w:rsid w:val="00D0407E"/>
    <w:rsid w:val="00D21A19"/>
    <w:rsid w:val="00D34CE1"/>
    <w:rsid w:val="00D40F47"/>
    <w:rsid w:val="00D53157"/>
    <w:rsid w:val="00D603BA"/>
    <w:rsid w:val="00D63674"/>
    <w:rsid w:val="00D87D5F"/>
    <w:rsid w:val="00DB1F7F"/>
    <w:rsid w:val="00DB2D55"/>
    <w:rsid w:val="00DC0DBF"/>
    <w:rsid w:val="00DC15D4"/>
    <w:rsid w:val="00DE5481"/>
    <w:rsid w:val="00DF4F9C"/>
    <w:rsid w:val="00E2062A"/>
    <w:rsid w:val="00E26194"/>
    <w:rsid w:val="00E51DCC"/>
    <w:rsid w:val="00E55CE4"/>
    <w:rsid w:val="00E628A4"/>
    <w:rsid w:val="00E70D94"/>
    <w:rsid w:val="00E87F5C"/>
    <w:rsid w:val="00E937D4"/>
    <w:rsid w:val="00E95657"/>
    <w:rsid w:val="00E95A32"/>
    <w:rsid w:val="00EB24AC"/>
    <w:rsid w:val="00EB5AAB"/>
    <w:rsid w:val="00EF0255"/>
    <w:rsid w:val="00F01823"/>
    <w:rsid w:val="00F04049"/>
    <w:rsid w:val="00F10E19"/>
    <w:rsid w:val="00F24653"/>
    <w:rsid w:val="00F34251"/>
    <w:rsid w:val="00F63483"/>
    <w:rsid w:val="00F70A52"/>
    <w:rsid w:val="00FB06D7"/>
    <w:rsid w:val="00FC79F5"/>
    <w:rsid w:val="00FE6A2B"/>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5A2BB0"/>
  <w15:chartTrackingRefBased/>
  <w15:docId w15:val="{9D100CBF-7E54-47D4-A204-966EA7E34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sv-S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3D0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rsid w:val="0050730A"/>
    <w:rPr>
      <w:sz w:val="21"/>
      <w:szCs w:val="21"/>
    </w:rPr>
  </w:style>
  <w:style w:type="paragraph" w:styleId="CommentText">
    <w:name w:val="annotation text"/>
    <w:basedOn w:val="Normal"/>
    <w:link w:val="CommentTextChar"/>
    <w:uiPriority w:val="99"/>
    <w:rsid w:val="0050730A"/>
    <w:pPr>
      <w:spacing w:line="260" w:lineRule="atLeast"/>
      <w:jc w:val="both"/>
    </w:pPr>
    <w:rPr>
      <w:rFonts w:ascii="Palatino Linotype" w:eastAsia="SimSun" w:hAnsi="Palatino Linotype" w:cs="Times New Roman"/>
      <w:noProof/>
      <w:color w:val="000000"/>
      <w:sz w:val="20"/>
      <w:szCs w:val="20"/>
      <w:lang w:val="en-US" w:eastAsia="zh-CN"/>
    </w:rPr>
  </w:style>
  <w:style w:type="character" w:customStyle="1" w:styleId="CommentTextChar">
    <w:name w:val="Comment Text Char"/>
    <w:basedOn w:val="DefaultParagraphFont"/>
    <w:link w:val="CommentText"/>
    <w:uiPriority w:val="99"/>
    <w:rsid w:val="0050730A"/>
    <w:rPr>
      <w:rFonts w:ascii="Palatino Linotype" w:eastAsia="SimSun" w:hAnsi="Palatino Linotype" w:cs="Times New Roman"/>
      <w:noProof/>
      <w:color w:val="000000"/>
      <w:sz w:val="20"/>
      <w:szCs w:val="20"/>
      <w:lang w:val="en-US" w:eastAsia="zh-CN"/>
    </w:rPr>
  </w:style>
  <w:style w:type="paragraph" w:styleId="ListParagraph">
    <w:name w:val="List Paragraph"/>
    <w:basedOn w:val="Normal"/>
    <w:uiPriority w:val="34"/>
    <w:qFormat/>
    <w:rsid w:val="00645C51"/>
    <w:pPr>
      <w:ind w:left="720"/>
      <w:contextualSpacing/>
    </w:pPr>
  </w:style>
  <w:style w:type="paragraph" w:styleId="CommentSubject">
    <w:name w:val="annotation subject"/>
    <w:basedOn w:val="CommentText"/>
    <w:next w:val="CommentText"/>
    <w:link w:val="CommentSubjectChar"/>
    <w:uiPriority w:val="99"/>
    <w:semiHidden/>
    <w:unhideWhenUsed/>
    <w:rsid w:val="00D87D5F"/>
    <w:pPr>
      <w:spacing w:line="240" w:lineRule="auto"/>
      <w:jc w:val="left"/>
    </w:pPr>
    <w:rPr>
      <w:rFonts w:asciiTheme="minorHAnsi" w:eastAsiaTheme="minorHAnsi" w:hAnsiTheme="minorHAnsi" w:cstheme="minorBidi"/>
      <w:b/>
      <w:bCs/>
      <w:noProof w:val="0"/>
      <w:color w:val="auto"/>
      <w:lang w:val="sv-SE" w:eastAsia="en-US"/>
    </w:rPr>
  </w:style>
  <w:style w:type="character" w:customStyle="1" w:styleId="CommentSubjectChar">
    <w:name w:val="Comment Subject Char"/>
    <w:basedOn w:val="CommentTextChar"/>
    <w:link w:val="CommentSubject"/>
    <w:uiPriority w:val="99"/>
    <w:semiHidden/>
    <w:rsid w:val="00D87D5F"/>
    <w:rPr>
      <w:rFonts w:ascii="Palatino Linotype" w:eastAsia="SimSun" w:hAnsi="Palatino Linotype" w:cs="Times New Roman"/>
      <w:b/>
      <w:bCs/>
      <w:noProof/>
      <w:color w:val="000000"/>
      <w:sz w:val="20"/>
      <w:szCs w:val="20"/>
      <w:lang w:val="sv-SE" w:eastAsia="zh-CN"/>
    </w:rPr>
  </w:style>
  <w:style w:type="paragraph" w:customStyle="1" w:styleId="MDPI12title">
    <w:name w:val="MDPI_1.2_title"/>
    <w:next w:val="Normal"/>
    <w:qFormat/>
    <w:rsid w:val="0016646C"/>
    <w:pPr>
      <w:adjustRightInd w:val="0"/>
      <w:snapToGrid w:val="0"/>
      <w:spacing w:after="240" w:line="240" w:lineRule="atLeast"/>
    </w:pPr>
    <w:rPr>
      <w:rFonts w:ascii="Palatino Linotype" w:eastAsia="Times New Roman" w:hAnsi="Palatino Linotype" w:cs="Times New Roman"/>
      <w:b/>
      <w:snapToGrid w:val="0"/>
      <w:color w:val="000000"/>
      <w:sz w:val="36"/>
      <w:szCs w:val="20"/>
      <w:lang w:val="en-US" w:eastAsia="de-DE" w:bidi="en-US"/>
    </w:rPr>
  </w:style>
  <w:style w:type="paragraph" w:customStyle="1" w:styleId="MDPI13authornames">
    <w:name w:val="MDPI_1.3_authornames"/>
    <w:next w:val="Normal"/>
    <w:qFormat/>
    <w:rsid w:val="0016646C"/>
    <w:pPr>
      <w:adjustRightInd w:val="0"/>
      <w:snapToGrid w:val="0"/>
      <w:spacing w:after="360" w:line="260" w:lineRule="atLeast"/>
    </w:pPr>
    <w:rPr>
      <w:rFonts w:ascii="Palatino Linotype" w:eastAsia="Times New Roman" w:hAnsi="Palatino Linotype" w:cs="Times New Roman"/>
      <w:b/>
      <w:color w:val="000000"/>
      <w:sz w:val="20"/>
      <w:szCs w:val="22"/>
      <w:lang w:val="en-US" w:eastAsia="de-DE" w:bidi="en-US"/>
    </w:rPr>
  </w:style>
  <w:style w:type="character" w:styleId="Strong">
    <w:name w:val="Strong"/>
    <w:basedOn w:val="DefaultParagraphFont"/>
    <w:uiPriority w:val="22"/>
    <w:qFormat/>
    <w:rsid w:val="0016646C"/>
    <w:rPr>
      <w:b/>
      <w:bCs/>
    </w:rPr>
  </w:style>
  <w:style w:type="character" w:styleId="Emphasis">
    <w:name w:val="Emphasis"/>
    <w:basedOn w:val="DefaultParagraphFont"/>
    <w:uiPriority w:val="20"/>
    <w:qFormat/>
    <w:rsid w:val="0016646C"/>
    <w:rPr>
      <w:i/>
      <w:iCs/>
    </w:rPr>
  </w:style>
  <w:style w:type="paragraph" w:customStyle="1" w:styleId="MDPI16affiliation">
    <w:name w:val="MDPI_1.6_affiliation"/>
    <w:qFormat/>
    <w:rsid w:val="006620EA"/>
    <w:pPr>
      <w:adjustRightInd w:val="0"/>
      <w:snapToGrid w:val="0"/>
      <w:spacing w:line="200" w:lineRule="atLeast"/>
      <w:ind w:left="2806" w:hanging="198"/>
    </w:pPr>
    <w:rPr>
      <w:rFonts w:ascii="Palatino Linotype" w:eastAsia="Times New Roman" w:hAnsi="Palatino Linotype" w:cs="Times New Roman"/>
      <w:color w:val="000000"/>
      <w:sz w:val="16"/>
      <w:szCs w:val="18"/>
      <w:lang w:val="en-US" w:eastAsia="de-DE" w:bidi="en-US"/>
    </w:rPr>
  </w:style>
  <w:style w:type="paragraph" w:customStyle="1" w:styleId="MDPI41tablecaption">
    <w:name w:val="MDPI_4.1_table_caption"/>
    <w:qFormat/>
    <w:rsid w:val="00D21A19"/>
    <w:pPr>
      <w:adjustRightInd w:val="0"/>
      <w:snapToGrid w:val="0"/>
      <w:spacing w:before="240" w:after="120" w:line="228" w:lineRule="auto"/>
      <w:ind w:left="2608"/>
    </w:pPr>
    <w:rPr>
      <w:rFonts w:ascii="Palatino Linotype" w:eastAsia="Times New Roman" w:hAnsi="Palatino Linotype" w:cs="Cordia New"/>
      <w:color w:val="000000"/>
      <w:sz w:val="18"/>
      <w:szCs w:val="22"/>
      <w:lang w:val="en-US" w:eastAsia="de-DE" w:bidi="en-US"/>
    </w:rPr>
  </w:style>
  <w:style w:type="table" w:styleId="GridTable1Light">
    <w:name w:val="Grid Table 1 Light"/>
    <w:basedOn w:val="TableNormal"/>
    <w:uiPriority w:val="46"/>
    <w:rsid w:val="00D21A19"/>
    <w:rPr>
      <w:lang w:val="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Footer">
    <w:name w:val="footer"/>
    <w:basedOn w:val="Normal"/>
    <w:link w:val="FooterChar"/>
    <w:uiPriority w:val="99"/>
    <w:unhideWhenUsed/>
    <w:rsid w:val="0088638C"/>
    <w:pPr>
      <w:tabs>
        <w:tab w:val="center" w:pos="4513"/>
        <w:tab w:val="right" w:pos="9026"/>
      </w:tabs>
    </w:pPr>
  </w:style>
  <w:style w:type="character" w:customStyle="1" w:styleId="FooterChar">
    <w:name w:val="Footer Char"/>
    <w:basedOn w:val="DefaultParagraphFont"/>
    <w:link w:val="Footer"/>
    <w:uiPriority w:val="99"/>
    <w:rsid w:val="0088638C"/>
  </w:style>
  <w:style w:type="character" w:styleId="PageNumber">
    <w:name w:val="page number"/>
    <w:basedOn w:val="DefaultParagraphFont"/>
    <w:uiPriority w:val="99"/>
    <w:semiHidden/>
    <w:unhideWhenUsed/>
    <w:rsid w:val="0088638C"/>
  </w:style>
  <w:style w:type="character" w:styleId="LineNumber">
    <w:name w:val="line number"/>
    <w:basedOn w:val="DefaultParagraphFont"/>
    <w:uiPriority w:val="99"/>
    <w:semiHidden/>
    <w:unhideWhenUsed/>
    <w:rsid w:val="00260BC6"/>
  </w:style>
  <w:style w:type="paragraph" w:styleId="Header">
    <w:name w:val="header"/>
    <w:basedOn w:val="Normal"/>
    <w:link w:val="HeaderChar"/>
    <w:uiPriority w:val="99"/>
    <w:unhideWhenUsed/>
    <w:rsid w:val="00C90312"/>
    <w:pPr>
      <w:tabs>
        <w:tab w:val="center" w:pos="4513"/>
        <w:tab w:val="right" w:pos="9026"/>
      </w:tabs>
    </w:pPr>
  </w:style>
  <w:style w:type="character" w:customStyle="1" w:styleId="HeaderChar">
    <w:name w:val="Header Char"/>
    <w:basedOn w:val="DefaultParagraphFont"/>
    <w:link w:val="Header"/>
    <w:uiPriority w:val="99"/>
    <w:rsid w:val="00C90312"/>
  </w:style>
  <w:style w:type="paragraph" w:styleId="Revision">
    <w:name w:val="Revision"/>
    <w:hidden/>
    <w:uiPriority w:val="99"/>
    <w:semiHidden/>
    <w:rsid w:val="004D12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ousai\Downloads\220407%20Supplementary_Review%20mitochondria%20and%20cancer_JLP_MAH-LSA_MAH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FAC42D-EF43-4BFF-A183-076690076C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C:\Users\lousai\Downloads\220407 Supplementary_Review mitochondria and cancer_JLP_MAH-LSA_MAH2.dotx</Template>
  <TotalTime>1</TotalTime>
  <Pages>10</Pages>
  <Words>5059</Words>
  <Characters>28839</Characters>
  <Application>Microsoft Office Word</Application>
  <DocSecurity>0</DocSecurity>
  <Lines>240</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Lourdes Sainero Alcolado</dc:creator>
  <cp:keywords/>
  <dc:description/>
  <cp:lastModifiedBy>Marie Arsenian-Henriksson</cp:lastModifiedBy>
  <cp:revision>2</cp:revision>
  <dcterms:created xsi:type="dcterms:W3CDTF">2022-06-10T11:47:00Z</dcterms:created>
  <dcterms:modified xsi:type="dcterms:W3CDTF">2022-06-10T11:47:00Z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http://www.zotero.org/styles/american-sociological-association</vt:lpwstr>
  </property>
  <property fmtid="{D5CDD505-2E9C-101B-9397-08002B2CF9AE}" pid="3" name="Mendeley Recent Style Name 0_1">
    <vt:lpwstr>American Sociological Association</vt:lpwstr>
  </property>
  <property fmtid="{D5CDD505-2E9C-101B-9397-08002B2CF9AE}" pid="4" name="Mendeley Recent Style Id 1_1">
    <vt:lpwstr>http://www.zotero.org/styles/cancers</vt:lpwstr>
  </property>
  <property fmtid="{D5CDD505-2E9C-101B-9397-08002B2CF9AE}" pid="5" name="Mendeley Recent Style Name 1_1">
    <vt:lpwstr>Cancers</vt:lpwstr>
  </property>
  <property fmtid="{D5CDD505-2E9C-101B-9397-08002B2CF9AE}" pid="6" name="Mendeley Recent Style Id 2_1">
    <vt:lpwstr>http://www.zotero.org/styles/cell-death-and-differentiation</vt:lpwstr>
  </property>
  <property fmtid="{D5CDD505-2E9C-101B-9397-08002B2CF9AE}" pid="7" name="Mendeley Recent Style Name 2_1">
    <vt:lpwstr>Cell Death &amp; Differentiation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http://www.zotero.org/styles/harvard1</vt:lpwstr>
  </property>
  <property fmtid="{D5CDD505-2E9C-101B-9397-08002B2CF9AE}" pid="11" name="Mendeley Recent Style Name 4_1">
    <vt:lpwstr>Harvard reference format 1 (deprecated)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http://www.zotero.org/styles/nature</vt:lpwstr>
  </property>
  <property fmtid="{D5CDD505-2E9C-101B-9397-08002B2CF9AE}" pid="15" name="Mendeley Recent Style Name 6_1">
    <vt:lpwstr>Nature</vt:lpwstr>
  </property>
  <property fmtid="{D5CDD505-2E9C-101B-9397-08002B2CF9AE}" pid="16" name="Mendeley Recent Style Id 7_1">
    <vt:lpwstr>http://www.zotero.org/styles/pnas</vt:lpwstr>
  </property>
  <property fmtid="{D5CDD505-2E9C-101B-9397-08002B2CF9AE}" pid="17" name="Mendeley Recent Style Name 7_1">
    <vt:lpwstr>Proceedings of the National Academy of Sciences of the United States of America</vt:lpwstr>
  </property>
  <property fmtid="{D5CDD505-2E9C-101B-9397-08002B2CF9AE}" pid="18" name="Mendeley Recent Style Id 8_1">
    <vt:lpwstr>http://www.zotero.org/styles/vancouver</vt:lpwstr>
  </property>
  <property fmtid="{D5CDD505-2E9C-101B-9397-08002B2CF9AE}" pid="19" name="Mendeley Recent Style Name 8_1">
    <vt:lpwstr>Vancouver</vt:lpwstr>
  </property>
  <property fmtid="{D5CDD505-2E9C-101B-9397-08002B2CF9AE}" pid="20" name="Mendeley Recent Style Id 9_1">
    <vt:lpwstr>http://www.zotero.org/styles/vancouver-brackets</vt:lpwstr>
  </property>
  <property fmtid="{D5CDD505-2E9C-101B-9397-08002B2CF9AE}" pid="21" name="Mendeley Recent Style Name 9_1">
    <vt:lpwstr>Vancouver (brackets)</vt:lpwstr>
  </property>
  <property fmtid="{D5CDD505-2E9C-101B-9397-08002B2CF9AE}" pid="22" name="Mendeley Document_1">
    <vt:lpwstr>True</vt:lpwstr>
  </property>
  <property fmtid="{D5CDD505-2E9C-101B-9397-08002B2CF9AE}" pid="23" name="Mendeley Unique User Id_1">
    <vt:lpwstr>66ca1ea7-3af2-3399-91bb-34aefb8ac4d6</vt:lpwstr>
  </property>
  <property fmtid="{D5CDD505-2E9C-101B-9397-08002B2CF9AE}" pid="24" name="Mendeley Citation Style_1">
    <vt:lpwstr>http://www.zotero.org/styles/vancouver-brackets</vt:lpwstr>
  </property>
</Properties>
</file>