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Style w:val="10"/>
          <w:rFonts w:ascii="Times New Roman" w:hAnsi="Times New Roman" w:cs="Times New Roman"/>
          <w:sz w:val="24"/>
        </w:rPr>
      </w:pPr>
      <w:bookmarkStart w:id="0" w:name="OLE_LINK82"/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Supplemental 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Fig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>. S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 xml:space="preserve">1. 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>Retinal m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orphological changes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 after </w:t>
      </w:r>
      <w:r>
        <w:rPr>
          <w:rStyle w:val="7"/>
          <w:rFonts w:hint="eastAsia" w:ascii="Times New Roman" w:hAnsi="Times New Roman"/>
          <w:color w:val="0E101A"/>
          <w:sz w:val="24"/>
        </w:rPr>
        <w:t>p</w:t>
      </w:r>
      <w:r>
        <w:rPr>
          <w:rStyle w:val="7"/>
          <w:rFonts w:ascii="Times New Roman" w:hAnsi="Times New Roman" w:cs="Times New Roman"/>
          <w:color w:val="0E101A"/>
          <w:sz w:val="24"/>
        </w:rPr>
        <w:t>athologically high intraocular pressure</w:t>
      </w:r>
      <w:r>
        <w:rPr>
          <w:rStyle w:val="10"/>
          <w:rFonts w:ascii="Times New Roman" w:hAnsi="Times New Roman" w:cs="Times New Roman"/>
          <w:b/>
          <w:bCs/>
          <w:color w:val="000000" w:themeColor="text1"/>
          <w:sz w:val="24"/>
          <w:szCs w:val="22"/>
        </w:rPr>
        <w:t xml:space="preserve"> (</w:t>
      </w:r>
      <w:r>
        <w:rPr>
          <w:rStyle w:val="10"/>
          <w:rFonts w:hint="eastAsia" w:ascii="Times New Roman" w:hAnsi="Times New Roman" w:cs="Times New Roman"/>
          <w:b/>
          <w:bCs/>
          <w:color w:val="000000" w:themeColor="text1"/>
          <w:sz w:val="24"/>
          <w:szCs w:val="22"/>
        </w:rPr>
        <w:t>ph-IOP</w:t>
      </w:r>
      <w:r>
        <w:rPr>
          <w:rStyle w:val="10"/>
          <w:rFonts w:ascii="Times New Roman" w:hAnsi="Times New Roman" w:cs="Times New Roman"/>
          <w:b/>
          <w:bCs/>
          <w:color w:val="000000" w:themeColor="text1"/>
          <w:sz w:val="24"/>
          <w:szCs w:val="22"/>
        </w:rPr>
        <w:t>)</w:t>
      </w:r>
      <w:r>
        <w:rPr>
          <w:rStyle w:val="10"/>
          <w:rFonts w:hint="eastAsia" w:ascii="Times New Roman" w:hAnsi="Times New Roman" w:cs="Times New Roman"/>
          <w:b/>
          <w:bCs/>
          <w:color w:val="000000" w:themeColor="text1"/>
          <w:sz w:val="24"/>
          <w:szCs w:val="22"/>
        </w:rPr>
        <w:t xml:space="preserve"> injury</w:t>
      </w:r>
      <w:r>
        <w:rPr>
          <w:rFonts w:ascii="Times New Roman" w:hAnsi="Times New Roman" w:cs="Times New Roman"/>
          <w:sz w:val="24"/>
          <w:szCs w:val="20"/>
        </w:rPr>
        <w:t xml:space="preserve">. </w:t>
      </w:r>
      <w:r>
        <w:rPr>
          <w:rFonts w:hint="eastAsia" w:ascii="Times New Roman" w:hAnsi="Times New Roman" w:cs="Times New Roman"/>
          <w:b/>
          <w:sz w:val="24"/>
          <w:szCs w:val="20"/>
        </w:rPr>
        <w:t>a</w:t>
      </w:r>
      <w:r>
        <w:rPr>
          <w:rFonts w:ascii="Times New Roman" w:hAnsi="Times New Roman" w:cs="Times New Roman"/>
          <w:sz w:val="24"/>
          <w:szCs w:val="20"/>
        </w:rPr>
        <w:t xml:space="preserve"> Diagram of </w:t>
      </w:r>
      <w:r>
        <w:rPr>
          <w:rFonts w:hint="eastAsia" w:ascii="Times New Roman" w:hAnsi="Times New Roman" w:cs="Times New Roman"/>
          <w:sz w:val="24"/>
          <w:szCs w:val="20"/>
        </w:rPr>
        <w:t>r</w:t>
      </w:r>
      <w:r>
        <w:rPr>
          <w:rFonts w:ascii="Times New Roman" w:hAnsi="Times New Roman" w:cs="Times New Roman"/>
          <w:sz w:val="24"/>
          <w:szCs w:val="20"/>
        </w:rPr>
        <w:t xml:space="preserve">etinal thickness measurement. </w:t>
      </w:r>
      <w:r>
        <w:rPr>
          <w:rFonts w:hint="eastAsia" w:ascii="Times New Roman" w:hAnsi="Times New Roman" w:cs="Times New Roman"/>
          <w:b/>
          <w:sz w:val="24"/>
          <w:szCs w:val="20"/>
        </w:rPr>
        <w:t>b</w:t>
      </w:r>
      <w:r>
        <w:rPr>
          <w:rFonts w:hint="eastAsia" w:ascii="Times New Roman" w:hAnsi="Times New Roman" w:cs="Times New Roman"/>
          <w:sz w:val="24"/>
          <w:szCs w:val="20"/>
        </w:rPr>
        <w:t>-</w:t>
      </w:r>
      <w:r>
        <w:rPr>
          <w:rFonts w:hint="eastAsia" w:ascii="Times New Roman" w:hAnsi="Times New Roman" w:cs="Times New Roman"/>
          <w:b/>
          <w:sz w:val="24"/>
          <w:szCs w:val="20"/>
        </w:rPr>
        <w:t>c</w:t>
      </w:r>
      <w:r>
        <w:rPr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Retina thickness and </w:t>
      </w:r>
      <w:r>
        <w:rPr>
          <w:rFonts w:hint="eastAsia" w:ascii="Times New Roman" w:hAnsi="Times New Roman" w:cs="Times New Roman"/>
          <w:sz w:val="24"/>
          <w:szCs w:val="20"/>
        </w:rPr>
        <w:t>ganglion cell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hint="eastAsia" w:ascii="Times New Roman" w:hAnsi="Times New Roman" w:cs="Times New Roman"/>
          <w:sz w:val="24"/>
          <w:szCs w:val="20"/>
        </w:rPr>
        <w:t xml:space="preserve">complex (GCC) </w:t>
      </w:r>
      <w:r>
        <w:rPr>
          <w:rFonts w:ascii="Times New Roman" w:hAnsi="Times New Roman" w:cs="Times New Roman"/>
          <w:sz w:val="24"/>
          <w:szCs w:val="20"/>
        </w:rPr>
        <w:t>thickness on 1, 3, 7, 14</w:t>
      </w:r>
      <w:r>
        <w:rPr>
          <w:rFonts w:hint="eastAsia" w:ascii="Times New Roman" w:hAnsi="Times New Roman" w:cs="Times New Roman"/>
          <w:sz w:val="24"/>
          <w:szCs w:val="20"/>
        </w:rPr>
        <w:t>,</w:t>
      </w:r>
      <w:r>
        <w:rPr>
          <w:rFonts w:ascii="Times New Roman" w:hAnsi="Times New Roman" w:cs="Times New Roman"/>
          <w:sz w:val="24"/>
          <w:szCs w:val="20"/>
        </w:rPr>
        <w:t xml:space="preserve"> and 28</w:t>
      </w:r>
      <w:r>
        <w:rPr>
          <w:rFonts w:hint="eastAsia" w:ascii="Times New Roman" w:hAnsi="Times New Roman" w:cs="Times New Roman"/>
          <w:sz w:val="24"/>
          <w:szCs w:val="20"/>
        </w:rPr>
        <w:t xml:space="preserve"> d</w:t>
      </w:r>
      <w:r>
        <w:rPr>
          <w:rFonts w:ascii="Times New Roman" w:hAnsi="Times New Roman" w:cs="Times New Roman"/>
          <w:sz w:val="24"/>
          <w:szCs w:val="20"/>
        </w:rPr>
        <w:t xml:space="preserve"> after </w:t>
      </w:r>
      <w:r>
        <w:rPr>
          <w:rFonts w:hint="eastAsia" w:ascii="Times New Roman" w:hAnsi="Times New Roman" w:cs="Times New Roman"/>
          <w:sz w:val="24"/>
          <w:szCs w:val="20"/>
        </w:rPr>
        <w:t>ph-IOP injury.</w:t>
      </w:r>
      <w:r>
        <w:rPr>
          <w:rFonts w:hint="eastAsia" w:ascii="Times New Roman" w:hAnsi="Times New Roman" w:cs="Times New Roman"/>
          <w:b/>
          <w:sz w:val="24"/>
          <w:szCs w:val="20"/>
        </w:rPr>
        <w:t xml:space="preserve"> d</w:t>
      </w:r>
      <w:r>
        <w:rPr>
          <w:rFonts w:hint="eastAsia"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 xml:space="preserve">Representative photomicrographs of hematoxylin and </w:t>
      </w:r>
      <w:r>
        <w:rPr>
          <w:rFonts w:ascii="Times New Roman" w:hAnsi="Times New Roman" w:cs="Times New Roman"/>
          <w:sz w:val="24"/>
          <w:szCs w:val="20"/>
        </w:rPr>
        <w:t xml:space="preserve">eosin (HE)-stained retinal slices after </w:t>
      </w:r>
      <w:r>
        <w:rPr>
          <w:rFonts w:hint="eastAsia" w:ascii="Times New Roman" w:hAnsi="Times New Roman" w:cs="Times New Roman"/>
          <w:sz w:val="24"/>
          <w:szCs w:val="20"/>
        </w:rPr>
        <w:t>ph-IOP injury</w:t>
      </w:r>
      <w:r>
        <w:rPr>
          <w:rFonts w:ascii="Times New Roman" w:hAnsi="Times New Roman" w:cs="Times New Roman"/>
          <w:sz w:val="24"/>
          <w:szCs w:val="20"/>
        </w:rPr>
        <w:t xml:space="preserve">. </w:t>
      </w:r>
      <w:r>
        <w:rPr>
          <w:rFonts w:ascii="Times New Roman" w:hAnsi="Times New Roman" w:cs="Times New Roman"/>
          <w:b/>
          <w:sz w:val="24"/>
          <w:szCs w:val="20"/>
        </w:rPr>
        <w:t>e</w:t>
      </w:r>
      <w:r>
        <w:rPr>
          <w:rFonts w:ascii="Times New Roman" w:hAnsi="Times New Roman" w:cs="Times New Roman"/>
          <w:sz w:val="24"/>
          <w:szCs w:val="20"/>
        </w:rPr>
        <w:t xml:space="preserve"> The mean thickness of the retina and </w:t>
      </w:r>
      <w:r>
        <w:rPr>
          <w:rFonts w:hint="eastAsia" w:ascii="Times New Roman" w:hAnsi="Times New Roman" w:cs="Times New Roman"/>
          <w:sz w:val="24"/>
          <w:szCs w:val="20"/>
        </w:rPr>
        <w:t>GCC</w:t>
      </w:r>
      <w:r>
        <w:rPr>
          <w:rFonts w:ascii="Times New Roman" w:hAnsi="Times New Roman" w:cs="Times New Roman"/>
          <w:sz w:val="24"/>
          <w:szCs w:val="20"/>
        </w:rPr>
        <w:t xml:space="preserve"> on 1, 3, 7, 14, and 28 d after </w:t>
      </w:r>
      <w:r>
        <w:rPr>
          <w:rFonts w:hint="eastAsia" w:ascii="Times New Roman" w:hAnsi="Times New Roman" w:cs="Times New Roman"/>
          <w:sz w:val="24"/>
          <w:szCs w:val="20"/>
        </w:rPr>
        <w:t>ph-IOP</w:t>
      </w:r>
      <w:r>
        <w:rPr>
          <w:rFonts w:ascii="Times New Roman" w:hAnsi="Times New Roman" w:cs="Times New Roman"/>
          <w:sz w:val="24"/>
          <w:szCs w:val="20"/>
        </w:rPr>
        <w:t xml:space="preserve"> modeling.</w:t>
      </w:r>
      <w:r>
        <w:rPr>
          <w:rStyle w:val="10"/>
          <w:rFonts w:ascii="Times New Roman" w:hAnsi="Times New Roman" w:cs="Times New Roman"/>
          <w:sz w:val="24"/>
        </w:rPr>
        <w:t xml:space="preserve"> Data are shown as the mean ± SD; **p &lt; 0.01 (compared with the control group</w:t>
      </w:r>
      <w:r>
        <w:rPr>
          <w:rFonts w:ascii="Times New Roman" w:hAnsi="Times New Roman" w:cs="Times New Roman"/>
          <w:sz w:val="24"/>
          <w:szCs w:val="20"/>
        </w:rPr>
        <w:t xml:space="preserve"> using one</w:t>
      </w:r>
      <w:r>
        <w:rPr>
          <w:rFonts w:ascii="Times New Roman" w:hAnsi="Times New Roman" w:cs="Times New Roman"/>
          <w:sz w:val="24"/>
          <w:szCs w:val="20"/>
        </w:rPr>
        <w:noBreakHyphen/>
      </w:r>
      <w:r>
        <w:rPr>
          <w:rFonts w:ascii="Times New Roman" w:hAnsi="Times New Roman" w:cs="Times New Roman"/>
          <w:sz w:val="24"/>
          <w:szCs w:val="20"/>
        </w:rPr>
        <w:t>way analysis of variance</w:t>
      </w:r>
      <w:r>
        <w:rPr>
          <w:rStyle w:val="10"/>
          <w:rFonts w:ascii="Times New Roman" w:hAnsi="Times New Roman" w:cs="Times New Roman"/>
          <w:sz w:val="24"/>
        </w:rPr>
        <w:t>). Bar = 50</w:t>
      </w:r>
      <w:r>
        <w:rPr>
          <w:rStyle w:val="10"/>
          <w:rFonts w:hint="eastAsia" w:ascii="Times New Roman" w:hAnsi="Times New Roman" w:cs="Times New Roman"/>
          <w:sz w:val="24"/>
        </w:rPr>
        <w:t>0</w:t>
      </w:r>
      <w:r>
        <w:rPr>
          <w:rStyle w:val="10"/>
          <w:rFonts w:ascii="Times New Roman" w:hAnsi="Times New Roman" w:cs="Times New Roman"/>
          <w:sz w:val="24"/>
        </w:rPr>
        <w:t xml:space="preserve"> μm</w:t>
      </w:r>
      <w:r>
        <w:rPr>
          <w:rStyle w:val="10"/>
          <w:rFonts w:hint="eastAsia" w:ascii="Times New Roman" w:hAnsi="Times New Roman" w:cs="Times New Roman"/>
          <w:sz w:val="24"/>
        </w:rPr>
        <w:t xml:space="preserve"> (a) and 50 </w:t>
      </w:r>
      <w:r>
        <w:rPr>
          <w:rStyle w:val="10"/>
          <w:rFonts w:ascii="Times New Roman" w:hAnsi="Times New Roman" w:cs="Times New Roman"/>
          <w:sz w:val="24"/>
        </w:rPr>
        <w:t>μm</w:t>
      </w:r>
      <w:r>
        <w:rPr>
          <w:rStyle w:val="10"/>
          <w:rFonts w:hint="eastAsia" w:ascii="Times New Roman" w:hAnsi="Times New Roman" w:cs="Times New Roman"/>
          <w:sz w:val="24"/>
        </w:rPr>
        <w:t xml:space="preserve"> (d)</w:t>
      </w:r>
      <w:r>
        <w:rPr>
          <w:rStyle w:val="10"/>
          <w:rFonts w:ascii="Times New Roman" w:hAnsi="Times New Roman" w:cs="Times New Roman"/>
          <w:sz w:val="24"/>
        </w:rPr>
        <w:t>.</w:t>
      </w:r>
    </w:p>
    <w:p>
      <w:pPr>
        <w:spacing w:line="480" w:lineRule="auto"/>
        <w:rPr>
          <w:rStyle w:val="10"/>
          <w:rFonts w:ascii="Times New Roman" w:hAnsi="Times New Roman" w:cs="Times New Roman"/>
          <w:sz w:val="24"/>
        </w:rPr>
      </w:pPr>
    </w:p>
    <w:p>
      <w:pPr>
        <w:spacing w:line="480" w:lineRule="auto"/>
        <w:rPr>
          <w:rStyle w:val="10"/>
          <w:rFonts w:ascii="Times New Roman" w:hAnsi="Times New Roman" w:cs="Times New Roman"/>
          <w:b/>
          <w:bCs/>
          <w:color w:val="0E101A"/>
          <w:sz w:val="24"/>
        </w:rPr>
      </w:pP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Supplemental 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Fig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>. S2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.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 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The survival rate of R28 cells in the control group and oxygen-glucose deprivation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>/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 xml:space="preserve">reoxygenation 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(OGD/R) 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groups at 0, 2, 4, 8, and 12 h after modeling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>. a</w:t>
      </w:r>
      <w:r>
        <w:rPr>
          <w:rFonts w:hint="eastAsia"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 xml:space="preserve">Representative photomicrographs of </w:t>
      </w:r>
      <w:r>
        <w:rPr>
          <w:rFonts w:hint="eastAsia" w:ascii="Times New Roman" w:hAnsi="Times New Roman"/>
          <w:sz w:val="24"/>
          <w:szCs w:val="20"/>
        </w:rPr>
        <w:t xml:space="preserve">Hoechst </w:t>
      </w:r>
      <w:r>
        <w:rPr>
          <w:rFonts w:ascii="Times New Roman" w:hAnsi="Times New Roman"/>
          <w:sz w:val="24"/>
          <w:szCs w:val="20"/>
        </w:rPr>
        <w:t>and</w:t>
      </w:r>
      <w:r>
        <w:rPr>
          <w:rFonts w:hint="eastAsia" w:ascii="Times New Roman" w:hAnsi="Times New Roman"/>
          <w:sz w:val="24"/>
          <w:szCs w:val="20"/>
        </w:rPr>
        <w:t xml:space="preserve"> </w:t>
      </w:r>
      <w:r>
        <w:rPr>
          <w:rStyle w:val="10"/>
          <w:rFonts w:ascii="Times New Roman" w:hAnsi="Times New Roman"/>
          <w:sz w:val="24"/>
        </w:rPr>
        <w:t xml:space="preserve">Propidium iodide </w:t>
      </w:r>
      <w:r>
        <w:rPr>
          <w:rStyle w:val="10"/>
          <w:rFonts w:hint="eastAsia" w:ascii="Times New Roman" w:hAnsi="Times New Roman"/>
          <w:sz w:val="24"/>
        </w:rPr>
        <w:t>(PI)</w:t>
      </w:r>
      <w:r>
        <w:rPr>
          <w:rFonts w:ascii="Times New Roman" w:hAnsi="Times New Roman" w:cs="Times New Roman"/>
          <w:sz w:val="24"/>
          <w:szCs w:val="20"/>
        </w:rPr>
        <w:t xml:space="preserve">-stained </w:t>
      </w:r>
      <w:r>
        <w:rPr>
          <w:rFonts w:hint="eastAsia" w:ascii="Times New Roman" w:hAnsi="Times New Roman" w:cs="Times New Roman"/>
          <w:sz w:val="24"/>
          <w:szCs w:val="20"/>
        </w:rPr>
        <w:t>R28 cells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hint="eastAsia" w:ascii="Times New Roman" w:hAnsi="Times New Roman" w:cs="Times New Roman"/>
          <w:sz w:val="24"/>
          <w:szCs w:val="20"/>
        </w:rPr>
        <w:t>at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hint="eastAsia" w:ascii="Times New Roman" w:hAnsi="Times New Roman" w:cs="Times New Roman"/>
          <w:sz w:val="24"/>
          <w:szCs w:val="20"/>
        </w:rPr>
        <w:t>0</w:t>
      </w:r>
      <w:r>
        <w:rPr>
          <w:rFonts w:ascii="Times New Roman" w:hAnsi="Times New Roman" w:cs="Times New Roman"/>
          <w:sz w:val="24"/>
          <w:szCs w:val="20"/>
        </w:rPr>
        <w:t xml:space="preserve">, </w:t>
      </w:r>
      <w:r>
        <w:rPr>
          <w:rFonts w:hint="eastAsia" w:ascii="Times New Roman" w:hAnsi="Times New Roman" w:cs="Times New Roman"/>
          <w:sz w:val="24"/>
          <w:szCs w:val="20"/>
        </w:rPr>
        <w:t>2</w:t>
      </w:r>
      <w:r>
        <w:rPr>
          <w:rFonts w:ascii="Times New Roman" w:hAnsi="Times New Roman" w:cs="Times New Roman"/>
          <w:sz w:val="24"/>
          <w:szCs w:val="20"/>
        </w:rPr>
        <w:t xml:space="preserve">, </w:t>
      </w:r>
      <w:r>
        <w:rPr>
          <w:rFonts w:hint="eastAsia" w:ascii="Times New Roman" w:hAnsi="Times New Roman" w:cs="Times New Roman"/>
          <w:sz w:val="24"/>
          <w:szCs w:val="20"/>
        </w:rPr>
        <w:t>4</w:t>
      </w:r>
      <w:r>
        <w:rPr>
          <w:rFonts w:ascii="Times New Roman" w:hAnsi="Times New Roman" w:cs="Times New Roman"/>
          <w:sz w:val="24"/>
          <w:szCs w:val="20"/>
        </w:rPr>
        <w:t xml:space="preserve">, </w:t>
      </w:r>
      <w:r>
        <w:rPr>
          <w:rFonts w:hint="eastAsia" w:ascii="Times New Roman" w:hAnsi="Times New Roman" w:cs="Times New Roman"/>
          <w:sz w:val="24"/>
          <w:szCs w:val="20"/>
        </w:rPr>
        <w:t>8</w:t>
      </w:r>
      <w:r>
        <w:rPr>
          <w:rFonts w:ascii="Times New Roman" w:hAnsi="Times New Roman" w:cs="Times New Roman"/>
          <w:sz w:val="24"/>
          <w:szCs w:val="20"/>
        </w:rPr>
        <w:t xml:space="preserve">, and </w:t>
      </w:r>
      <w:r>
        <w:rPr>
          <w:rFonts w:hint="eastAsia" w:ascii="Times New Roman" w:hAnsi="Times New Roman" w:cs="Times New Roman"/>
          <w:sz w:val="24"/>
          <w:szCs w:val="20"/>
        </w:rPr>
        <w:t>12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hint="eastAsia" w:ascii="Times New Roman" w:hAnsi="Times New Roman" w:cs="Times New Roman"/>
          <w:sz w:val="24"/>
          <w:szCs w:val="20"/>
        </w:rPr>
        <w:t>h</w:t>
      </w:r>
      <w:r>
        <w:rPr>
          <w:rFonts w:ascii="Times New Roman" w:hAnsi="Times New Roman" w:cs="Times New Roman"/>
          <w:sz w:val="24"/>
          <w:szCs w:val="20"/>
        </w:rPr>
        <w:t xml:space="preserve"> after</w:t>
      </w:r>
      <w:r>
        <w:rPr>
          <w:rFonts w:hint="eastAsia" w:ascii="Times New Roman" w:hAnsi="Times New Roman" w:cs="Times New Roman"/>
          <w:sz w:val="24"/>
          <w:szCs w:val="20"/>
        </w:rPr>
        <w:t xml:space="preserve"> OGD/R</w:t>
      </w:r>
      <w:r>
        <w:rPr>
          <w:rFonts w:ascii="Times New Roman" w:hAnsi="Times New Roman" w:cs="Times New Roman"/>
          <w:sz w:val="24"/>
          <w:szCs w:val="20"/>
        </w:rPr>
        <w:t xml:space="preserve"> modeling. </w:t>
      </w:r>
      <w:r>
        <w:rPr>
          <w:rFonts w:ascii="Times New Roman" w:hAnsi="Times New Roman" w:cs="Times New Roman"/>
          <w:b/>
          <w:sz w:val="24"/>
          <w:szCs w:val="20"/>
        </w:rPr>
        <w:t>b</w:t>
      </w:r>
      <w:r>
        <w:rPr>
          <w:rFonts w:ascii="Times New Roman" w:hAnsi="Times New Roman" w:cs="Times New Roman"/>
          <w:sz w:val="24"/>
          <w:szCs w:val="20"/>
        </w:rPr>
        <w:t xml:space="preserve"> The survival rate of </w:t>
      </w:r>
      <w:r>
        <w:rPr>
          <w:rFonts w:ascii="Times New Roman" w:hAnsi="Times New Roman" w:cs="Times New Roman"/>
          <w:bCs/>
          <w:sz w:val="24"/>
          <w:szCs w:val="20"/>
        </w:rPr>
        <w:t>R28 cells in the control group and OGD/R groups at 0, 2, 4, 8, and 12 h after modeling</w:t>
      </w:r>
      <w:r>
        <w:rPr>
          <w:rFonts w:hint="eastAsia" w:ascii="Times New Roman" w:hAnsi="Times New Roman" w:cs="Times New Roman"/>
          <w:bCs/>
          <w:sz w:val="24"/>
          <w:szCs w:val="20"/>
        </w:rPr>
        <w:t xml:space="preserve">. </w:t>
      </w:r>
      <w:r>
        <w:rPr>
          <w:rStyle w:val="10"/>
          <w:rFonts w:ascii="Times New Roman" w:hAnsi="Times New Roman" w:cs="Times New Roman"/>
          <w:sz w:val="24"/>
        </w:rPr>
        <w:t>Data are shown as the mean ± SD; **p &lt; 0.01 (compared with the control group</w:t>
      </w:r>
      <w:r>
        <w:rPr>
          <w:rFonts w:ascii="Times New Roman" w:hAnsi="Times New Roman" w:cs="Times New Roman"/>
          <w:sz w:val="24"/>
          <w:szCs w:val="20"/>
        </w:rPr>
        <w:t xml:space="preserve"> using one-way analysis of variance</w:t>
      </w:r>
      <w:r>
        <w:rPr>
          <w:rStyle w:val="10"/>
          <w:rFonts w:ascii="Times New Roman" w:hAnsi="Times New Roman" w:cs="Times New Roman"/>
          <w:sz w:val="24"/>
        </w:rPr>
        <w:t>). Bar = 50</w:t>
      </w:r>
      <w:r>
        <w:rPr>
          <w:rStyle w:val="10"/>
          <w:rFonts w:hint="eastAsia" w:ascii="Times New Roman" w:hAnsi="Times New Roman" w:cs="Times New Roman"/>
          <w:sz w:val="24"/>
        </w:rPr>
        <w:t>0</w:t>
      </w:r>
      <w:r>
        <w:rPr>
          <w:rStyle w:val="10"/>
          <w:rFonts w:ascii="Times New Roman" w:hAnsi="Times New Roman" w:cs="Times New Roman"/>
          <w:sz w:val="24"/>
        </w:rPr>
        <w:t xml:space="preserve"> μm.</w:t>
      </w:r>
    </w:p>
    <w:p>
      <w:pPr>
        <w:spacing w:line="480" w:lineRule="auto"/>
        <w:rPr>
          <w:rStyle w:val="10"/>
          <w:rFonts w:ascii="Times New Roman" w:hAnsi="Times New Roman" w:cs="Times New Roman"/>
          <w:sz w:val="24"/>
        </w:rPr>
      </w:pPr>
      <w:bookmarkStart w:id="1" w:name="_GoBack"/>
      <w:bookmarkEnd w:id="1"/>
    </w:p>
    <w:bookmarkEnd w:id="0"/>
    <w:p>
      <w:pPr>
        <w:spacing w:line="480" w:lineRule="auto"/>
        <w:rPr>
          <w:rStyle w:val="11"/>
          <w:rFonts w:ascii="Times New Roman" w:hAnsi="Times New Roman"/>
          <w:sz w:val="24"/>
          <w:szCs w:val="20"/>
        </w:rPr>
      </w:pP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Supplemental 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Fig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>. S3</w:t>
      </w:r>
      <w:r>
        <w:rPr>
          <w:rStyle w:val="7"/>
          <w:rFonts w:ascii="Times New Roman" w:hAnsi="Times New Roman" w:cs="Times New Roman"/>
          <w:color w:val="0E101A"/>
          <w:sz w:val="24"/>
          <w:szCs w:val="20"/>
        </w:rPr>
        <w:t>.</w:t>
      </w:r>
      <w:r>
        <w:rPr>
          <w:rStyle w:val="7"/>
          <w:rFonts w:hint="eastAsia" w:ascii="Times New Roman" w:hAnsi="Times New Roman" w:cs="Times New Roman"/>
          <w:color w:val="0E101A"/>
          <w:sz w:val="24"/>
          <w:szCs w:val="20"/>
        </w:rPr>
        <w:t xml:space="preserve"> </w:t>
      </w:r>
      <w:r>
        <w:rPr>
          <w:rFonts w:hint="eastAsia" w:ascii="Times New Roman" w:hAnsi="Times New Roman"/>
          <w:b/>
          <w:sz w:val="24"/>
          <w:szCs w:val="20"/>
        </w:rPr>
        <w:t>P</w:t>
      </w:r>
      <w:r>
        <w:rPr>
          <w:rFonts w:hint="eastAsia" w:ascii="Times New Roman" w:hAnsi="Times New Roman" w:cs="Times New Roman"/>
          <w:b/>
          <w:sz w:val="24"/>
          <w:szCs w:val="20"/>
        </w:rPr>
        <w:t>russian blue</w:t>
      </w:r>
      <w:r>
        <w:rPr>
          <w:rFonts w:ascii="Times New Roman" w:hAnsi="Times New Roman" w:cs="Times New Roman"/>
          <w:b/>
          <w:sz w:val="24"/>
          <w:szCs w:val="20"/>
        </w:rPr>
        <w:t>-sta</w:t>
      </w:r>
      <w:r>
        <w:rPr>
          <w:rFonts w:ascii="Times New Roman" w:hAnsi="Times New Roman"/>
          <w:b/>
          <w:sz w:val="24"/>
          <w:szCs w:val="20"/>
        </w:rPr>
        <w:t xml:space="preserve">ined retinal slices </w:t>
      </w:r>
      <w:r>
        <w:rPr>
          <w:rFonts w:hint="eastAsia" w:ascii="Times New Roman" w:hAnsi="Times New Roman" w:cs="Times New Roman"/>
          <w:b/>
          <w:sz w:val="24"/>
          <w:szCs w:val="20"/>
        </w:rPr>
        <w:t>at</w:t>
      </w:r>
      <w:r>
        <w:rPr>
          <w:rFonts w:ascii="Times New Roman" w:hAnsi="Times New Roman" w:cs="Times New Roman"/>
          <w:b/>
          <w:sz w:val="24"/>
          <w:szCs w:val="20"/>
        </w:rPr>
        <w:t xml:space="preserve"> 1, </w:t>
      </w:r>
      <w:r>
        <w:rPr>
          <w:rFonts w:hint="eastAsia" w:ascii="Times New Roman" w:hAnsi="Times New Roman" w:cs="Times New Roman"/>
          <w:b/>
          <w:sz w:val="24"/>
          <w:szCs w:val="20"/>
        </w:rPr>
        <w:t>8</w:t>
      </w:r>
      <w:r>
        <w:rPr>
          <w:rFonts w:ascii="Times New Roman" w:hAnsi="Times New Roman" w:cs="Times New Roman"/>
          <w:b/>
          <w:sz w:val="24"/>
          <w:szCs w:val="20"/>
        </w:rPr>
        <w:t xml:space="preserve">, </w:t>
      </w:r>
      <w:r>
        <w:rPr>
          <w:rFonts w:hint="eastAsia" w:ascii="Times New Roman" w:hAnsi="Times New Roman" w:cs="Times New Roman"/>
          <w:b/>
          <w:sz w:val="24"/>
          <w:szCs w:val="20"/>
        </w:rPr>
        <w:t>24</w:t>
      </w:r>
      <w:r>
        <w:rPr>
          <w:rFonts w:ascii="Times New Roman" w:hAnsi="Times New Roman" w:cs="Times New Roman"/>
          <w:b/>
          <w:sz w:val="24"/>
          <w:szCs w:val="20"/>
        </w:rPr>
        <w:t>,</w:t>
      </w:r>
      <w:r>
        <w:rPr>
          <w:rFonts w:hint="eastAsia" w:ascii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</w:rPr>
        <w:t xml:space="preserve">and </w:t>
      </w:r>
      <w:r>
        <w:rPr>
          <w:rFonts w:hint="eastAsia" w:ascii="Times New Roman" w:hAnsi="Times New Roman" w:cs="Times New Roman"/>
          <w:b/>
          <w:sz w:val="24"/>
          <w:szCs w:val="20"/>
        </w:rPr>
        <w:t>72 h</w:t>
      </w:r>
      <w:r>
        <w:rPr>
          <w:rFonts w:ascii="Times New Roman" w:hAnsi="Times New Roman" w:cs="Times New Roman"/>
          <w:b/>
          <w:sz w:val="24"/>
          <w:szCs w:val="20"/>
        </w:rPr>
        <w:t xml:space="preserve"> after </w:t>
      </w:r>
      <w:r>
        <w:rPr>
          <w:rStyle w:val="7"/>
          <w:rFonts w:hint="eastAsia" w:ascii="Times New Roman" w:hAnsi="Times New Roman"/>
          <w:color w:val="0E101A"/>
          <w:sz w:val="24"/>
        </w:rPr>
        <w:t>p</w:t>
      </w:r>
      <w:r>
        <w:rPr>
          <w:rStyle w:val="7"/>
          <w:rFonts w:ascii="Times New Roman" w:hAnsi="Times New Roman" w:cs="Times New Roman"/>
          <w:color w:val="0E101A"/>
          <w:sz w:val="24"/>
        </w:rPr>
        <w:t>athologically high intraocular pressure</w:t>
      </w:r>
      <w:r>
        <w:rPr>
          <w:rStyle w:val="10"/>
          <w:rFonts w:ascii="Times New Roman" w:hAnsi="Times New Roman" w:cs="Times New Roman"/>
          <w:b/>
          <w:bCs/>
          <w:color w:val="000000" w:themeColor="text1"/>
          <w:sz w:val="24"/>
          <w:szCs w:val="22"/>
        </w:rPr>
        <w:t xml:space="preserve"> (</w:t>
      </w:r>
      <w:r>
        <w:rPr>
          <w:rStyle w:val="10"/>
          <w:rFonts w:hint="eastAsia" w:ascii="Times New Roman" w:hAnsi="Times New Roman" w:cs="Times New Roman"/>
          <w:b/>
          <w:bCs/>
          <w:color w:val="000000" w:themeColor="text1"/>
          <w:sz w:val="24"/>
          <w:szCs w:val="22"/>
        </w:rPr>
        <w:t>ph-IOP</w:t>
      </w:r>
      <w:r>
        <w:rPr>
          <w:rStyle w:val="10"/>
          <w:rFonts w:ascii="Times New Roman" w:hAnsi="Times New Roman" w:cs="Times New Roman"/>
          <w:b/>
          <w:bCs/>
          <w:color w:val="000000" w:themeColor="text1"/>
          <w:sz w:val="24"/>
          <w:szCs w:val="22"/>
        </w:rPr>
        <w:t>)</w:t>
      </w:r>
      <w:r>
        <w:rPr>
          <w:rStyle w:val="10"/>
          <w:rFonts w:hint="eastAsia" w:ascii="Times New Roman" w:hAnsi="Times New Roman" w:cs="Times New Roman"/>
          <w:b/>
          <w:bCs/>
          <w:color w:val="000000" w:themeColor="text1"/>
          <w:sz w:val="24"/>
          <w:szCs w:val="22"/>
        </w:rPr>
        <w:t xml:space="preserve"> injury</w:t>
      </w:r>
      <w:r>
        <w:rPr>
          <w:rStyle w:val="10"/>
          <w:rFonts w:ascii="Times New Roman" w:hAnsi="Times New Roman" w:cs="Times New Roman"/>
          <w:b/>
          <w:sz w:val="24"/>
        </w:rPr>
        <w:t>.</w:t>
      </w:r>
      <w:r>
        <w:rPr>
          <w:rStyle w:val="10"/>
          <w:rFonts w:ascii="Times New Roman" w:hAnsi="Times New Roman" w:cs="Times New Roman"/>
          <w:sz w:val="24"/>
        </w:rPr>
        <w:t xml:space="preserve"> Bar = </w:t>
      </w:r>
      <w:r>
        <w:rPr>
          <w:rStyle w:val="10"/>
          <w:rFonts w:hint="eastAsia" w:ascii="Times New Roman" w:hAnsi="Times New Roman" w:cs="Times New Roman"/>
          <w:sz w:val="24"/>
        </w:rPr>
        <w:t>10</w:t>
      </w:r>
      <w:r>
        <w:rPr>
          <w:rStyle w:val="10"/>
          <w:rFonts w:ascii="Times New Roman" w:hAnsi="Times New Roman" w:cs="Times New Roman"/>
          <w:sz w:val="24"/>
        </w:rPr>
        <w:t>0 μm.</w:t>
      </w:r>
      <w:r>
        <w:rPr>
          <w:rStyle w:val="11"/>
          <w:rFonts w:ascii="Times New Roman" w:hAnsi="Times New Roman"/>
          <w:sz w:val="24"/>
          <w:szCs w:val="20"/>
        </w:rPr>
        <w:t xml:space="preserve"> </w:t>
      </w:r>
    </w:p>
    <w:sectPr>
      <w:footerReference r:id="rId4" w:type="default"/>
      <w:footerReference r:id="rId5" w:type="even"/>
      <w:pgSz w:w="11906" w:h="16838"/>
      <w:pgMar w:top="1440" w:right="1797" w:bottom="1440" w:left="1797" w:header="709" w:footer="709" w:gutter="0"/>
      <w:lnNumType w:countBy="1" w:restart="continuous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dvOT40514f85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-2141253574"/>
    </w:sdtPr>
    <w:sdtEndPr>
      <w:rPr>
        <w:rStyle w:val="8"/>
      </w:rPr>
    </w:sdtEndPr>
    <w:sdtContent>
      <w:p>
        <w:pPr>
          <w:pStyle w:val="3"/>
          <w:framePr w:wrap="auto" w:vAnchor="text" w:hAnchor="margin" w:xAlign="right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1</w:t>
        </w:r>
        <w:r>
          <w:rPr>
            <w:rStyle w:val="8"/>
          </w:rPr>
          <w:fldChar w:fldCharType="end"/>
        </w:r>
      </w:p>
    </w:sdtContent>
  </w:sdt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1325389562"/>
    </w:sdtPr>
    <w:sdtEndPr>
      <w:rPr>
        <w:rStyle w:val="8"/>
      </w:rPr>
    </w:sdtEndPr>
    <w:sdtContent>
      <w:p>
        <w:pPr>
          <w:pStyle w:val="3"/>
          <w:framePr w:wrap="auto" w:vAnchor="text" w:hAnchor="margin" w:xAlign="right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end"/>
        </w:r>
      </w:p>
    </w:sdtContent>
  </w:sdt>
  <w:p>
    <w:pPr>
      <w:pStyle w:val="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M4NzUzN2EyN2VlZDg2YjQwYjg1M2VmNzhhNGI2MjgifQ=="/>
  </w:docVars>
  <w:rsids>
    <w:rsidRoot w:val="00CA6B79"/>
    <w:rsid w:val="000125E3"/>
    <w:rsid w:val="004953E1"/>
    <w:rsid w:val="005115D2"/>
    <w:rsid w:val="007C3494"/>
    <w:rsid w:val="00A540B1"/>
    <w:rsid w:val="00AC3615"/>
    <w:rsid w:val="00CA6B79"/>
    <w:rsid w:val="446F2CE0"/>
    <w:rsid w:val="61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page number"/>
    <w:basedOn w:val="6"/>
    <w:semiHidden/>
    <w:unhideWhenUsed/>
    <w:uiPriority w:val="99"/>
  </w:style>
  <w:style w:type="character" w:styleId="9">
    <w:name w:val="line number"/>
    <w:basedOn w:val="6"/>
    <w:uiPriority w:val="0"/>
  </w:style>
  <w:style w:type="character" w:customStyle="1" w:styleId="10">
    <w:name w:val="fontstyle01"/>
    <w:qFormat/>
    <w:uiPriority w:val="0"/>
    <w:rPr>
      <w:rFonts w:hint="default" w:ascii="AdvOT40514f85" w:hAnsi="AdvOT40514f85"/>
      <w:color w:val="000000"/>
      <w:sz w:val="20"/>
      <w:szCs w:val="20"/>
    </w:rPr>
  </w:style>
  <w:style w:type="character" w:customStyle="1" w:styleId="11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2">
    <w:name w:val="页眉 Char"/>
    <w:basedOn w:val="6"/>
    <w:link w:val="4"/>
    <w:uiPriority w:val="0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1095</Characters>
  <Lines>9</Lines>
  <Paragraphs>2</Paragraphs>
  <TotalTime>7</TotalTime>
  <ScaleCrop>false</ScaleCrop>
  <LinksUpToDate>false</LinksUpToDate>
  <CharactersWithSpaces>1319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2021-04-28T17:34:00Z</dcterms:created>
  <dc:creator>Administrator</dc:creator>
  <cp:lastModifiedBy>YaoFei</cp:lastModifiedBy>
  <dcterms:modified xsi:type="dcterms:W3CDTF">2022-05-30T16:37:01Z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A519130842F64E9EBDCEA6C18C75C84B</vt:lpwstr>
  </property>
</Properties>
</file>