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B3E" w:rsidRPr="001325A6" w:rsidRDefault="000C4B3E" w:rsidP="000C4B3E">
      <w:pPr>
        <w:spacing w:line="480" w:lineRule="auto"/>
        <w:ind w:right="283"/>
        <w:rPr>
          <w:rFonts w:ascii="Arial" w:hAnsi="Arial" w:cs="Arial"/>
          <w:b/>
          <w:sz w:val="26"/>
          <w:szCs w:val="26"/>
        </w:rPr>
      </w:pPr>
      <w:r w:rsidRPr="001325A6">
        <w:rPr>
          <w:rFonts w:ascii="Arial" w:hAnsi="Arial" w:cs="Arial"/>
          <w:b/>
          <w:sz w:val="26"/>
          <w:szCs w:val="26"/>
        </w:rPr>
        <w:t>Supplementary materials</w:t>
      </w:r>
    </w:p>
    <w:p w:rsidR="000C4B3E" w:rsidRPr="001325A6" w:rsidRDefault="000C4B3E" w:rsidP="000C4B3E">
      <w:pPr>
        <w:shd w:val="clear" w:color="auto" w:fill="FFFFFF"/>
        <w:spacing w:line="480" w:lineRule="auto"/>
        <w:ind w:right="283"/>
        <w:rPr>
          <w:rFonts w:ascii="Arial" w:hAnsi="Arial" w:cs="Arial"/>
          <w:b/>
          <w:sz w:val="26"/>
          <w:szCs w:val="26"/>
        </w:rPr>
      </w:pPr>
    </w:p>
    <w:p w:rsidR="000C4B3E" w:rsidRPr="001325A6" w:rsidRDefault="000C4B3E" w:rsidP="000C4B3E">
      <w:pPr>
        <w:spacing w:line="480" w:lineRule="auto"/>
        <w:ind w:right="283"/>
        <w:rPr>
          <w:rFonts w:ascii="Arial" w:hAnsi="Arial" w:cs="Arial"/>
          <w:b/>
        </w:rPr>
      </w:pPr>
      <w:r w:rsidRPr="001325A6">
        <w:rPr>
          <w:rFonts w:ascii="Arial" w:hAnsi="Arial" w:cs="Arial"/>
          <w:b/>
          <w:lang w:val="en-GB"/>
        </w:rPr>
        <w:t xml:space="preserve">Supplementary Figure 1. TGF-β2 and p-c-MET antibody specificity studies. </w:t>
      </w:r>
      <w:r w:rsidRPr="001325A6">
        <w:rPr>
          <w:rFonts w:ascii="Arial" w:hAnsi="Arial" w:cs="Arial"/>
          <w:lang w:val="en-GB"/>
        </w:rPr>
        <w:t>P</w:t>
      </w:r>
      <w:r w:rsidRPr="001325A6">
        <w:rPr>
          <w:rFonts w:ascii="Arial" w:hAnsi="Arial" w:cs="Arial"/>
        </w:rPr>
        <w:t xml:space="preserve">araffin-embedded spheres were sectioned and stained for </w:t>
      </w:r>
      <w:r w:rsidRPr="001325A6">
        <w:rPr>
          <w:rFonts w:ascii="Arial" w:hAnsi="Arial" w:cs="Arial"/>
          <w:lang w:val="en-GB"/>
        </w:rPr>
        <w:t>TGF-β2</w:t>
      </w:r>
      <w:r w:rsidRPr="001325A6">
        <w:rPr>
          <w:rFonts w:ascii="Arial" w:hAnsi="Arial" w:cs="Arial"/>
          <w:vertAlign w:val="subscript"/>
          <w:lang w:val="en-GB"/>
        </w:rPr>
        <w:t xml:space="preserve"> </w:t>
      </w:r>
      <w:r w:rsidRPr="001325A6">
        <w:rPr>
          <w:rFonts w:ascii="Arial" w:hAnsi="Arial" w:cs="Arial"/>
          <w:lang w:val="en-GB"/>
        </w:rPr>
        <w:t>(AP) (</w:t>
      </w:r>
      <w:r w:rsidRPr="001325A6">
        <w:rPr>
          <w:rFonts w:ascii="Arial" w:hAnsi="Arial" w:cs="Arial"/>
        </w:rPr>
        <w:t xml:space="preserve">A) or </w:t>
      </w:r>
      <w:r w:rsidRPr="001325A6">
        <w:rPr>
          <w:rFonts w:ascii="Arial" w:hAnsi="Arial" w:cs="Arial"/>
          <w:lang w:val="en-GB"/>
        </w:rPr>
        <w:t xml:space="preserve">p-c-MET (HRP) (B), using 0.5 µg/ml primary antibody or corresponding isotype controls (mouse and rabbit). </w:t>
      </w:r>
      <w:r w:rsidRPr="001325A6">
        <w:rPr>
          <w:rFonts w:ascii="Arial" w:eastAsia="TimesNewRomanPSMT" w:hAnsi="Arial" w:cs="Arial"/>
        </w:rPr>
        <w:t>N</w:t>
      </w:r>
      <w:r w:rsidRPr="001325A6">
        <w:rPr>
          <w:rFonts w:ascii="Arial" w:hAnsi="Arial" w:cs="Arial"/>
        </w:rPr>
        <w:t>uclei</w:t>
      </w:r>
      <w:r w:rsidRPr="001325A6">
        <w:rPr>
          <w:rFonts w:ascii="Arial" w:hAnsi="Arial" w:cs="Arial"/>
          <w:lang w:val="en"/>
        </w:rPr>
        <w:t xml:space="preserve"> were counter-stained with hematoxylin (blue) (</w:t>
      </w:r>
      <w:r w:rsidRPr="001325A6">
        <w:rPr>
          <w:rStyle w:val="st1"/>
          <w:rFonts w:ascii="Arial" w:hAnsi="Arial" w:cs="Arial"/>
        </w:rPr>
        <w:t xml:space="preserve">scale </w:t>
      </w:r>
      <w:r w:rsidRPr="001325A6">
        <w:rPr>
          <w:rStyle w:val="Emphasis"/>
          <w:rFonts w:ascii="Arial" w:hAnsi="Arial" w:cs="Arial"/>
        </w:rPr>
        <w:t>bars: 50 μm)</w:t>
      </w:r>
      <w:r w:rsidRPr="001325A6">
        <w:rPr>
          <w:rStyle w:val="st1"/>
          <w:rFonts w:ascii="Arial" w:hAnsi="Arial" w:cs="Arial"/>
        </w:rPr>
        <w:t>.</w:t>
      </w:r>
    </w:p>
    <w:p w:rsidR="000C4B3E" w:rsidRPr="001325A6" w:rsidRDefault="000C4B3E" w:rsidP="000C4B3E">
      <w:pPr>
        <w:shd w:val="clear" w:color="auto" w:fill="FFFFFF"/>
        <w:spacing w:line="480" w:lineRule="auto"/>
        <w:ind w:right="283"/>
        <w:rPr>
          <w:rFonts w:ascii="Arial" w:hAnsi="Arial" w:cs="Arial"/>
        </w:rPr>
      </w:pPr>
    </w:p>
    <w:p w:rsidR="000C4B3E" w:rsidRPr="001325A6" w:rsidRDefault="000C4B3E" w:rsidP="000C4B3E">
      <w:pPr>
        <w:spacing w:line="480" w:lineRule="auto"/>
        <w:ind w:right="283"/>
        <w:rPr>
          <w:rFonts w:ascii="Arial" w:hAnsi="Arial" w:cs="Arial"/>
        </w:rPr>
      </w:pPr>
      <w:r w:rsidRPr="001325A6">
        <w:rPr>
          <w:rFonts w:ascii="Arial" w:hAnsi="Arial" w:cs="Arial"/>
          <w:b/>
          <w:lang w:val="en-GB"/>
        </w:rPr>
        <w:t xml:space="preserve">Supplementary Figure 2. TGF-β1,2 and ALK-5 dependent control of the c-MET pathway. </w:t>
      </w:r>
      <w:r w:rsidRPr="001325A6">
        <w:rPr>
          <w:rFonts w:ascii="Arial" w:hAnsi="Arial" w:cs="Arial"/>
          <w:lang w:val="en-GB"/>
        </w:rPr>
        <w:t xml:space="preserve">A-C. ZH-161 cells were seeded in complete NB medium in the absence or presence of 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>1/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 xml:space="preserve">2 (2 ng/ml) (A), different concentrations of 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 xml:space="preserve">2 (as indicated) (B), </w:t>
      </w:r>
      <w:r w:rsidRPr="001325A6">
        <w:rPr>
          <w:rFonts w:ascii="Arial" w:hAnsi="Arial" w:cs="Arial"/>
          <w:bCs/>
        </w:rPr>
        <w:t>LY2157299</w:t>
      </w:r>
      <w:r w:rsidRPr="001325A6">
        <w:rPr>
          <w:rFonts w:ascii="Arial" w:hAnsi="Arial" w:cs="Arial"/>
          <w:lang w:val="en-GB"/>
        </w:rPr>
        <w:t xml:space="preserve"> </w:t>
      </w:r>
      <w:r w:rsidRPr="001325A6">
        <w:rPr>
          <w:rFonts w:ascii="Arial" w:hAnsi="Arial" w:cs="Arial"/>
        </w:rPr>
        <w:t xml:space="preserve">(1 µM) (C) and were assessed for c-MET/p-c-MET and 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 xml:space="preserve"> signaling molecules by immunoblot. D.</w:t>
      </w:r>
      <w:r w:rsidRPr="001325A6">
        <w:rPr>
          <w:rFonts w:ascii="Arial" w:hAnsi="Arial" w:cs="Arial"/>
          <w:lang w:val="en-GB"/>
        </w:rPr>
        <w:t xml:space="preserve"> Compared to the control siRNA transfected cells, 85</w:t>
      </w:r>
      <w:r w:rsidRPr="001325A6">
        <w:rPr>
          <w:rStyle w:val="st1"/>
          <w:rFonts w:ascii="Arial" w:hAnsi="Arial" w:cs="Arial"/>
        </w:rPr>
        <w:t xml:space="preserve">% </w:t>
      </w:r>
      <w:r w:rsidRPr="001325A6">
        <w:rPr>
          <w:rStyle w:val="Emphasis"/>
          <w:rFonts w:ascii="Arial" w:hAnsi="Arial" w:cs="Arial"/>
        </w:rPr>
        <w:t>knockdown</w:t>
      </w:r>
      <w:r w:rsidRPr="001325A6">
        <w:rPr>
          <w:rStyle w:val="st1"/>
          <w:rFonts w:ascii="Arial" w:hAnsi="Arial" w:cs="Arial"/>
        </w:rPr>
        <w:t xml:space="preserve"> of </w:t>
      </w:r>
      <w:r w:rsidRPr="001325A6">
        <w:rPr>
          <w:rStyle w:val="st1"/>
          <w:rFonts w:ascii="Arial" w:hAnsi="Arial" w:cs="Arial"/>
          <w:i/>
        </w:rPr>
        <w:t>ALK-5</w:t>
      </w:r>
      <w:r w:rsidRPr="001325A6">
        <w:rPr>
          <w:rStyle w:val="st1"/>
          <w:rFonts w:ascii="Arial" w:hAnsi="Arial" w:cs="Arial"/>
        </w:rPr>
        <w:t xml:space="preserve"> gene was achieved as assessed by </w:t>
      </w:r>
      <w:r w:rsidRPr="001325A6">
        <w:rPr>
          <w:rFonts w:ascii="Arial" w:hAnsi="Arial" w:cs="Arial"/>
          <w:lang w:val="en-GB"/>
        </w:rPr>
        <w:t xml:space="preserve">RT-PCR. E. </w:t>
      </w:r>
      <w:r w:rsidRPr="001325A6">
        <w:rPr>
          <w:rFonts w:ascii="Arial" w:hAnsi="Arial" w:cs="Arial"/>
        </w:rPr>
        <w:t xml:space="preserve">p-c-MET immunoreactivity upon 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>2 (2 ng/ml) treatment was assessed by immunocytochemistry</w:t>
      </w:r>
      <w:r w:rsidRPr="001325A6">
        <w:rPr>
          <w:rFonts w:ascii="Arial" w:hAnsi="Arial" w:cs="Arial"/>
          <w:lang w:val="en-GB"/>
        </w:rPr>
        <w:t xml:space="preserve">. F. GIC were seeded in complete NB medium in the absence or presence of </w:t>
      </w:r>
      <w:r w:rsidRPr="001325A6">
        <w:rPr>
          <w:rFonts w:ascii="Arial" w:hAnsi="Arial" w:cs="Arial"/>
        </w:rPr>
        <w:t xml:space="preserve">SD-208 (1 µM) or 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>2 (2 ng/ml) or both for 4 h.</w:t>
      </w:r>
      <w:r w:rsidRPr="001325A6">
        <w:rPr>
          <w:rFonts w:ascii="Arial" w:hAnsi="Arial" w:cs="Arial"/>
          <w:lang w:val="en-GB"/>
        </w:rPr>
        <w:t xml:space="preserve"> DMSO diluted in NB medium (1:20’000) served as a control. M</w:t>
      </w:r>
      <w:r w:rsidRPr="001325A6">
        <w:rPr>
          <w:rFonts w:ascii="Arial" w:hAnsi="Arial" w:cs="Arial"/>
        </w:rPr>
        <w:t xml:space="preserve">odulation of </w:t>
      </w:r>
      <w:r w:rsidRPr="001325A6">
        <w:rPr>
          <w:rFonts w:ascii="Arial" w:hAnsi="Arial" w:cs="Arial"/>
          <w:i/>
        </w:rPr>
        <w:t>c-MET</w:t>
      </w:r>
      <w:r w:rsidRPr="001325A6">
        <w:rPr>
          <w:rFonts w:ascii="Arial" w:hAnsi="Arial" w:cs="Arial"/>
        </w:rPr>
        <w:t xml:space="preserve"> mRNA expression in ZH-161</w:t>
      </w:r>
      <w:r w:rsidRPr="001325A6">
        <w:rPr>
          <w:rFonts w:ascii="Arial" w:hAnsi="Arial" w:cs="Arial"/>
          <w:lang w:val="hu-HU"/>
        </w:rPr>
        <w:t xml:space="preserve"> </w:t>
      </w:r>
      <w:r w:rsidRPr="001325A6">
        <w:rPr>
          <w:rFonts w:ascii="Arial" w:hAnsi="Arial" w:cs="Arial"/>
        </w:rPr>
        <w:t xml:space="preserve">(left) or ZH-305 </w:t>
      </w:r>
      <w:r w:rsidRPr="001325A6">
        <w:rPr>
          <w:rFonts w:ascii="Arial" w:hAnsi="Arial" w:cs="Arial"/>
          <w:lang w:val="hu-HU"/>
        </w:rPr>
        <w:t xml:space="preserve">(right) cells </w:t>
      </w:r>
      <w:r w:rsidRPr="001325A6">
        <w:rPr>
          <w:rFonts w:ascii="Arial" w:hAnsi="Arial" w:cs="Arial"/>
        </w:rPr>
        <w:t>was analyzed by RT-PCR (***</w:t>
      </w:r>
      <w:r w:rsidRPr="001325A6">
        <w:rPr>
          <w:rFonts w:ascii="Arial" w:hAnsi="Arial" w:cs="Arial"/>
          <w:i/>
          <w:iCs/>
        </w:rPr>
        <w:t xml:space="preserve">p </w:t>
      </w:r>
      <w:r w:rsidRPr="001325A6">
        <w:rPr>
          <w:rFonts w:ascii="Arial" w:hAnsi="Arial" w:cs="Arial"/>
        </w:rPr>
        <w:t xml:space="preserve">&lt; 0.001, effect of 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 xml:space="preserve">2 compared to control, </w:t>
      </w:r>
      <w:r w:rsidRPr="001325A6">
        <w:rPr>
          <w:rFonts w:ascii="Arial" w:hAnsi="Arial" w:cs="Arial"/>
          <w:vertAlign w:val="superscript"/>
        </w:rPr>
        <w:t>###</w:t>
      </w:r>
      <w:r w:rsidRPr="001325A6">
        <w:rPr>
          <w:rFonts w:ascii="Arial" w:hAnsi="Arial" w:cs="Arial"/>
          <w:i/>
          <w:iCs/>
        </w:rPr>
        <w:t xml:space="preserve">p </w:t>
      </w:r>
      <w:r w:rsidRPr="001325A6">
        <w:rPr>
          <w:rFonts w:ascii="Arial" w:hAnsi="Arial" w:cs="Arial"/>
        </w:rPr>
        <w:t xml:space="preserve">&lt; 0.001 effect of 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 xml:space="preserve">2 and </w:t>
      </w:r>
      <w:r w:rsidRPr="001325A6">
        <w:rPr>
          <w:rStyle w:val="copy4"/>
          <w:rFonts w:ascii="Arial" w:hAnsi="Arial" w:cs="Arial"/>
        </w:rPr>
        <w:t xml:space="preserve">SD-208 </w:t>
      </w:r>
      <w:r w:rsidRPr="001325A6">
        <w:rPr>
          <w:rFonts w:ascii="Arial" w:hAnsi="Arial" w:cs="Arial"/>
        </w:rPr>
        <w:t xml:space="preserve">co-treatment compared to 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>2 alone).</w:t>
      </w:r>
    </w:p>
    <w:p w:rsidR="000C4B3E" w:rsidRPr="001325A6" w:rsidRDefault="000C4B3E" w:rsidP="000C4B3E">
      <w:pPr>
        <w:shd w:val="clear" w:color="auto" w:fill="FFFFFF"/>
        <w:spacing w:line="480" w:lineRule="auto"/>
        <w:ind w:right="283"/>
        <w:rPr>
          <w:rFonts w:ascii="Arial" w:hAnsi="Arial" w:cs="Arial"/>
          <w:b/>
        </w:rPr>
      </w:pPr>
    </w:p>
    <w:p w:rsidR="000C4B3E" w:rsidRPr="001325A6" w:rsidRDefault="000C4B3E" w:rsidP="000C4B3E">
      <w:pPr>
        <w:spacing w:line="480" w:lineRule="auto"/>
        <w:ind w:right="283"/>
        <w:rPr>
          <w:rFonts w:ascii="Arial" w:hAnsi="Arial" w:cs="Arial"/>
          <w:lang w:val="en-GB"/>
        </w:rPr>
      </w:pPr>
      <w:r w:rsidRPr="001325A6">
        <w:rPr>
          <w:rFonts w:ascii="Arial" w:hAnsi="Arial" w:cs="Arial"/>
          <w:b/>
          <w:lang w:val="en-GB"/>
        </w:rPr>
        <w:t xml:space="preserve">Supplementary Figure 3. Role of SMAD in the control of c-MET activity by TGF-β2. </w:t>
      </w:r>
      <w:r w:rsidRPr="001325A6">
        <w:rPr>
          <w:rFonts w:ascii="Arial" w:hAnsi="Arial" w:cs="Arial"/>
          <w:lang w:val="en-GB"/>
        </w:rPr>
        <w:t xml:space="preserve">A-D. Transient gene ablation of SMAD2, SMAD3 or SMAD4 was performed by transfecting siRNA </w:t>
      </w:r>
      <w:r w:rsidRPr="001325A6">
        <w:rPr>
          <w:rFonts w:ascii="Arial" w:hAnsi="Arial" w:cs="Arial"/>
        </w:rPr>
        <w:t xml:space="preserve">pools (100 nM final concentration). </w:t>
      </w:r>
      <w:r w:rsidRPr="001325A6">
        <w:rPr>
          <w:rFonts w:ascii="Arial" w:hAnsi="Arial" w:cs="Arial"/>
          <w:lang w:val="en-GB"/>
        </w:rPr>
        <w:t xml:space="preserve">Where indicated, the cells were stimulated 2 h post-transfection with 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>2</w:t>
      </w:r>
      <w:r w:rsidRPr="001325A6">
        <w:rPr>
          <w:rFonts w:ascii="Arial" w:hAnsi="Arial" w:cs="Arial"/>
          <w:lang w:val="en-GB"/>
        </w:rPr>
        <w:t xml:space="preserve"> (2 ng/ml) and assayed after 22 h in parallel with the unstimulated control cells. Control siRNA (100 nM) transfected cells were used as negative controls. Silencing efficiency of </w:t>
      </w:r>
      <w:r w:rsidRPr="001325A6">
        <w:rPr>
          <w:rFonts w:ascii="Arial" w:hAnsi="Arial" w:cs="Arial"/>
          <w:i/>
          <w:lang w:val="en-GB"/>
        </w:rPr>
        <w:t>SMAD</w:t>
      </w:r>
      <w:r w:rsidRPr="001325A6">
        <w:rPr>
          <w:rFonts w:ascii="Arial" w:hAnsi="Arial" w:cs="Arial"/>
          <w:lang w:val="en-GB"/>
        </w:rPr>
        <w:t xml:space="preserve"> genes was assessed by RT-PCR (A) and immunoblot (B, C) in the absence or presence of 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 xml:space="preserve">2. </w:t>
      </w:r>
      <w:r w:rsidRPr="001325A6">
        <w:rPr>
          <w:rFonts w:ascii="Arial" w:hAnsi="Arial" w:cs="Arial"/>
          <w:lang w:val="en-GB"/>
        </w:rPr>
        <w:t xml:space="preserve">The effect of SMAD silencing on p-c-MET levels was also examined in ZH-161 (B) and ZH-305 </w:t>
      </w:r>
      <w:r w:rsidRPr="001325A6">
        <w:rPr>
          <w:rFonts w:ascii="Arial" w:hAnsi="Arial" w:cs="Arial"/>
          <w:lang w:val="en-GB"/>
        </w:rPr>
        <w:lastRenderedPageBreak/>
        <w:t xml:space="preserve">(C) cells. Total c-MET and actin were assessed for reference. Expression levels of 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 xml:space="preserve"> target gene </w:t>
      </w:r>
      <w:r w:rsidRPr="001325A6">
        <w:rPr>
          <w:rFonts w:ascii="Arial" w:hAnsi="Arial" w:cs="Arial"/>
          <w:i/>
          <w:lang w:val="en-GB"/>
        </w:rPr>
        <w:t>PAI-1</w:t>
      </w:r>
      <w:r w:rsidRPr="001325A6">
        <w:rPr>
          <w:rFonts w:ascii="Arial" w:hAnsi="Arial" w:cs="Arial"/>
          <w:lang w:val="en-GB"/>
        </w:rPr>
        <w:t xml:space="preserve"> were also quantified upon </w:t>
      </w:r>
      <w:r w:rsidRPr="001325A6">
        <w:rPr>
          <w:rFonts w:ascii="Arial" w:hAnsi="Arial" w:cs="Arial"/>
          <w:i/>
          <w:lang w:val="en-GB"/>
        </w:rPr>
        <w:t>SMAD</w:t>
      </w:r>
      <w:r w:rsidRPr="001325A6">
        <w:rPr>
          <w:rFonts w:ascii="Arial" w:hAnsi="Arial" w:cs="Arial"/>
          <w:lang w:val="en-GB"/>
        </w:rPr>
        <w:t xml:space="preserve"> gene silencing (D).</w:t>
      </w:r>
    </w:p>
    <w:p w:rsidR="000C4B3E" w:rsidRPr="001325A6" w:rsidRDefault="000C4B3E" w:rsidP="000C4B3E">
      <w:pPr>
        <w:spacing w:line="480" w:lineRule="auto"/>
        <w:ind w:right="283"/>
        <w:rPr>
          <w:rFonts w:ascii="Arial" w:hAnsi="Arial" w:cs="Arial"/>
          <w:lang w:val="hu-HU"/>
        </w:rPr>
      </w:pPr>
    </w:p>
    <w:p w:rsidR="000C4B3E" w:rsidRPr="001325A6" w:rsidRDefault="000C4B3E" w:rsidP="000C4B3E">
      <w:pPr>
        <w:shd w:val="clear" w:color="auto" w:fill="FFFFFF"/>
        <w:spacing w:line="480" w:lineRule="auto"/>
        <w:ind w:right="283"/>
        <w:rPr>
          <w:rFonts w:ascii="Arial" w:hAnsi="Arial" w:cs="Arial"/>
        </w:rPr>
      </w:pPr>
      <w:r w:rsidRPr="001325A6">
        <w:rPr>
          <w:rFonts w:ascii="Arial" w:hAnsi="Arial" w:cs="Arial"/>
          <w:b/>
          <w:lang w:val="en-GB"/>
        </w:rPr>
        <w:t xml:space="preserve">Supplementary Figure 4. Role </w:t>
      </w:r>
      <w:r w:rsidRPr="001325A6">
        <w:rPr>
          <w:rFonts w:ascii="Arial" w:hAnsi="Arial" w:cs="Arial"/>
          <w:b/>
          <w:iCs/>
        </w:rPr>
        <w:t xml:space="preserve">of non-canonical </w:t>
      </w:r>
      <w:r w:rsidRPr="001325A6">
        <w:rPr>
          <w:rFonts w:ascii="Arial" w:hAnsi="Arial" w:cs="Arial"/>
          <w:b/>
          <w:lang w:val="en-GB"/>
        </w:rPr>
        <w:t xml:space="preserve">TGF-β </w:t>
      </w:r>
      <w:r w:rsidRPr="001325A6">
        <w:rPr>
          <w:rFonts w:ascii="Arial" w:hAnsi="Arial" w:cs="Arial"/>
          <w:b/>
          <w:iCs/>
        </w:rPr>
        <w:t>signaling components</w:t>
      </w:r>
      <w:r w:rsidRPr="001325A6">
        <w:rPr>
          <w:rFonts w:ascii="Arial" w:hAnsi="Arial" w:cs="Arial"/>
          <w:b/>
          <w:lang w:val="en-GB"/>
        </w:rPr>
        <w:t xml:space="preserve"> in the control of c-MET activity by TGF-β2. </w:t>
      </w:r>
      <w:r w:rsidRPr="001325A6">
        <w:rPr>
          <w:rFonts w:ascii="Arial" w:hAnsi="Arial" w:cs="Arial"/>
          <w:lang w:val="en-GB"/>
        </w:rPr>
        <w:t xml:space="preserve">A. p-ERK was measured in ZH-161 cells treated with </w:t>
      </w:r>
      <w:r w:rsidRPr="001325A6">
        <w:rPr>
          <w:rFonts w:ascii="Arial" w:hAnsi="Arial" w:cs="Arial"/>
          <w:iCs/>
        </w:rPr>
        <w:t xml:space="preserve">U0126 (10 µM) or 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 xml:space="preserve">2 (2 ng/ml) alone or in combination </w:t>
      </w:r>
      <w:r w:rsidRPr="001325A6">
        <w:rPr>
          <w:rFonts w:ascii="Arial" w:hAnsi="Arial" w:cs="Arial"/>
          <w:lang w:val="en-GB"/>
        </w:rPr>
        <w:t xml:space="preserve">for 2 h in NB medium. p-SMAD2 was used as a positive control to confirm 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>2</w:t>
      </w:r>
      <w:r w:rsidRPr="001325A6">
        <w:rPr>
          <w:rFonts w:ascii="Arial" w:hAnsi="Arial" w:cs="Arial"/>
          <w:vertAlign w:val="subscript"/>
        </w:rPr>
        <w:t xml:space="preserve"> </w:t>
      </w:r>
      <w:r w:rsidRPr="001325A6">
        <w:rPr>
          <w:rFonts w:ascii="Arial" w:hAnsi="Arial" w:cs="Arial"/>
          <w:lang w:val="en-GB"/>
        </w:rPr>
        <w:t xml:space="preserve">activity. B,C. </w:t>
      </w:r>
      <w:r w:rsidRPr="001325A6">
        <w:rPr>
          <w:rFonts w:ascii="Arial" w:hAnsi="Arial" w:cs="Arial"/>
        </w:rPr>
        <w:t>GIC</w:t>
      </w:r>
      <w:r w:rsidRPr="001325A6">
        <w:rPr>
          <w:rFonts w:ascii="Arial" w:hAnsi="Arial" w:cs="Arial"/>
          <w:lang w:val="hu-HU"/>
        </w:rPr>
        <w:t xml:space="preserve"> were treated with TGF-β</w:t>
      </w:r>
      <w:r w:rsidRPr="001325A6">
        <w:rPr>
          <w:rFonts w:ascii="Arial" w:hAnsi="Arial" w:cs="Arial"/>
        </w:rPr>
        <w:t xml:space="preserve">2 (2 ng/ml), </w:t>
      </w:r>
      <w:r w:rsidRPr="001325A6">
        <w:rPr>
          <w:rFonts w:ascii="Arial" w:hAnsi="Arial" w:cs="Arial"/>
          <w:iCs/>
        </w:rPr>
        <w:t xml:space="preserve">U0126 (10 µM), </w:t>
      </w:r>
      <w:r w:rsidRPr="001325A6">
        <w:rPr>
          <w:rFonts w:ascii="Arial" w:hAnsi="Arial" w:cs="Arial"/>
          <w:lang w:val="en-GB"/>
        </w:rPr>
        <w:t xml:space="preserve">AZD5363 </w:t>
      </w:r>
      <w:r w:rsidRPr="001325A6">
        <w:rPr>
          <w:rFonts w:ascii="Arial" w:hAnsi="Arial" w:cs="Arial"/>
          <w:iCs/>
        </w:rPr>
        <w:t xml:space="preserve">(3 µM) alone or in combination under conditions described in Fig. 2 and </w:t>
      </w:r>
      <w:r w:rsidRPr="001325A6">
        <w:rPr>
          <w:rStyle w:val="copy4"/>
          <w:rFonts w:ascii="Arial" w:hAnsi="Arial" w:cs="Arial"/>
          <w:i/>
        </w:rPr>
        <w:t>c-MET</w:t>
      </w:r>
      <w:r w:rsidRPr="001325A6">
        <w:rPr>
          <w:rStyle w:val="copy4"/>
          <w:rFonts w:ascii="Arial" w:hAnsi="Arial" w:cs="Arial"/>
        </w:rPr>
        <w:t xml:space="preserve"> mRNA levels </w:t>
      </w:r>
      <w:r w:rsidRPr="001325A6">
        <w:rPr>
          <w:rFonts w:ascii="Arial" w:hAnsi="Arial" w:cs="Arial"/>
        </w:rPr>
        <w:t>were evaluated by</w:t>
      </w:r>
      <w:r w:rsidRPr="001325A6">
        <w:rPr>
          <w:rStyle w:val="copy4"/>
          <w:rFonts w:ascii="Arial" w:hAnsi="Arial" w:cs="Arial"/>
        </w:rPr>
        <w:t xml:space="preserve"> RT-PCR</w:t>
      </w:r>
      <w:r w:rsidRPr="001325A6">
        <w:rPr>
          <w:rFonts w:ascii="Arial" w:hAnsi="Arial" w:cs="Arial"/>
        </w:rPr>
        <w:t xml:space="preserve"> (</w:t>
      </w:r>
      <w:r w:rsidRPr="001325A6">
        <w:rPr>
          <w:rFonts w:ascii="Arial" w:hAnsi="Arial" w:cs="Arial"/>
          <w:sz w:val="28"/>
          <w:szCs w:val="28"/>
          <w:vertAlign w:val="superscript"/>
        </w:rPr>
        <w:t>*</w:t>
      </w:r>
      <w:r w:rsidRPr="001325A6">
        <w:rPr>
          <w:rFonts w:ascii="Arial" w:hAnsi="Arial" w:cs="Arial"/>
          <w:i/>
          <w:iCs/>
        </w:rPr>
        <w:t xml:space="preserve">p </w:t>
      </w:r>
      <w:r w:rsidRPr="001325A6">
        <w:rPr>
          <w:rFonts w:ascii="Arial" w:hAnsi="Arial" w:cs="Arial"/>
        </w:rPr>
        <w:t xml:space="preserve">&lt; 0.05, effect of TGF-β2 relative to </w:t>
      </w:r>
      <w:r w:rsidRPr="001325A6">
        <w:rPr>
          <w:rFonts w:ascii="Arial" w:hAnsi="Arial" w:cs="Arial"/>
          <w:lang w:val="hu-HU"/>
        </w:rPr>
        <w:t xml:space="preserve">control; </w:t>
      </w:r>
      <w:r w:rsidRPr="001325A6">
        <w:rPr>
          <w:rFonts w:ascii="Arial" w:hAnsi="Arial" w:cs="Arial"/>
          <w:vertAlign w:val="superscript"/>
        </w:rPr>
        <w:t>ω</w:t>
      </w:r>
      <w:r w:rsidRPr="001325A6">
        <w:rPr>
          <w:rFonts w:ascii="Arial" w:hAnsi="Arial" w:cs="Arial"/>
        </w:rPr>
        <w:t xml:space="preserve">p&lt; 0.05, effect of 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 xml:space="preserve">2 and </w:t>
      </w:r>
      <w:r w:rsidRPr="001325A6">
        <w:rPr>
          <w:rFonts w:ascii="Arial" w:hAnsi="Arial" w:cs="Arial"/>
          <w:lang w:val="en-GB"/>
        </w:rPr>
        <w:t>AZD5363</w:t>
      </w:r>
      <w:r w:rsidRPr="001325A6">
        <w:rPr>
          <w:rFonts w:ascii="Arial" w:hAnsi="Arial" w:cs="Arial"/>
        </w:rPr>
        <w:t xml:space="preserve"> co-treatment relative to TGF-β2; </w:t>
      </w:r>
      <w:r w:rsidRPr="001325A6">
        <w:rPr>
          <w:rFonts w:ascii="Arial" w:hAnsi="Arial" w:cs="Arial"/>
          <w:vertAlign w:val="superscript"/>
        </w:rPr>
        <w:t>ϴϴ</w:t>
      </w:r>
      <w:r w:rsidRPr="001325A6">
        <w:rPr>
          <w:rFonts w:ascii="Arial" w:hAnsi="Arial" w:cs="Arial"/>
          <w:i/>
          <w:iCs/>
        </w:rPr>
        <w:t xml:space="preserve">p </w:t>
      </w:r>
      <w:r w:rsidRPr="001325A6">
        <w:rPr>
          <w:rFonts w:ascii="Arial" w:hAnsi="Arial" w:cs="Arial"/>
        </w:rPr>
        <w:t xml:space="preserve">&lt; 0.001, effect of </w:t>
      </w:r>
      <w:r w:rsidRPr="001325A6">
        <w:rPr>
          <w:rFonts w:ascii="Arial" w:hAnsi="Arial" w:cs="Arial"/>
          <w:lang w:val="en-GB"/>
        </w:rPr>
        <w:t>AZD5363</w:t>
      </w:r>
      <w:r w:rsidRPr="001325A6">
        <w:rPr>
          <w:rFonts w:ascii="Arial" w:hAnsi="Arial" w:cs="Arial"/>
        </w:rPr>
        <w:t xml:space="preserve"> relative to </w:t>
      </w:r>
      <w:r w:rsidRPr="001325A6">
        <w:rPr>
          <w:rFonts w:ascii="Arial" w:hAnsi="Arial" w:cs="Arial"/>
          <w:lang w:val="hu-HU"/>
        </w:rPr>
        <w:t>control</w:t>
      </w:r>
      <w:r w:rsidRPr="001325A6">
        <w:rPr>
          <w:rFonts w:ascii="Arial" w:hAnsi="Arial" w:cs="Arial"/>
        </w:rPr>
        <w:t>). D. Verification of the specificity of the 145-170 kDa bands and efficacy of c-MET gene silencing in c-MET positive GIC.</w:t>
      </w:r>
    </w:p>
    <w:p w:rsidR="000C4B3E" w:rsidRPr="001325A6" w:rsidRDefault="000C4B3E" w:rsidP="000C4B3E">
      <w:pPr>
        <w:shd w:val="clear" w:color="auto" w:fill="FFFFFF"/>
        <w:spacing w:line="480" w:lineRule="auto"/>
        <w:ind w:right="283"/>
        <w:rPr>
          <w:rFonts w:ascii="Arial" w:hAnsi="Arial" w:cs="Arial"/>
        </w:rPr>
      </w:pPr>
    </w:p>
    <w:p w:rsidR="000C4B3E" w:rsidRPr="001325A6" w:rsidRDefault="000C4B3E" w:rsidP="000C4B3E">
      <w:pPr>
        <w:spacing w:line="480" w:lineRule="auto"/>
        <w:ind w:right="283"/>
        <w:rPr>
          <w:rFonts w:ascii="Arial" w:hAnsi="Arial" w:cs="Arial"/>
          <w:noProof/>
        </w:rPr>
      </w:pPr>
      <w:r w:rsidRPr="001325A6">
        <w:rPr>
          <w:rFonts w:ascii="Arial" w:hAnsi="Arial" w:cs="Arial"/>
          <w:b/>
          <w:lang w:val="en-GB"/>
        </w:rPr>
        <w:t xml:space="preserve">Supplementary Figure 5. </w:t>
      </w:r>
      <w:r w:rsidRPr="001325A6">
        <w:rPr>
          <w:rFonts w:ascii="Arial" w:hAnsi="Arial" w:cs="Arial"/>
          <w:b/>
        </w:rPr>
        <w:t xml:space="preserve">Modulation of stem cell marker expression and spherogenicity by </w:t>
      </w:r>
      <w:r w:rsidRPr="001325A6">
        <w:rPr>
          <w:rFonts w:ascii="Arial" w:hAnsi="Arial" w:cs="Arial"/>
          <w:b/>
          <w:lang w:val="en-GB"/>
        </w:rPr>
        <w:t>TGF-β or c-MET</w:t>
      </w:r>
      <w:r w:rsidRPr="001325A6">
        <w:rPr>
          <w:rFonts w:ascii="Arial" w:hAnsi="Arial" w:cs="Arial"/>
          <w:b/>
        </w:rPr>
        <w:t xml:space="preserve"> pathways in </w:t>
      </w:r>
      <w:r w:rsidRPr="001325A6">
        <w:rPr>
          <w:rFonts w:ascii="Arial" w:hAnsi="Arial" w:cs="Arial"/>
          <w:b/>
          <w:lang w:val="en-GB"/>
        </w:rPr>
        <w:t>GIC</w:t>
      </w:r>
      <w:r w:rsidRPr="001325A6">
        <w:rPr>
          <w:rFonts w:ascii="Arial" w:hAnsi="Arial" w:cs="Arial"/>
          <w:lang w:val="en-GB"/>
        </w:rPr>
        <w:t xml:space="preserve">. A. </w:t>
      </w:r>
      <w:r w:rsidRPr="001325A6">
        <w:rPr>
          <w:rFonts w:ascii="Arial" w:hAnsi="Arial" w:cs="Arial"/>
          <w:i/>
          <w:lang w:val="en-GB"/>
        </w:rPr>
        <w:t>OCT-4</w:t>
      </w:r>
      <w:r w:rsidRPr="001325A6">
        <w:rPr>
          <w:rFonts w:ascii="Arial" w:hAnsi="Arial" w:cs="Arial"/>
          <w:lang w:val="en-GB"/>
        </w:rPr>
        <w:t xml:space="preserve">, </w:t>
      </w:r>
      <w:r w:rsidRPr="001325A6">
        <w:rPr>
          <w:rFonts w:ascii="Arial" w:hAnsi="Arial" w:cs="Arial"/>
          <w:i/>
          <w:lang w:val="en-GB"/>
        </w:rPr>
        <w:t>SOX-2</w:t>
      </w:r>
      <w:r w:rsidRPr="001325A6">
        <w:rPr>
          <w:rFonts w:ascii="Arial" w:hAnsi="Arial" w:cs="Arial"/>
          <w:lang w:val="en-GB"/>
        </w:rPr>
        <w:t xml:space="preserve"> or </w:t>
      </w:r>
      <w:r w:rsidRPr="001325A6">
        <w:rPr>
          <w:rFonts w:ascii="Arial" w:hAnsi="Arial" w:cs="Arial"/>
          <w:i/>
          <w:lang w:val="en-GB"/>
        </w:rPr>
        <w:t>NANOG</w:t>
      </w:r>
      <w:r w:rsidRPr="001325A6">
        <w:rPr>
          <w:rFonts w:ascii="Arial" w:hAnsi="Arial" w:cs="Arial"/>
          <w:lang w:val="en-GB"/>
        </w:rPr>
        <w:t xml:space="preserve"> gene expression upon exposure to </w:t>
      </w:r>
      <w:r w:rsidRPr="001325A6">
        <w:rPr>
          <w:rStyle w:val="copy4"/>
          <w:rFonts w:ascii="Arial" w:hAnsi="Arial" w:cs="Arial"/>
        </w:rPr>
        <w:t>SD-208 (</w:t>
      </w:r>
      <w:r w:rsidRPr="001325A6">
        <w:rPr>
          <w:rFonts w:ascii="Arial" w:hAnsi="Arial" w:cs="Arial"/>
          <w:iCs/>
        </w:rPr>
        <w:t>1 µM),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 xml:space="preserve">2 (2 ng/ml) </w:t>
      </w:r>
      <w:r w:rsidRPr="001325A6">
        <w:rPr>
          <w:rFonts w:ascii="Arial" w:hAnsi="Arial" w:cs="Arial"/>
          <w:iCs/>
        </w:rPr>
        <w:t xml:space="preserve">or </w:t>
      </w:r>
      <w:r w:rsidRPr="001325A6">
        <w:rPr>
          <w:rFonts w:ascii="Arial" w:hAnsi="Arial" w:cs="Arial"/>
          <w:noProof/>
        </w:rPr>
        <w:t>EMD1214063 (200 nM)</w:t>
      </w:r>
      <w:r w:rsidRPr="001325A6">
        <w:rPr>
          <w:rFonts w:ascii="Arial" w:hAnsi="Arial" w:cs="Arial"/>
          <w:iCs/>
        </w:rPr>
        <w:t xml:space="preserve"> (4 h)</w:t>
      </w:r>
      <w:r w:rsidRPr="001325A6">
        <w:rPr>
          <w:rStyle w:val="copy4"/>
          <w:rFonts w:ascii="Arial" w:hAnsi="Arial" w:cs="Arial"/>
        </w:rPr>
        <w:t xml:space="preserve"> were assessed by RT-PCR</w:t>
      </w:r>
      <w:r w:rsidRPr="001325A6">
        <w:rPr>
          <w:rFonts w:ascii="Arial" w:hAnsi="Arial" w:cs="Arial"/>
        </w:rPr>
        <w:t xml:space="preserve">. B. </w:t>
      </w:r>
      <w:r w:rsidRPr="001325A6">
        <w:rPr>
          <w:rFonts w:ascii="Arial" w:hAnsi="Arial" w:cs="Arial"/>
          <w:lang w:val="en-GB"/>
        </w:rPr>
        <w:t xml:space="preserve">T-269 cells were plated </w:t>
      </w:r>
      <w:r w:rsidRPr="001325A6">
        <w:rPr>
          <w:rFonts w:ascii="Arial" w:hAnsi="Arial" w:cs="Arial"/>
        </w:rPr>
        <w:t xml:space="preserve">at a density of 500 cells/well/100 µl. The cells </w:t>
      </w:r>
      <w:r w:rsidRPr="001325A6">
        <w:rPr>
          <w:rFonts w:ascii="Arial" w:hAnsi="Arial" w:cs="Arial"/>
          <w:lang w:val="en-GB"/>
        </w:rPr>
        <w:t>treated with SD-</w:t>
      </w:r>
      <w:r w:rsidRPr="001325A6">
        <w:rPr>
          <w:rFonts w:ascii="Arial" w:hAnsi="Arial" w:cs="Arial"/>
        </w:rPr>
        <w:t xml:space="preserve">208 (1 µM), </w:t>
      </w:r>
      <w:r w:rsidRPr="001325A6">
        <w:rPr>
          <w:rFonts w:ascii="Arial" w:hAnsi="Arial" w:cs="Arial"/>
          <w:lang w:val="hu-HU"/>
        </w:rPr>
        <w:t>TGF-β</w:t>
      </w:r>
      <w:r w:rsidRPr="001325A6">
        <w:rPr>
          <w:rFonts w:ascii="Arial" w:hAnsi="Arial" w:cs="Arial"/>
        </w:rPr>
        <w:t>2 (10 ng/ml) or</w:t>
      </w:r>
      <w:r w:rsidRPr="001325A6">
        <w:rPr>
          <w:rFonts w:ascii="Arial" w:hAnsi="Arial" w:cs="Arial"/>
          <w:vertAlign w:val="subscript"/>
        </w:rPr>
        <w:t xml:space="preserve"> </w:t>
      </w:r>
      <w:r w:rsidRPr="001325A6">
        <w:rPr>
          <w:rFonts w:ascii="Arial" w:hAnsi="Arial" w:cs="Arial"/>
        </w:rPr>
        <w:t>both or</w:t>
      </w:r>
      <w:r w:rsidRPr="001325A6">
        <w:rPr>
          <w:rFonts w:ascii="Arial" w:hAnsi="Arial" w:cs="Arial"/>
          <w:vertAlign w:val="subscript"/>
        </w:rPr>
        <w:t xml:space="preserve"> </w:t>
      </w:r>
      <w:r w:rsidRPr="001325A6">
        <w:rPr>
          <w:rFonts w:ascii="Arial" w:hAnsi="Arial" w:cs="Arial"/>
          <w:noProof/>
        </w:rPr>
        <w:t>EMD1214063 (200 nM) were assessed for s</w:t>
      </w:r>
      <w:r w:rsidRPr="001325A6">
        <w:rPr>
          <w:rFonts w:ascii="Arial" w:hAnsi="Arial" w:cs="Arial"/>
          <w:lang w:val="en-GB"/>
        </w:rPr>
        <w:t xml:space="preserve">pherogenic capacity </w:t>
      </w:r>
      <w:r w:rsidRPr="001325A6">
        <w:rPr>
          <w:rFonts w:ascii="Arial" w:hAnsi="Arial" w:cs="Arial"/>
          <w:lang w:val="en"/>
        </w:rPr>
        <w:t>based on the number of spheres</w:t>
      </w:r>
      <w:r w:rsidRPr="001325A6">
        <w:rPr>
          <w:rFonts w:ascii="Arial" w:hAnsi="Arial" w:cs="Arial"/>
          <w:lang w:val="en-GB"/>
        </w:rPr>
        <w:t xml:space="preserve"> </w:t>
      </w:r>
      <w:r w:rsidRPr="001325A6">
        <w:rPr>
          <w:rFonts w:ascii="Arial" w:hAnsi="Arial" w:cs="Arial"/>
          <w:lang w:val="en"/>
        </w:rPr>
        <w:t xml:space="preserve">and average size </w:t>
      </w:r>
      <w:r w:rsidRPr="001325A6">
        <w:rPr>
          <w:rFonts w:ascii="Arial" w:hAnsi="Arial" w:cs="Arial"/>
        </w:rPr>
        <w:t>at day 21</w:t>
      </w:r>
      <w:r w:rsidRPr="001325A6">
        <w:rPr>
          <w:rFonts w:ascii="Arial" w:hAnsi="Arial" w:cs="Arial"/>
          <w:lang w:val="en-GB"/>
        </w:rPr>
        <w:t xml:space="preserve"> in triplicates. </w:t>
      </w:r>
      <w:r w:rsidRPr="001325A6">
        <w:rPr>
          <w:rStyle w:val="st1"/>
          <w:rFonts w:ascii="Arial" w:hAnsi="Arial" w:cs="Arial"/>
        </w:rPr>
        <w:t xml:space="preserve">The </w:t>
      </w:r>
      <w:r w:rsidRPr="001325A6">
        <w:rPr>
          <w:rStyle w:val="Emphasis"/>
          <w:rFonts w:ascii="Arial" w:hAnsi="Arial" w:cs="Arial"/>
        </w:rPr>
        <w:t>photomicrograph</w:t>
      </w:r>
      <w:r w:rsidRPr="001325A6">
        <w:rPr>
          <w:rStyle w:val="st1"/>
          <w:rFonts w:ascii="Arial" w:hAnsi="Arial" w:cs="Arial"/>
        </w:rPr>
        <w:t xml:space="preserve">s were taken using a </w:t>
      </w:r>
      <w:r w:rsidRPr="001325A6">
        <w:rPr>
          <w:rStyle w:val="Emphasis"/>
          <w:rFonts w:ascii="Arial" w:hAnsi="Arial" w:cs="Arial"/>
        </w:rPr>
        <w:t>5X objective</w:t>
      </w:r>
      <w:r w:rsidRPr="001325A6">
        <w:rPr>
          <w:rFonts w:ascii="Arial" w:hAnsi="Arial" w:cs="Arial"/>
          <w:lang w:val="en-GB"/>
        </w:rPr>
        <w:t xml:space="preserve">. C. </w:t>
      </w:r>
      <w:r w:rsidRPr="001325A6">
        <w:rPr>
          <w:rFonts w:ascii="Arial" w:hAnsi="Arial" w:cs="Arial"/>
          <w:noProof/>
        </w:rPr>
        <w:t xml:space="preserve">ZH-161 and ZH-305 cells were also assessed for changes in spherogenicity upon </w:t>
      </w:r>
      <w:r w:rsidRPr="001325A6">
        <w:rPr>
          <w:rFonts w:ascii="Arial" w:hAnsi="Arial" w:cs="Arial"/>
          <w:lang w:val="en-GB"/>
        </w:rPr>
        <w:t xml:space="preserve">TGF-β1 treatment, </w:t>
      </w:r>
      <w:r w:rsidRPr="001325A6">
        <w:rPr>
          <w:rFonts w:ascii="Arial" w:hAnsi="Arial" w:cs="Arial"/>
          <w:vertAlign w:val="superscript"/>
        </w:rPr>
        <w:t>**</w:t>
      </w:r>
      <w:r w:rsidRPr="001325A6">
        <w:rPr>
          <w:rFonts w:ascii="Arial" w:hAnsi="Arial" w:cs="Arial"/>
          <w:i/>
        </w:rPr>
        <w:t xml:space="preserve">p </w:t>
      </w:r>
      <w:r w:rsidRPr="001325A6">
        <w:rPr>
          <w:rFonts w:ascii="Arial" w:hAnsi="Arial" w:cs="Arial"/>
        </w:rPr>
        <w:t xml:space="preserve">&lt; 0.01 and </w:t>
      </w:r>
      <w:r w:rsidRPr="001325A6">
        <w:rPr>
          <w:rFonts w:ascii="Arial" w:hAnsi="Arial" w:cs="Arial"/>
          <w:vertAlign w:val="superscript"/>
        </w:rPr>
        <w:t>***</w:t>
      </w:r>
      <w:r w:rsidRPr="001325A6">
        <w:rPr>
          <w:rFonts w:ascii="Arial" w:hAnsi="Arial" w:cs="Arial"/>
          <w:i/>
        </w:rPr>
        <w:t xml:space="preserve">p </w:t>
      </w:r>
      <w:r w:rsidRPr="001325A6">
        <w:rPr>
          <w:rFonts w:ascii="Arial" w:hAnsi="Arial" w:cs="Arial"/>
        </w:rPr>
        <w:t xml:space="preserve">&lt; 0.001, effect of TGF-β1 relative to </w:t>
      </w:r>
      <w:r w:rsidRPr="001325A6">
        <w:rPr>
          <w:rFonts w:ascii="Arial" w:hAnsi="Arial" w:cs="Arial"/>
          <w:lang w:val="hu-HU"/>
        </w:rPr>
        <w:t xml:space="preserve">control. </w:t>
      </w:r>
      <w:r w:rsidRPr="001325A6">
        <w:rPr>
          <w:rStyle w:val="st1"/>
          <w:rFonts w:ascii="Arial" w:hAnsi="Arial" w:cs="Arial"/>
        </w:rPr>
        <w:t xml:space="preserve">The scale </w:t>
      </w:r>
      <w:r w:rsidRPr="001325A6">
        <w:rPr>
          <w:rStyle w:val="Emphasis"/>
          <w:rFonts w:ascii="Arial" w:hAnsi="Arial" w:cs="Arial"/>
        </w:rPr>
        <w:t>bars correspond to 100 μm</w:t>
      </w:r>
      <w:r w:rsidRPr="001325A6">
        <w:rPr>
          <w:rFonts w:ascii="Arial" w:hAnsi="Arial" w:cs="Arial"/>
          <w:lang w:val="en-GB"/>
        </w:rPr>
        <w:t>.</w:t>
      </w:r>
    </w:p>
    <w:p w:rsidR="000C4B3E" w:rsidRPr="001325A6" w:rsidRDefault="000C4B3E" w:rsidP="000C4B3E">
      <w:pPr>
        <w:shd w:val="clear" w:color="auto" w:fill="FFFFFF"/>
        <w:spacing w:line="480" w:lineRule="auto"/>
        <w:ind w:right="283"/>
        <w:rPr>
          <w:rFonts w:ascii="Arial" w:hAnsi="Arial" w:cs="Arial"/>
        </w:rPr>
      </w:pPr>
    </w:p>
    <w:p w:rsidR="000C4B3E" w:rsidRPr="001325A6" w:rsidRDefault="000C4B3E" w:rsidP="000C4B3E">
      <w:pPr>
        <w:pStyle w:val="ListParagraph"/>
        <w:spacing w:line="480" w:lineRule="auto"/>
        <w:ind w:left="0"/>
        <w:jc w:val="both"/>
        <w:rPr>
          <w:rFonts w:ascii="Arial" w:hAnsi="Arial" w:cs="Arial"/>
          <w:lang w:val="en-GB"/>
        </w:rPr>
      </w:pPr>
      <w:r w:rsidRPr="001325A6">
        <w:rPr>
          <w:rFonts w:ascii="Arial" w:hAnsi="Arial" w:cs="Arial"/>
          <w:b/>
          <w:lang w:val="en-GB"/>
        </w:rPr>
        <w:t xml:space="preserve">Supplementary Figure 6. </w:t>
      </w:r>
      <w:r w:rsidRPr="001325A6">
        <w:rPr>
          <w:rFonts w:ascii="Arial" w:hAnsi="Arial" w:cs="Arial"/>
          <w:b/>
          <w:lang w:val="en-US"/>
        </w:rPr>
        <w:t>Effect of TGF-β treatment and c-MET inhibition on viability and cell cycle progression.</w:t>
      </w:r>
      <w:r w:rsidRPr="001325A6">
        <w:rPr>
          <w:rFonts w:ascii="Arial" w:hAnsi="Arial" w:cs="Arial"/>
          <w:lang w:val="en-US"/>
        </w:rPr>
        <w:t xml:space="preserve"> A,B. ZH-161, ZH-305 and T-269 were exposed to TGF-β2 (2 </w:t>
      </w:r>
      <w:r w:rsidRPr="001325A6">
        <w:rPr>
          <w:rFonts w:ascii="Arial" w:hAnsi="Arial" w:cs="Arial"/>
          <w:lang w:val="en-US"/>
        </w:rPr>
        <w:lastRenderedPageBreak/>
        <w:t xml:space="preserve">ng/ml) or EMD1214063 (1 µM) for 72h. DMSO diluted in NB medium (1:20’000) served as a control. Induction of cell death </w:t>
      </w:r>
      <w:r w:rsidRPr="001325A6">
        <w:rPr>
          <w:rFonts w:ascii="Arial" w:hAnsi="Arial" w:cs="Arial"/>
          <w:lang w:val="en"/>
        </w:rPr>
        <w:t xml:space="preserve">was evaluated by </w:t>
      </w:r>
      <w:r w:rsidRPr="001325A6">
        <w:rPr>
          <w:rFonts w:ascii="Arial" w:hAnsi="Arial" w:cs="Arial"/>
          <w:bCs/>
          <w:lang w:val="en-US"/>
        </w:rPr>
        <w:t>annexin V (AnxV)/PI staining</w:t>
      </w:r>
      <w:r w:rsidRPr="001325A6">
        <w:rPr>
          <w:rFonts w:ascii="Arial" w:hAnsi="Arial" w:cs="Arial"/>
          <w:lang w:val="en"/>
        </w:rPr>
        <w:t xml:space="preserve"> </w:t>
      </w:r>
      <w:r w:rsidRPr="001325A6">
        <w:rPr>
          <w:rFonts w:ascii="Arial" w:hAnsi="Arial" w:cs="Arial"/>
          <w:lang w:val="en-GB"/>
        </w:rPr>
        <w:t>(A) and cell cycle phase distribution profiles were obtained by PI staining (B)</w:t>
      </w:r>
      <w:r w:rsidRPr="001325A6">
        <w:rPr>
          <w:rFonts w:ascii="Arial" w:hAnsi="Arial" w:cs="Arial"/>
          <w:lang w:val="en"/>
        </w:rPr>
        <w:t xml:space="preserve"> using </w:t>
      </w:r>
      <w:r w:rsidRPr="001325A6">
        <w:rPr>
          <w:rFonts w:ascii="Arial" w:hAnsi="Arial" w:cs="Arial"/>
          <w:lang w:val="en-GB"/>
        </w:rPr>
        <w:t>flow cytometry</w:t>
      </w:r>
      <w:r w:rsidRPr="001325A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C0B50" wp14:editId="1D0AF646">
                <wp:simplePos x="0" y="0"/>
                <wp:positionH relativeFrom="column">
                  <wp:posOffset>-2820035</wp:posOffset>
                </wp:positionH>
                <wp:positionV relativeFrom="paragraph">
                  <wp:posOffset>-2007235</wp:posOffset>
                </wp:positionV>
                <wp:extent cx="914400" cy="9144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4B3E" w:rsidRDefault="000C4B3E" w:rsidP="000C4B3E">
                            <w:pPr>
                              <w:pStyle w:val="NormalWeb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222.05pt;margin-top:-158.0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">
                <v:textbox>
                  <w:txbxContent>
                    <w:p w:rsidR="000C4B3E" w:rsidRDefault="000C4B3E" w:rsidP="000C4B3E">
                      <w:pPr>
                        <w:pStyle w:val="NormalWeb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325A6">
        <w:rPr>
          <w:rFonts w:ascii="Arial" w:hAnsi="Arial" w:cs="Arial"/>
          <w:lang w:val="en-GB"/>
        </w:rPr>
        <w:t xml:space="preserve">. Cell fractions are shown for </w:t>
      </w:r>
      <w:r w:rsidRPr="001325A6">
        <w:rPr>
          <w:rFonts w:ascii="Arial" w:hAnsi="Arial" w:cs="Arial"/>
          <w:lang w:val="en-US"/>
        </w:rPr>
        <w:t xml:space="preserve">non-treated </w:t>
      </w:r>
      <w:r w:rsidRPr="001325A6">
        <w:rPr>
          <w:rFonts w:ascii="Arial" w:hAnsi="Arial" w:cs="Arial"/>
          <w:i/>
          <w:lang w:val="en-US"/>
        </w:rPr>
        <w:t xml:space="preserve">versus </w:t>
      </w:r>
      <w:r w:rsidRPr="001325A6">
        <w:rPr>
          <w:rFonts w:ascii="Arial" w:hAnsi="Arial" w:cs="Arial"/>
          <w:lang w:val="en-US"/>
        </w:rPr>
        <w:t>treated cells in histograms as well as bar graphs</w:t>
      </w:r>
      <w:r w:rsidRPr="001325A6">
        <w:rPr>
          <w:rFonts w:ascii="Arial" w:hAnsi="Arial" w:cs="Arial"/>
          <w:lang w:val="en-GB"/>
        </w:rPr>
        <w:t xml:space="preserve">. C. </w:t>
      </w:r>
      <w:r w:rsidRPr="001325A6">
        <w:rPr>
          <w:rFonts w:ascii="Arial" w:hAnsi="Arial" w:cs="Arial"/>
          <w:lang w:val="en-US"/>
        </w:rPr>
        <w:t>ZH-161 and ZH-305 were exposed to TGF-β2 (20 ng/ml) for 24h. Protein levels of Ki67 (</w:t>
      </w:r>
      <w:r w:rsidRPr="001325A6">
        <w:rPr>
          <w:rFonts w:ascii="Arial" w:hAnsi="Arial" w:cs="Arial"/>
          <w:iCs/>
          <w:lang w:val="en-US"/>
        </w:rPr>
        <w:t>proliferation marker)</w:t>
      </w:r>
      <w:r w:rsidRPr="001325A6">
        <w:rPr>
          <w:rFonts w:ascii="Arial" w:hAnsi="Arial" w:cs="Arial"/>
          <w:lang w:val="en-US"/>
        </w:rPr>
        <w:t xml:space="preserve"> and p21 (inhibitor of cell cycle transition) were assessed by immunoblot. The relative quantification values are </w:t>
      </w:r>
      <w:r w:rsidRPr="001325A6">
        <w:rPr>
          <w:rStyle w:val="Emphasis"/>
          <w:rFonts w:ascii="Arial" w:hAnsi="Arial" w:cs="Arial"/>
          <w:lang w:val="en-US"/>
        </w:rPr>
        <w:t>shown</w:t>
      </w:r>
      <w:r w:rsidRPr="001325A6">
        <w:rPr>
          <w:rFonts w:ascii="Arial" w:hAnsi="Arial" w:cs="Arial"/>
          <w:lang w:val="en-US"/>
        </w:rPr>
        <w:t xml:space="preserve"> below the immunoblot panels.</w:t>
      </w:r>
    </w:p>
    <w:p w:rsidR="000C4B3E" w:rsidRPr="001325A6" w:rsidRDefault="000C4B3E" w:rsidP="000C4B3E">
      <w:pPr>
        <w:pStyle w:val="ListParagraph"/>
        <w:spacing w:line="480" w:lineRule="auto"/>
        <w:ind w:left="0"/>
        <w:jc w:val="both"/>
        <w:rPr>
          <w:rFonts w:ascii="Arial" w:hAnsi="Arial" w:cs="Arial"/>
          <w:lang w:val="en-US"/>
        </w:rPr>
      </w:pPr>
    </w:p>
    <w:p w:rsidR="000C4B3E" w:rsidRPr="001325A6" w:rsidRDefault="000C4B3E" w:rsidP="000C4B3E">
      <w:pPr>
        <w:shd w:val="clear" w:color="auto" w:fill="FFFFFF"/>
        <w:spacing w:line="480" w:lineRule="auto"/>
        <w:ind w:right="283"/>
        <w:rPr>
          <w:rFonts w:ascii="Arial" w:hAnsi="Arial" w:cs="Arial"/>
        </w:rPr>
      </w:pPr>
      <w:r w:rsidRPr="001325A6">
        <w:rPr>
          <w:rFonts w:ascii="Arial" w:hAnsi="Arial" w:cs="Arial"/>
          <w:b/>
          <w:lang w:val="en-GB"/>
        </w:rPr>
        <w:t>Supplementary Figure 7. Spherogenicity-promoting role of e</w:t>
      </w:r>
      <w:r w:rsidRPr="001325A6">
        <w:rPr>
          <w:rFonts w:ascii="Arial" w:hAnsi="Arial" w:cs="Arial"/>
          <w:b/>
        </w:rPr>
        <w:t xml:space="preserve">xogenous </w:t>
      </w:r>
      <w:r w:rsidRPr="001325A6">
        <w:rPr>
          <w:rFonts w:ascii="Arial" w:hAnsi="Arial" w:cs="Arial"/>
          <w:b/>
          <w:iCs/>
        </w:rPr>
        <w:t>HGF</w:t>
      </w:r>
      <w:r w:rsidRPr="001325A6">
        <w:rPr>
          <w:rFonts w:ascii="Arial" w:hAnsi="Arial" w:cs="Arial"/>
          <w:b/>
        </w:rPr>
        <w:t xml:space="preserve">. </w:t>
      </w:r>
      <w:r w:rsidRPr="001325A6">
        <w:rPr>
          <w:rFonts w:ascii="Arial" w:hAnsi="Arial" w:cs="Arial"/>
        </w:rPr>
        <w:t xml:space="preserve">ZH-161, ZH-305 or T-269 cells were seeded at a density of 500 cells/well/100 µl and grown for 21 days in HGF-containing (50 ng/ml) NB medium with (upper panels) or without EGF/FGF (lower panels). Stimulatory effects of </w:t>
      </w:r>
      <w:r w:rsidRPr="001325A6">
        <w:rPr>
          <w:rFonts w:ascii="Arial" w:hAnsi="Arial" w:cs="Arial"/>
          <w:lang w:val="hu-HU"/>
        </w:rPr>
        <w:t>HGF in the absence or presence of TGF-β</w:t>
      </w:r>
      <w:r w:rsidRPr="001325A6">
        <w:rPr>
          <w:rFonts w:ascii="Arial" w:hAnsi="Arial" w:cs="Arial"/>
        </w:rPr>
        <w:t xml:space="preserve">2 (2 ng/ml) under these conditions were analyzed. </w:t>
      </w:r>
      <w:r w:rsidRPr="001325A6">
        <w:rPr>
          <w:rFonts w:ascii="Arial" w:hAnsi="Arial" w:cs="Arial"/>
          <w:noProof/>
        </w:rPr>
        <w:t>S</w:t>
      </w:r>
      <w:r w:rsidRPr="001325A6">
        <w:rPr>
          <w:rFonts w:ascii="Arial" w:hAnsi="Arial" w:cs="Arial"/>
          <w:lang w:val="en-GB"/>
        </w:rPr>
        <w:t xml:space="preserve">pherogenicity was determined by counting </w:t>
      </w:r>
      <w:r w:rsidRPr="001325A6">
        <w:rPr>
          <w:rFonts w:ascii="Arial" w:hAnsi="Arial" w:cs="Arial"/>
          <w:lang w:val="en"/>
        </w:rPr>
        <w:t>spheres.</w:t>
      </w:r>
      <w:r w:rsidRPr="001325A6">
        <w:rPr>
          <w:rFonts w:ascii="Arial" w:hAnsi="Arial" w:cs="Arial"/>
          <w:lang w:val="en-GB"/>
        </w:rPr>
        <w:t xml:space="preserve"> Sphere formation was assessed </w:t>
      </w:r>
      <w:r w:rsidRPr="001325A6">
        <w:rPr>
          <w:rFonts w:ascii="Arial" w:hAnsi="Arial" w:cs="Arial"/>
        </w:rPr>
        <w:t>at day 21</w:t>
      </w:r>
      <w:r w:rsidRPr="001325A6">
        <w:rPr>
          <w:rFonts w:ascii="Arial" w:hAnsi="Arial" w:cs="Arial"/>
          <w:lang w:val="en-GB"/>
        </w:rPr>
        <w:t xml:space="preserve"> in triplicates </w:t>
      </w:r>
      <w:r w:rsidRPr="001325A6">
        <w:rPr>
          <w:rFonts w:ascii="Arial" w:hAnsi="Arial" w:cs="Arial"/>
        </w:rPr>
        <w:t>(</w:t>
      </w:r>
      <w:r w:rsidRPr="001325A6">
        <w:rPr>
          <w:rFonts w:ascii="Arial" w:hAnsi="Arial" w:cs="Arial"/>
          <w:vertAlign w:val="superscript"/>
        </w:rPr>
        <w:t>ϴ</w:t>
      </w:r>
      <w:r w:rsidRPr="001325A6">
        <w:rPr>
          <w:rFonts w:ascii="Arial" w:hAnsi="Arial" w:cs="Arial"/>
          <w:i/>
          <w:iCs/>
        </w:rPr>
        <w:t xml:space="preserve">p </w:t>
      </w:r>
      <w:r w:rsidRPr="001325A6">
        <w:rPr>
          <w:rFonts w:ascii="Arial" w:hAnsi="Arial" w:cs="Arial"/>
        </w:rPr>
        <w:t xml:space="preserve">&lt; 0.05, effect of HGF relative to </w:t>
      </w:r>
      <w:r w:rsidRPr="001325A6">
        <w:rPr>
          <w:rFonts w:ascii="Arial" w:hAnsi="Arial" w:cs="Arial"/>
          <w:lang w:val="hu-HU"/>
        </w:rPr>
        <w:t>control;</w:t>
      </w:r>
      <w:r w:rsidRPr="001325A6">
        <w:rPr>
          <w:rFonts w:ascii="Arial" w:hAnsi="Arial" w:cs="Arial"/>
          <w:sz w:val="28"/>
          <w:szCs w:val="28"/>
          <w:vertAlign w:val="superscript"/>
        </w:rPr>
        <w:t xml:space="preserve"> *</w:t>
      </w:r>
      <w:r w:rsidRPr="001325A6">
        <w:rPr>
          <w:rFonts w:ascii="Arial" w:hAnsi="Arial" w:cs="Arial"/>
          <w:i/>
          <w:iCs/>
        </w:rPr>
        <w:t xml:space="preserve">p </w:t>
      </w:r>
      <w:r w:rsidRPr="001325A6">
        <w:rPr>
          <w:rFonts w:ascii="Arial" w:hAnsi="Arial" w:cs="Arial"/>
        </w:rPr>
        <w:t xml:space="preserve">&lt; 0.05, effect of TGF-β2 relative to </w:t>
      </w:r>
      <w:r w:rsidRPr="001325A6">
        <w:rPr>
          <w:rFonts w:ascii="Arial" w:hAnsi="Arial" w:cs="Arial"/>
          <w:lang w:val="hu-HU"/>
        </w:rPr>
        <w:t xml:space="preserve">control; </w:t>
      </w:r>
      <w:r w:rsidRPr="001325A6">
        <w:rPr>
          <w:rFonts w:ascii="Arial" w:hAnsi="Arial" w:cs="Arial"/>
          <w:vertAlign w:val="superscript"/>
          <w:lang w:val="el-GR"/>
        </w:rPr>
        <w:t>φ</w:t>
      </w:r>
      <w:r w:rsidRPr="001325A6">
        <w:rPr>
          <w:rFonts w:ascii="Arial" w:hAnsi="Arial" w:cs="Arial"/>
          <w:vertAlign w:val="superscript"/>
        </w:rPr>
        <w:t xml:space="preserve"> </w:t>
      </w:r>
      <w:r w:rsidRPr="001325A6">
        <w:rPr>
          <w:rFonts w:ascii="Arial" w:hAnsi="Arial" w:cs="Arial"/>
        </w:rPr>
        <w:t>&lt; 0.05, effect of HGF</w:t>
      </w:r>
      <w:r w:rsidRPr="001325A6">
        <w:rPr>
          <w:rFonts w:ascii="Arial" w:hAnsi="Arial" w:cs="Arial"/>
          <w:lang w:val="hu-HU"/>
        </w:rPr>
        <w:t xml:space="preserve"> </w:t>
      </w:r>
      <w:r w:rsidRPr="001325A6">
        <w:rPr>
          <w:rFonts w:ascii="Arial" w:hAnsi="Arial" w:cs="Arial"/>
        </w:rPr>
        <w:t>and</w:t>
      </w:r>
      <w:r w:rsidRPr="001325A6">
        <w:rPr>
          <w:rFonts w:ascii="Arial" w:hAnsi="Arial" w:cs="Arial"/>
          <w:lang w:val="hu-HU"/>
        </w:rPr>
        <w:t xml:space="preserve"> TGF-β</w:t>
      </w:r>
      <w:r w:rsidRPr="001325A6">
        <w:rPr>
          <w:rFonts w:ascii="Arial" w:hAnsi="Arial" w:cs="Arial"/>
        </w:rPr>
        <w:t>2 co-treatment relative to TGF-β2).</w:t>
      </w:r>
    </w:p>
    <w:p w:rsidR="000C4B3E" w:rsidRPr="001325A6" w:rsidRDefault="000C4B3E" w:rsidP="000C4B3E">
      <w:pPr>
        <w:spacing w:line="480" w:lineRule="auto"/>
        <w:rPr>
          <w:rFonts w:ascii="Arial" w:hAnsi="Arial" w:cs="Arial"/>
        </w:rPr>
      </w:pPr>
    </w:p>
    <w:p w:rsidR="000C4B3E" w:rsidRPr="001325A6" w:rsidRDefault="000C4B3E" w:rsidP="000C4B3E">
      <w:pPr>
        <w:spacing w:line="480" w:lineRule="auto"/>
        <w:rPr>
          <w:rFonts w:ascii="Arial" w:hAnsi="Arial" w:cs="Arial"/>
          <w:b/>
        </w:rPr>
      </w:pPr>
      <w:r w:rsidRPr="001325A6">
        <w:rPr>
          <w:rFonts w:ascii="Arial" w:hAnsi="Arial" w:cs="Arial"/>
          <w:b/>
          <w:bCs/>
          <w:sz w:val="26"/>
          <w:szCs w:val="26"/>
        </w:rPr>
        <w:br w:type="page"/>
      </w:r>
      <w:r w:rsidRPr="001325A6">
        <w:rPr>
          <w:rFonts w:ascii="Arial" w:hAnsi="Arial" w:cs="Arial"/>
          <w:b/>
        </w:rPr>
        <w:lastRenderedPageBreak/>
        <w:t>Table S1 List of primers and their corresponding sequences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252"/>
        <w:gridCol w:w="3969"/>
      </w:tblGrid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Gene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Forward sequence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Reverse sequence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HPRT1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5'-TGAGGATTTGGAAAGGGTGT-3'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5'-GAGCACACAGAGGGCTAC AA-3'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HGF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5'-CCGAACAGGATTCTTTCACC-3'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5'-AGGAGGAGATGCAGGAGGAC 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c-MET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5'-ATGGAAATGCCTCTGGAGTG 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5'-CTGAGATACGCAGCCTGAAG-3'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OCT-4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5'-CGAGAAGGATGTGGTCCGAG-3'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5'-TGTGCATAGTCGCTGCTTGA-3'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SOX-2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5'-CACACTGCCCCTCTCAC-3'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5'-TCCATGCTGTTTCTTACTCTC-3'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SOX-4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5'-GGTCTCTAGTTCTTGCACGCT-3'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 CTGCAAGAAGGGAGCTGGTAA-3'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MUSASHI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5'-CCAATGGGTACCACTGAAGC 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5'-ACTCGTGGTCCTCAGTCAGC-3'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CD133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 TGGATGCAGAACTTGACAACGT 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5'-ATACCTGCTACGACAGTCGTGGT-3'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PAI-1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</w:t>
            </w:r>
            <w:r w:rsidRPr="001325A6">
              <w:rPr>
                <w:rFonts w:ascii="Arial" w:hAnsi="Arial" w:cs="Arial"/>
                <w:b/>
                <w:sz w:val="20"/>
                <w:szCs w:val="20"/>
                <w:lang w:eastAsia="de-DE"/>
              </w:rPr>
              <w:t>CAGAAAGTGAAGATCGAGGTGAAC</w:t>
            </w:r>
            <w:r w:rsidRPr="001325A6">
              <w:rPr>
                <w:rFonts w:ascii="Arial" w:hAnsi="Arial" w:cs="Arial"/>
                <w:b/>
                <w:sz w:val="20"/>
                <w:szCs w:val="20"/>
              </w:rPr>
              <w:t>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</w:t>
            </w:r>
            <w:r w:rsidRPr="001325A6">
              <w:rPr>
                <w:rFonts w:ascii="Arial" w:hAnsi="Arial" w:cs="Arial"/>
                <w:b/>
                <w:sz w:val="20"/>
                <w:szCs w:val="20"/>
                <w:lang w:eastAsia="de-DE"/>
              </w:rPr>
              <w:t>GGAAGGGTCTGTCCATGATGAA</w:t>
            </w:r>
            <w:r w:rsidRPr="001325A6">
              <w:rPr>
                <w:rFonts w:ascii="Arial" w:hAnsi="Arial" w:cs="Arial"/>
                <w:b/>
                <w:sz w:val="20"/>
                <w:szCs w:val="20"/>
              </w:rPr>
              <w:t>-3'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ALK-5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5'-CTGGGAAATTGCTCGACGATG-3'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5'-ACTCTCAAGGCTTCACAGCTC-3'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TGF-β1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5'-GCCCTGGACACCAACTATTG-3'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5'-CGTGTCCAGGCTCCAAATG-3'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TGF-β2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5'-AAGCTTACACTGTCCCTGCTGC-3'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5'-TGTGGAGGTGCCATCAATACCT-3'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TGF-β3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5'-TCAGCCTCTCTCTGTCCACTT-3'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5'-CATCACCGTTGGCTCAGGG-3'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SMAD2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5'-GCACTTGCTCTGAAATTTGGGC-3'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5'-GACGACCATCAAGAGACCTGG-3'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SMAD3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5'-GCCTGTGCTGGAACATCATC-3'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5'-TTGCCCTCATGTGTGCTCTT-3'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SMAD4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5'-GGTTCCTTCAAGCTGCCCTA-3'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5'-ATGTGCAACCTTGCTCTCTCA-3'</w:t>
            </w:r>
          </w:p>
        </w:tc>
      </w:tr>
      <w:tr w:rsidR="000C4B3E" w:rsidRPr="001325A6" w:rsidTr="00BE3631">
        <w:tc>
          <w:tcPr>
            <w:tcW w:w="1418" w:type="dxa"/>
            <w:shd w:val="clear" w:color="auto" w:fill="auto"/>
          </w:tcPr>
          <w:p w:rsidR="000C4B3E" w:rsidRPr="001325A6" w:rsidRDefault="000C4B3E" w:rsidP="00BE3631">
            <w:pPr>
              <w:ind w:left="-810" w:firstLine="81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i/>
                <w:sz w:val="20"/>
                <w:szCs w:val="20"/>
              </w:rPr>
              <w:t>NANOG</w:t>
            </w:r>
          </w:p>
        </w:tc>
        <w:tc>
          <w:tcPr>
            <w:tcW w:w="4252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5'-GAAATACCTCAGCCTCCAGC-3'</w:t>
            </w:r>
          </w:p>
        </w:tc>
        <w:tc>
          <w:tcPr>
            <w:tcW w:w="3969" w:type="dxa"/>
            <w:shd w:val="clear" w:color="auto" w:fill="auto"/>
          </w:tcPr>
          <w:p w:rsidR="000C4B3E" w:rsidRPr="001325A6" w:rsidRDefault="000C4B3E" w:rsidP="00BE3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5A6">
              <w:rPr>
                <w:rFonts w:ascii="Arial" w:hAnsi="Arial" w:cs="Arial"/>
                <w:b/>
                <w:sz w:val="20"/>
                <w:szCs w:val="20"/>
              </w:rPr>
              <w:t>5'-GCGTCACACCATTGCTATTC-3'</w:t>
            </w:r>
          </w:p>
        </w:tc>
      </w:tr>
    </w:tbl>
    <w:p w:rsidR="000C4B3E" w:rsidRPr="001325A6" w:rsidRDefault="000C4B3E" w:rsidP="000C4B3E">
      <w:pPr>
        <w:spacing w:line="480" w:lineRule="auto"/>
        <w:rPr>
          <w:rFonts w:ascii="Arial" w:hAnsi="Arial" w:cs="Arial"/>
        </w:rPr>
      </w:pPr>
    </w:p>
    <w:p w:rsidR="00BF6CCE" w:rsidRDefault="00BF6CCE">
      <w:bookmarkStart w:id="0" w:name="_GoBack"/>
      <w:bookmarkEnd w:id="0"/>
    </w:p>
    <w:sectPr w:rsidR="00BF6CCE" w:rsidSect="001325A6">
      <w:footerReference w:type="default" r:id="rId5"/>
      <w:pgSz w:w="11906" w:h="16838"/>
      <w:pgMar w:top="1417" w:right="991" w:bottom="1134" w:left="993" w:header="68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5A6" w:rsidRDefault="000C4B3E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0C4B3E">
      <w:rPr>
        <w:noProof/>
        <w:lang w:val="de-DE"/>
      </w:rPr>
      <w:t>4</w:t>
    </w:r>
    <w:r>
      <w:fldChar w:fldCharType="end"/>
    </w:r>
  </w:p>
  <w:p w:rsidR="001325A6" w:rsidRDefault="000C4B3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B3E"/>
    <w:rsid w:val="000C4B3E"/>
    <w:rsid w:val="005141FD"/>
    <w:rsid w:val="00657CA4"/>
    <w:rsid w:val="00882588"/>
    <w:rsid w:val="00B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0C4B3E"/>
    <w:rPr>
      <w:b/>
      <w:bCs/>
      <w:i w:val="0"/>
      <w:iCs w:val="0"/>
    </w:rPr>
  </w:style>
  <w:style w:type="paragraph" w:styleId="NormalWeb">
    <w:name w:val="Normal (Web)"/>
    <w:basedOn w:val="Normal"/>
    <w:uiPriority w:val="99"/>
    <w:rsid w:val="000C4B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6556D"/>
      <w:sz w:val="24"/>
      <w:szCs w:val="24"/>
      <w:lang w:val="de-CH" w:eastAsia="de-CH"/>
    </w:rPr>
  </w:style>
  <w:style w:type="character" w:customStyle="1" w:styleId="st1">
    <w:name w:val="st1"/>
    <w:basedOn w:val="DefaultParagraphFont"/>
    <w:rsid w:val="000C4B3E"/>
  </w:style>
  <w:style w:type="paragraph" w:styleId="Footer">
    <w:name w:val="footer"/>
    <w:basedOn w:val="Normal"/>
    <w:link w:val="FooterChar"/>
    <w:uiPriority w:val="99"/>
    <w:rsid w:val="000C4B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0C4B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0C4B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character" w:customStyle="1" w:styleId="copy4">
    <w:name w:val="copy4"/>
    <w:rsid w:val="000C4B3E"/>
    <w:rPr>
      <w:rFonts w:ascii="Cambria" w:hAnsi="Cambria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0C4B3E"/>
    <w:rPr>
      <w:b/>
      <w:bCs/>
      <w:i w:val="0"/>
      <w:iCs w:val="0"/>
    </w:rPr>
  </w:style>
  <w:style w:type="paragraph" w:styleId="NormalWeb">
    <w:name w:val="Normal (Web)"/>
    <w:basedOn w:val="Normal"/>
    <w:uiPriority w:val="99"/>
    <w:rsid w:val="000C4B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6556D"/>
      <w:sz w:val="24"/>
      <w:szCs w:val="24"/>
      <w:lang w:val="de-CH" w:eastAsia="de-CH"/>
    </w:rPr>
  </w:style>
  <w:style w:type="character" w:customStyle="1" w:styleId="st1">
    <w:name w:val="st1"/>
    <w:basedOn w:val="DefaultParagraphFont"/>
    <w:rsid w:val="000C4B3E"/>
  </w:style>
  <w:style w:type="paragraph" w:styleId="Footer">
    <w:name w:val="footer"/>
    <w:basedOn w:val="Normal"/>
    <w:link w:val="FooterChar"/>
    <w:uiPriority w:val="99"/>
    <w:rsid w:val="000C4B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0C4B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0C4B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character" w:customStyle="1" w:styleId="copy4">
    <w:name w:val="copy4"/>
    <w:rsid w:val="000C4B3E"/>
    <w:rPr>
      <w:rFonts w:ascii="Cambria" w:hAnsi="Cambria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945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ABHISHEK BISHT</dc:creator>
  <cp:lastModifiedBy>ABHISHEK BISHT</cp:lastModifiedBy>
  <cp:revision>1</cp:revision>
  <dcterms:created xsi:type="dcterms:W3CDTF">2017-10-25T07:26:00Z</dcterms:created>
  <dcterms:modified xsi:type="dcterms:W3CDTF">2017-10-25T07:26:00Z</dcterms:modified>
</cp:coreProperties>
</file>