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D3E" w:rsidRPr="007B04E4" w:rsidRDefault="00E41D3E" w:rsidP="00E41D3E">
      <w:pPr>
        <w:spacing w:line="360" w:lineRule="auto"/>
        <w:jc w:val="both"/>
        <w:rPr>
          <w:rFonts w:ascii="Arial" w:hAnsi="Arial" w:cs="Arial"/>
          <w:b/>
          <w:sz w:val="22"/>
          <w:szCs w:val="22"/>
        </w:rPr>
      </w:pPr>
      <w:bookmarkStart w:id="0" w:name="_GoBack"/>
      <w:bookmarkEnd w:id="0"/>
      <w:r w:rsidRPr="007B04E4">
        <w:rPr>
          <w:rFonts w:ascii="Arial" w:hAnsi="Arial" w:cs="Arial"/>
          <w:b/>
          <w:sz w:val="22"/>
          <w:szCs w:val="22"/>
        </w:rPr>
        <w:t xml:space="preserve">Legends supplemental information </w:t>
      </w:r>
    </w:p>
    <w:p w:rsidR="00E41D3E" w:rsidRDefault="00E41D3E" w:rsidP="00E41D3E">
      <w:pPr>
        <w:spacing w:line="360" w:lineRule="auto"/>
        <w:jc w:val="both"/>
        <w:rPr>
          <w:rFonts w:ascii="Arial" w:hAnsi="Arial" w:cs="Arial"/>
          <w:sz w:val="22"/>
          <w:szCs w:val="22"/>
        </w:rPr>
      </w:pPr>
    </w:p>
    <w:p w:rsidR="00E41D3E" w:rsidRPr="008E5BBD" w:rsidRDefault="00E41D3E" w:rsidP="00E41D3E">
      <w:pPr>
        <w:spacing w:line="360" w:lineRule="auto"/>
        <w:jc w:val="both"/>
        <w:rPr>
          <w:rFonts w:ascii="Arial" w:hAnsi="Arial" w:cs="Arial"/>
          <w:noProof/>
          <w:sz w:val="22"/>
          <w:szCs w:val="22"/>
          <w:lang w:eastAsia="es-US"/>
        </w:rPr>
      </w:pPr>
      <w:r>
        <w:rPr>
          <w:rFonts w:ascii="Arial" w:hAnsi="Arial" w:cs="Arial"/>
          <w:b/>
          <w:noProof/>
          <w:sz w:val="22"/>
          <w:szCs w:val="22"/>
          <w:lang w:eastAsia="es-US"/>
        </w:rPr>
        <w:t>Supplemental Table</w:t>
      </w:r>
      <w:r w:rsidRPr="008E5BBD">
        <w:rPr>
          <w:rFonts w:ascii="Arial" w:hAnsi="Arial" w:cs="Arial"/>
          <w:b/>
          <w:noProof/>
          <w:sz w:val="22"/>
          <w:szCs w:val="22"/>
          <w:lang w:eastAsia="es-US"/>
        </w:rPr>
        <w:t xml:space="preserve"> 1. </w:t>
      </w:r>
      <w:r w:rsidRPr="00BA3EF3">
        <w:rPr>
          <w:rFonts w:ascii="Arial" w:hAnsi="Arial" w:cs="Arial"/>
          <w:noProof/>
          <w:sz w:val="22"/>
          <w:szCs w:val="22"/>
          <w:lang w:eastAsia="es-US"/>
        </w:rPr>
        <w:t>Table providing detailed information on chromosomal alterations detected by SNP array in parental fibroblasts and iPSC in WT and SAA cell lines.</w:t>
      </w:r>
    </w:p>
    <w:p w:rsidR="00E41D3E" w:rsidRDefault="00E41D3E" w:rsidP="00E41D3E">
      <w:pPr>
        <w:spacing w:line="360" w:lineRule="auto"/>
        <w:jc w:val="both"/>
        <w:rPr>
          <w:rFonts w:ascii="Arial" w:hAnsi="Arial" w:cs="Arial"/>
          <w:b/>
          <w:sz w:val="22"/>
          <w:szCs w:val="22"/>
        </w:rPr>
      </w:pPr>
    </w:p>
    <w:p w:rsidR="00E41D3E" w:rsidRPr="0050209F" w:rsidRDefault="00E41D3E" w:rsidP="00E41D3E">
      <w:pPr>
        <w:spacing w:line="360" w:lineRule="auto"/>
        <w:jc w:val="both"/>
        <w:rPr>
          <w:rFonts w:ascii="Arial" w:hAnsi="Arial" w:cs="Arial"/>
          <w:sz w:val="22"/>
          <w:szCs w:val="22"/>
        </w:rPr>
      </w:pPr>
      <w:proofErr w:type="gramStart"/>
      <w:r>
        <w:rPr>
          <w:rFonts w:ascii="Arial" w:hAnsi="Arial" w:cs="Arial"/>
          <w:b/>
          <w:sz w:val="22"/>
          <w:szCs w:val="22"/>
        </w:rPr>
        <w:t>Supplemental Table 2</w:t>
      </w:r>
      <w:r w:rsidRPr="0050209F">
        <w:rPr>
          <w:rFonts w:ascii="Arial" w:hAnsi="Arial" w:cs="Arial"/>
          <w:sz w:val="22"/>
          <w:szCs w:val="22"/>
        </w:rPr>
        <w:t>.</w:t>
      </w:r>
      <w:proofErr w:type="gramEnd"/>
      <w:r w:rsidRPr="0050209F">
        <w:rPr>
          <w:rFonts w:ascii="Arial" w:hAnsi="Arial" w:cs="Arial"/>
          <w:sz w:val="22"/>
          <w:szCs w:val="22"/>
        </w:rPr>
        <w:t xml:space="preserve"> </w:t>
      </w:r>
      <w:r w:rsidRPr="0050209F">
        <w:rPr>
          <w:rFonts w:ascii="Arial" w:hAnsi="Arial" w:cs="Arial"/>
          <w:b/>
          <w:bCs/>
          <w:sz w:val="22"/>
          <w:szCs w:val="22"/>
        </w:rPr>
        <w:t xml:space="preserve">Summary of </w:t>
      </w:r>
      <w:proofErr w:type="spellStart"/>
      <w:r w:rsidRPr="0050209F">
        <w:rPr>
          <w:rFonts w:ascii="Arial" w:hAnsi="Arial" w:cs="Arial"/>
          <w:b/>
          <w:bCs/>
          <w:sz w:val="22"/>
          <w:szCs w:val="22"/>
        </w:rPr>
        <w:t>exome</w:t>
      </w:r>
      <w:proofErr w:type="spellEnd"/>
      <w:r w:rsidRPr="0050209F">
        <w:rPr>
          <w:rFonts w:ascii="Arial" w:hAnsi="Arial" w:cs="Arial"/>
          <w:b/>
          <w:bCs/>
          <w:sz w:val="22"/>
          <w:szCs w:val="22"/>
        </w:rPr>
        <w:t xml:space="preserve"> sequencing performed on dermal skin fibroblasts obtained from the SAA</w:t>
      </w:r>
      <w:r>
        <w:rPr>
          <w:rFonts w:ascii="Arial" w:hAnsi="Arial" w:cs="Arial"/>
          <w:b/>
          <w:bCs/>
          <w:sz w:val="22"/>
          <w:szCs w:val="22"/>
        </w:rPr>
        <w:t xml:space="preserve"> </w:t>
      </w:r>
      <w:r w:rsidRPr="0050209F">
        <w:rPr>
          <w:rFonts w:ascii="Arial" w:hAnsi="Arial" w:cs="Arial"/>
          <w:b/>
          <w:bCs/>
          <w:sz w:val="22"/>
          <w:szCs w:val="22"/>
        </w:rPr>
        <w:t>patients</w:t>
      </w:r>
      <w:r w:rsidRPr="0050209F">
        <w:rPr>
          <w:rFonts w:ascii="Arial" w:hAnsi="Arial" w:cs="Arial"/>
          <w:sz w:val="22"/>
          <w:szCs w:val="22"/>
        </w:rPr>
        <w:t>.  A filtering strategy was used for each patient as follows:</w:t>
      </w:r>
    </w:p>
    <w:p w:rsidR="00E41D3E" w:rsidRPr="0050209F" w:rsidRDefault="00E41D3E" w:rsidP="00E41D3E">
      <w:pPr>
        <w:numPr>
          <w:ilvl w:val="0"/>
          <w:numId w:val="1"/>
        </w:numPr>
        <w:spacing w:after="200" w:line="360" w:lineRule="auto"/>
        <w:jc w:val="both"/>
        <w:rPr>
          <w:rFonts w:ascii="Arial" w:hAnsi="Arial" w:cs="Arial"/>
          <w:sz w:val="22"/>
          <w:szCs w:val="22"/>
        </w:rPr>
      </w:pPr>
      <w:proofErr w:type="spellStart"/>
      <w:r w:rsidRPr="0050209F">
        <w:rPr>
          <w:rFonts w:ascii="Arial" w:hAnsi="Arial" w:cs="Arial"/>
          <w:sz w:val="22"/>
          <w:szCs w:val="22"/>
        </w:rPr>
        <w:t>Exonic</w:t>
      </w:r>
      <w:proofErr w:type="spellEnd"/>
      <w:r w:rsidRPr="0050209F">
        <w:rPr>
          <w:rFonts w:ascii="Arial" w:hAnsi="Arial" w:cs="Arial"/>
          <w:sz w:val="22"/>
          <w:szCs w:val="22"/>
        </w:rPr>
        <w:t xml:space="preserve"> variants were generated by removing Synonymous SNVs and non-</w:t>
      </w:r>
      <w:proofErr w:type="spellStart"/>
      <w:r w:rsidRPr="0050209F">
        <w:rPr>
          <w:rFonts w:ascii="Arial" w:hAnsi="Arial" w:cs="Arial"/>
          <w:sz w:val="22"/>
          <w:szCs w:val="22"/>
        </w:rPr>
        <w:t>exonic</w:t>
      </w:r>
      <w:proofErr w:type="spellEnd"/>
      <w:r w:rsidRPr="0050209F">
        <w:rPr>
          <w:rFonts w:ascii="Arial" w:hAnsi="Arial" w:cs="Arial"/>
          <w:sz w:val="22"/>
          <w:szCs w:val="22"/>
        </w:rPr>
        <w:t xml:space="preserve"> variants. </w:t>
      </w:r>
    </w:p>
    <w:p w:rsidR="00E41D3E" w:rsidRPr="0050209F" w:rsidRDefault="00E41D3E" w:rsidP="00E41D3E">
      <w:pPr>
        <w:numPr>
          <w:ilvl w:val="0"/>
          <w:numId w:val="1"/>
        </w:numPr>
        <w:spacing w:after="200" w:line="360" w:lineRule="auto"/>
        <w:jc w:val="both"/>
        <w:rPr>
          <w:rFonts w:ascii="Arial" w:hAnsi="Arial" w:cs="Arial"/>
          <w:sz w:val="22"/>
          <w:szCs w:val="22"/>
        </w:rPr>
      </w:pPr>
      <w:r w:rsidRPr="0050209F">
        <w:rPr>
          <w:rFonts w:ascii="Arial" w:hAnsi="Arial" w:cs="Arial"/>
          <w:sz w:val="22"/>
          <w:szCs w:val="22"/>
        </w:rPr>
        <w:t xml:space="preserve">Rare </w:t>
      </w:r>
      <w:proofErr w:type="spellStart"/>
      <w:r w:rsidRPr="0050209F">
        <w:rPr>
          <w:rFonts w:ascii="Arial" w:hAnsi="Arial" w:cs="Arial"/>
          <w:sz w:val="22"/>
          <w:szCs w:val="22"/>
        </w:rPr>
        <w:t>exonic</w:t>
      </w:r>
      <w:proofErr w:type="spellEnd"/>
      <w:r w:rsidRPr="0050209F">
        <w:rPr>
          <w:rFonts w:ascii="Arial" w:hAnsi="Arial" w:cs="Arial"/>
          <w:sz w:val="22"/>
          <w:szCs w:val="22"/>
        </w:rPr>
        <w:t xml:space="preserve"> variants were generated  by removing variants with alternative allele frequency in either 1000Genomes project / ESP6500 / cg69 / </w:t>
      </w:r>
      <w:proofErr w:type="spellStart"/>
      <w:r w:rsidRPr="0050209F">
        <w:rPr>
          <w:rFonts w:ascii="Arial" w:hAnsi="Arial" w:cs="Arial"/>
          <w:sz w:val="22"/>
          <w:szCs w:val="22"/>
        </w:rPr>
        <w:t>inHouseExomes</w:t>
      </w:r>
      <w:proofErr w:type="spellEnd"/>
      <w:r w:rsidRPr="0050209F">
        <w:rPr>
          <w:rFonts w:ascii="Arial" w:hAnsi="Arial" w:cs="Arial"/>
          <w:sz w:val="22"/>
          <w:szCs w:val="22"/>
        </w:rPr>
        <w:t xml:space="preserve"> / </w:t>
      </w:r>
      <w:proofErr w:type="spellStart"/>
      <w:r w:rsidRPr="0050209F">
        <w:rPr>
          <w:rFonts w:ascii="Arial" w:hAnsi="Arial" w:cs="Arial"/>
          <w:sz w:val="22"/>
          <w:szCs w:val="22"/>
        </w:rPr>
        <w:t>InHouse</w:t>
      </w:r>
      <w:proofErr w:type="spellEnd"/>
      <w:r w:rsidRPr="0050209F">
        <w:rPr>
          <w:rFonts w:ascii="Arial" w:hAnsi="Arial" w:cs="Arial"/>
          <w:sz w:val="22"/>
          <w:szCs w:val="22"/>
        </w:rPr>
        <w:t xml:space="preserve"> GATK </w:t>
      </w:r>
      <w:proofErr w:type="spellStart"/>
      <w:r w:rsidRPr="0050209F">
        <w:rPr>
          <w:rFonts w:ascii="Arial" w:hAnsi="Arial" w:cs="Arial"/>
          <w:sz w:val="22"/>
          <w:szCs w:val="22"/>
        </w:rPr>
        <w:t>Exomes</w:t>
      </w:r>
      <w:proofErr w:type="spellEnd"/>
      <w:r w:rsidRPr="0050209F">
        <w:rPr>
          <w:rFonts w:ascii="Arial" w:hAnsi="Arial" w:cs="Arial"/>
          <w:sz w:val="22"/>
          <w:szCs w:val="22"/>
        </w:rPr>
        <w:t xml:space="preserve">  greater than 0.05 </w:t>
      </w:r>
    </w:p>
    <w:p w:rsidR="00E41D3E" w:rsidRPr="0050209F" w:rsidRDefault="00E41D3E" w:rsidP="00E41D3E">
      <w:pPr>
        <w:numPr>
          <w:ilvl w:val="0"/>
          <w:numId w:val="1"/>
        </w:numPr>
        <w:spacing w:after="200" w:line="360" w:lineRule="auto"/>
        <w:jc w:val="both"/>
        <w:rPr>
          <w:rFonts w:ascii="Arial" w:hAnsi="Arial" w:cs="Arial"/>
          <w:sz w:val="22"/>
          <w:szCs w:val="22"/>
        </w:rPr>
      </w:pPr>
      <w:r w:rsidRPr="0050209F">
        <w:rPr>
          <w:rFonts w:ascii="Arial" w:hAnsi="Arial" w:cs="Arial"/>
          <w:sz w:val="22"/>
          <w:szCs w:val="22"/>
        </w:rPr>
        <w:t xml:space="preserve">Rare interested hits were generated if they had both 1000Genomes </w:t>
      </w:r>
      <w:proofErr w:type="spellStart"/>
      <w:r w:rsidRPr="0050209F">
        <w:rPr>
          <w:rFonts w:ascii="Arial" w:hAnsi="Arial" w:cs="Arial"/>
          <w:sz w:val="22"/>
          <w:szCs w:val="22"/>
        </w:rPr>
        <w:t>Freq</w:t>
      </w:r>
      <w:proofErr w:type="spellEnd"/>
      <w:r w:rsidRPr="0050209F">
        <w:rPr>
          <w:rFonts w:ascii="Arial" w:hAnsi="Arial" w:cs="Arial"/>
          <w:sz w:val="22"/>
          <w:szCs w:val="22"/>
        </w:rPr>
        <w:t xml:space="preserve"> &lt;= 0.01 and ESP6500 </w:t>
      </w:r>
      <w:proofErr w:type="spellStart"/>
      <w:r w:rsidRPr="0050209F">
        <w:rPr>
          <w:rFonts w:ascii="Arial" w:hAnsi="Arial" w:cs="Arial"/>
          <w:sz w:val="22"/>
          <w:szCs w:val="22"/>
        </w:rPr>
        <w:t>Freq</w:t>
      </w:r>
      <w:proofErr w:type="spellEnd"/>
      <w:r w:rsidRPr="0050209F">
        <w:rPr>
          <w:rFonts w:ascii="Arial" w:hAnsi="Arial" w:cs="Arial"/>
          <w:sz w:val="22"/>
          <w:szCs w:val="22"/>
        </w:rPr>
        <w:t xml:space="preserve"> &lt;= 0.01.</w:t>
      </w:r>
    </w:p>
    <w:p w:rsidR="00E41D3E" w:rsidRPr="0050209F" w:rsidRDefault="00E41D3E" w:rsidP="00E41D3E">
      <w:pPr>
        <w:numPr>
          <w:ilvl w:val="0"/>
          <w:numId w:val="1"/>
        </w:numPr>
        <w:spacing w:after="200" w:line="360" w:lineRule="auto"/>
        <w:jc w:val="both"/>
        <w:rPr>
          <w:rFonts w:ascii="Arial" w:hAnsi="Arial" w:cs="Arial"/>
          <w:sz w:val="22"/>
          <w:szCs w:val="22"/>
        </w:rPr>
      </w:pPr>
      <w:r w:rsidRPr="0050209F">
        <w:rPr>
          <w:rFonts w:ascii="Arial" w:hAnsi="Arial" w:cs="Arial"/>
          <w:sz w:val="22"/>
          <w:szCs w:val="22"/>
        </w:rPr>
        <w:t xml:space="preserve">X linked variants were generated by removing variants that were not on chromosome X. </w:t>
      </w:r>
    </w:p>
    <w:p w:rsidR="00E41D3E" w:rsidRPr="0050209F" w:rsidRDefault="00E41D3E" w:rsidP="00E41D3E">
      <w:pPr>
        <w:numPr>
          <w:ilvl w:val="0"/>
          <w:numId w:val="1"/>
        </w:numPr>
        <w:spacing w:after="200" w:line="360" w:lineRule="auto"/>
        <w:jc w:val="both"/>
        <w:rPr>
          <w:rFonts w:ascii="Arial" w:hAnsi="Arial" w:cs="Arial"/>
          <w:sz w:val="22"/>
          <w:szCs w:val="22"/>
        </w:rPr>
      </w:pPr>
      <w:r w:rsidRPr="0050209F">
        <w:rPr>
          <w:rFonts w:ascii="Arial" w:hAnsi="Arial" w:cs="Arial"/>
          <w:sz w:val="22"/>
          <w:szCs w:val="22"/>
        </w:rPr>
        <w:t>Homozygous variants were generated by removing variants that were not on autosomal chromosomes, compound heterozygotes and heterozygous variants.</w:t>
      </w:r>
    </w:p>
    <w:p w:rsidR="00E41D3E" w:rsidRPr="0050209F" w:rsidRDefault="00E41D3E" w:rsidP="00E41D3E">
      <w:pPr>
        <w:numPr>
          <w:ilvl w:val="0"/>
          <w:numId w:val="1"/>
        </w:numPr>
        <w:spacing w:after="200" w:line="360" w:lineRule="auto"/>
        <w:jc w:val="both"/>
        <w:rPr>
          <w:rFonts w:ascii="Arial" w:hAnsi="Arial" w:cs="Arial"/>
          <w:sz w:val="22"/>
          <w:szCs w:val="22"/>
        </w:rPr>
      </w:pPr>
      <w:r w:rsidRPr="0050209F">
        <w:rPr>
          <w:rFonts w:ascii="Arial" w:hAnsi="Arial" w:cs="Arial"/>
          <w:sz w:val="22"/>
          <w:szCs w:val="22"/>
        </w:rPr>
        <w:t>Compound heterozygotes were generated by keeping genes with two or more rare variants.</w:t>
      </w:r>
    </w:p>
    <w:p w:rsidR="00E41D3E" w:rsidRPr="0050209F" w:rsidRDefault="00E41D3E" w:rsidP="00E41D3E">
      <w:pPr>
        <w:numPr>
          <w:ilvl w:val="0"/>
          <w:numId w:val="1"/>
        </w:numPr>
        <w:spacing w:after="200" w:line="360" w:lineRule="auto"/>
        <w:jc w:val="both"/>
        <w:rPr>
          <w:rFonts w:ascii="Arial" w:hAnsi="Arial" w:cs="Arial"/>
          <w:sz w:val="22"/>
          <w:szCs w:val="22"/>
        </w:rPr>
      </w:pPr>
      <w:r w:rsidRPr="0050209F">
        <w:rPr>
          <w:rFonts w:ascii="Arial" w:hAnsi="Arial" w:cs="Arial"/>
          <w:sz w:val="22"/>
          <w:szCs w:val="22"/>
        </w:rPr>
        <w:t>Deleterious variants were generated by selecting variants that were predicted Deleterious by at least one of the predictors (SIFT or PolypHEN2) and those that had alternative allele frequency less than 0.01 in both 1000Genomes project and ESP6500.</w:t>
      </w:r>
    </w:p>
    <w:p w:rsidR="00E41D3E" w:rsidRPr="00A164DF" w:rsidRDefault="00E41D3E" w:rsidP="00E41D3E">
      <w:pPr>
        <w:spacing w:line="360" w:lineRule="auto"/>
        <w:jc w:val="both"/>
        <w:rPr>
          <w:rFonts w:ascii="Arial" w:hAnsi="Arial" w:cs="Arial"/>
          <w:sz w:val="22"/>
          <w:szCs w:val="22"/>
        </w:rPr>
      </w:pPr>
      <w:proofErr w:type="gramStart"/>
      <w:r w:rsidRPr="00A164DF">
        <w:rPr>
          <w:rFonts w:ascii="Arial" w:hAnsi="Arial" w:cs="Arial"/>
          <w:b/>
          <w:sz w:val="22"/>
          <w:szCs w:val="22"/>
        </w:rPr>
        <w:t xml:space="preserve">Supplemental Table </w:t>
      </w:r>
      <w:r>
        <w:rPr>
          <w:rFonts w:ascii="Arial" w:hAnsi="Arial" w:cs="Arial"/>
          <w:b/>
          <w:sz w:val="22"/>
          <w:szCs w:val="22"/>
        </w:rPr>
        <w:t>3</w:t>
      </w:r>
      <w:r w:rsidRPr="00A164DF">
        <w:rPr>
          <w:rFonts w:ascii="Arial" w:hAnsi="Arial" w:cs="Arial"/>
          <w:sz w:val="22"/>
          <w:szCs w:val="22"/>
        </w:rPr>
        <w:t>.</w:t>
      </w:r>
      <w:proofErr w:type="gramEnd"/>
      <w:r w:rsidRPr="00A164DF">
        <w:rPr>
          <w:rFonts w:ascii="Arial" w:hAnsi="Arial" w:cs="Arial"/>
          <w:sz w:val="22"/>
          <w:szCs w:val="22"/>
        </w:rPr>
        <w:t xml:space="preserve"> </w:t>
      </w:r>
      <w:r w:rsidRPr="00A164DF">
        <w:rPr>
          <w:rFonts w:ascii="Arial" w:hAnsi="Arial" w:cs="Arial"/>
          <w:bCs/>
          <w:sz w:val="22"/>
          <w:szCs w:val="22"/>
        </w:rPr>
        <w:t xml:space="preserve">List of deleterious variants identified in SAA patients by </w:t>
      </w:r>
      <w:proofErr w:type="spellStart"/>
      <w:r w:rsidRPr="00A164DF">
        <w:rPr>
          <w:rFonts w:ascii="Arial" w:hAnsi="Arial" w:cs="Arial"/>
          <w:bCs/>
          <w:sz w:val="22"/>
          <w:szCs w:val="22"/>
        </w:rPr>
        <w:t>exome</w:t>
      </w:r>
      <w:proofErr w:type="spellEnd"/>
      <w:r w:rsidRPr="00A164DF">
        <w:rPr>
          <w:rFonts w:ascii="Arial" w:hAnsi="Arial" w:cs="Arial"/>
          <w:bCs/>
          <w:sz w:val="22"/>
          <w:szCs w:val="22"/>
        </w:rPr>
        <w:t xml:space="preserve"> sequencing analysis.</w:t>
      </w:r>
    </w:p>
    <w:p w:rsidR="00E41D3E" w:rsidRDefault="00E41D3E" w:rsidP="00E41D3E">
      <w:pPr>
        <w:rPr>
          <w:rFonts w:ascii="Arial" w:hAnsi="Arial" w:cs="Arial"/>
          <w:noProof/>
          <w:sz w:val="20"/>
          <w:szCs w:val="20"/>
          <w:lang w:eastAsia="es-US"/>
        </w:rPr>
      </w:pPr>
    </w:p>
    <w:p w:rsidR="00E41D3E" w:rsidRPr="008E5BBD" w:rsidRDefault="00E41D3E" w:rsidP="00E41D3E">
      <w:pPr>
        <w:spacing w:line="360" w:lineRule="auto"/>
        <w:jc w:val="both"/>
        <w:rPr>
          <w:rFonts w:ascii="Arial" w:hAnsi="Arial" w:cs="Arial"/>
          <w:noProof/>
          <w:sz w:val="22"/>
          <w:szCs w:val="22"/>
          <w:lang w:eastAsia="es-US"/>
        </w:rPr>
      </w:pPr>
      <w:r w:rsidRPr="008E5BBD">
        <w:rPr>
          <w:rFonts w:ascii="Arial" w:hAnsi="Arial" w:cs="Arial"/>
          <w:b/>
          <w:noProof/>
          <w:sz w:val="22"/>
          <w:szCs w:val="22"/>
          <w:lang w:eastAsia="es-US"/>
        </w:rPr>
        <w:t xml:space="preserve">Supplemental Figure 1. </w:t>
      </w:r>
      <w:r w:rsidRPr="008E5BBD">
        <w:rPr>
          <w:rFonts w:ascii="Arial" w:hAnsi="Arial" w:cs="Arial"/>
          <w:noProof/>
          <w:sz w:val="22"/>
          <w:szCs w:val="22"/>
          <w:lang w:eastAsia="es-US"/>
        </w:rPr>
        <w:t>Expression of reprogramming transgenes was analyzed by RT-PCR using transgene-specific primers in WT and SAA-iPSC. Fibroblasts at day 7 post transduction w</w:t>
      </w:r>
      <w:r>
        <w:rPr>
          <w:rFonts w:ascii="Arial" w:hAnsi="Arial" w:cs="Arial"/>
          <w:noProof/>
          <w:sz w:val="22"/>
          <w:szCs w:val="22"/>
          <w:lang w:eastAsia="es-US"/>
        </w:rPr>
        <w:t>ere used as a positive control.</w:t>
      </w:r>
    </w:p>
    <w:p w:rsidR="00E41D3E" w:rsidRPr="008E5BBD" w:rsidRDefault="00E41D3E" w:rsidP="00E41D3E">
      <w:pPr>
        <w:rPr>
          <w:sz w:val="22"/>
          <w:szCs w:val="22"/>
        </w:rPr>
      </w:pPr>
    </w:p>
    <w:p w:rsidR="00E41D3E" w:rsidRPr="008E5BBD" w:rsidRDefault="00E41D3E" w:rsidP="00E41D3E">
      <w:pPr>
        <w:spacing w:line="360" w:lineRule="auto"/>
        <w:jc w:val="both"/>
        <w:rPr>
          <w:rFonts w:ascii="Arial" w:hAnsi="Arial" w:cs="Arial"/>
          <w:sz w:val="22"/>
          <w:szCs w:val="22"/>
        </w:rPr>
      </w:pPr>
      <w:r w:rsidRPr="008E5BBD">
        <w:rPr>
          <w:rFonts w:ascii="Arial" w:hAnsi="Arial" w:cs="Arial"/>
          <w:b/>
          <w:noProof/>
          <w:sz w:val="22"/>
          <w:szCs w:val="22"/>
          <w:lang w:eastAsia="es-US"/>
        </w:rPr>
        <w:lastRenderedPageBreak/>
        <w:t>Supplemental Figure 2.</w:t>
      </w:r>
      <w:r w:rsidRPr="008E5BBD">
        <w:rPr>
          <w:rFonts w:ascii="Arial" w:hAnsi="Arial" w:cs="Arial"/>
          <w:noProof/>
          <w:sz w:val="22"/>
          <w:szCs w:val="22"/>
          <w:lang w:eastAsia="es-US"/>
        </w:rPr>
        <w:t xml:space="preserve"> (</w:t>
      </w:r>
      <w:r w:rsidRPr="008E5BBD">
        <w:rPr>
          <w:rFonts w:ascii="Arial" w:hAnsi="Arial" w:cs="Arial"/>
          <w:b/>
          <w:noProof/>
          <w:sz w:val="22"/>
          <w:szCs w:val="22"/>
          <w:lang w:eastAsia="es-US"/>
        </w:rPr>
        <w:t>a</w:t>
      </w:r>
      <w:r w:rsidRPr="008E5BBD">
        <w:rPr>
          <w:rFonts w:ascii="Arial" w:hAnsi="Arial" w:cs="Arial"/>
          <w:noProof/>
          <w:sz w:val="22"/>
          <w:szCs w:val="22"/>
          <w:lang w:eastAsia="es-US"/>
        </w:rPr>
        <w:t>) Brightfield images of control and SAA-iPSC colonies displaying typical ESC-like morphology and immunostaining of WT and SAA-iPSC colonies with pluripotency markers. DAPI staining is shown in blue. Scale bars, 100µm. (</w:t>
      </w:r>
      <w:r w:rsidRPr="008E5BBD">
        <w:rPr>
          <w:rFonts w:ascii="Arial" w:hAnsi="Arial" w:cs="Arial"/>
          <w:b/>
          <w:noProof/>
          <w:sz w:val="22"/>
          <w:szCs w:val="22"/>
          <w:lang w:eastAsia="es-US"/>
        </w:rPr>
        <w:t>b</w:t>
      </w:r>
      <w:r w:rsidRPr="008E5BBD">
        <w:rPr>
          <w:rFonts w:ascii="Arial" w:hAnsi="Arial" w:cs="Arial"/>
          <w:noProof/>
          <w:sz w:val="22"/>
          <w:szCs w:val="22"/>
          <w:lang w:eastAsia="es-US"/>
        </w:rPr>
        <w:t xml:space="preserve">) </w:t>
      </w:r>
      <w:r w:rsidRPr="008E5BBD">
        <w:rPr>
          <w:rFonts w:ascii="Arial" w:hAnsi="Arial" w:cs="Arial"/>
          <w:sz w:val="22"/>
          <w:szCs w:val="22"/>
        </w:rPr>
        <w:t xml:space="preserve">Representative images of flow </w:t>
      </w:r>
      <w:proofErr w:type="spellStart"/>
      <w:r w:rsidRPr="008E5BBD">
        <w:rPr>
          <w:rFonts w:ascii="Arial" w:hAnsi="Arial" w:cs="Arial"/>
          <w:sz w:val="22"/>
          <w:szCs w:val="22"/>
        </w:rPr>
        <w:t>cytometric</w:t>
      </w:r>
      <w:proofErr w:type="spellEnd"/>
      <w:r w:rsidRPr="008E5BBD">
        <w:rPr>
          <w:rFonts w:ascii="Arial" w:hAnsi="Arial" w:cs="Arial"/>
          <w:sz w:val="22"/>
          <w:szCs w:val="22"/>
        </w:rPr>
        <w:t xml:space="preserve"> analysis (left hand panel) and schematic graphs (right hand panel) of SSEA-4 and TRA-1-60 expression in WT and SAA cell lines on day 0. One-way ANOVA with </w:t>
      </w:r>
      <w:proofErr w:type="spellStart"/>
      <w:r w:rsidRPr="008E5BBD">
        <w:rPr>
          <w:rFonts w:ascii="Arial" w:hAnsi="Arial" w:cs="Arial"/>
          <w:sz w:val="22"/>
          <w:szCs w:val="22"/>
        </w:rPr>
        <w:t>Dunnett’s</w:t>
      </w:r>
      <w:proofErr w:type="spellEnd"/>
      <w:r w:rsidRPr="008E5BBD">
        <w:rPr>
          <w:rFonts w:ascii="Arial" w:hAnsi="Arial" w:cs="Arial"/>
          <w:sz w:val="22"/>
          <w:szCs w:val="22"/>
        </w:rPr>
        <w:t xml:space="preserve"> multiple comparison </w:t>
      </w:r>
      <w:proofErr w:type="gramStart"/>
      <w:r w:rsidRPr="008E5BBD">
        <w:rPr>
          <w:rFonts w:ascii="Arial" w:hAnsi="Arial" w:cs="Arial"/>
          <w:sz w:val="22"/>
          <w:szCs w:val="22"/>
        </w:rPr>
        <w:t>test</w:t>
      </w:r>
      <w:proofErr w:type="gramEnd"/>
      <w:r w:rsidRPr="008E5BBD">
        <w:rPr>
          <w:rFonts w:ascii="Arial" w:hAnsi="Arial" w:cs="Arial"/>
          <w:sz w:val="22"/>
          <w:szCs w:val="22"/>
        </w:rPr>
        <w:t xml:space="preserve"> was used for statistical comparison between WT and SAA cell lines. Data is presented as mean of at least 3 independent experiments +/- S.E.M</w:t>
      </w:r>
      <w:proofErr w:type="gramStart"/>
      <w:r w:rsidRPr="008E5BBD">
        <w:rPr>
          <w:rFonts w:ascii="Arial" w:hAnsi="Arial" w:cs="Arial"/>
          <w:sz w:val="22"/>
          <w:szCs w:val="22"/>
        </w:rPr>
        <w:t>.</w:t>
      </w:r>
      <w:r>
        <w:rPr>
          <w:rFonts w:ascii="Arial" w:hAnsi="Arial" w:cs="Arial"/>
          <w:sz w:val="22"/>
          <w:szCs w:val="22"/>
        </w:rPr>
        <w:t xml:space="preserve"> </w:t>
      </w:r>
      <w:r w:rsidRPr="008E5BBD">
        <w:rPr>
          <w:rFonts w:ascii="Arial" w:hAnsi="Arial" w:cs="Arial"/>
          <w:sz w:val="22"/>
          <w:szCs w:val="22"/>
        </w:rPr>
        <w:t>.</w:t>
      </w:r>
      <w:proofErr w:type="gramEnd"/>
      <w:r>
        <w:rPr>
          <w:rFonts w:ascii="Arial" w:hAnsi="Arial" w:cs="Arial"/>
          <w:sz w:val="22"/>
          <w:szCs w:val="22"/>
        </w:rPr>
        <w:t xml:space="preserve"> </w:t>
      </w:r>
      <w:r w:rsidRPr="00693927">
        <w:rPr>
          <w:rFonts w:ascii="Arial" w:hAnsi="Arial" w:cs="Arial"/>
          <w:sz w:val="22"/>
          <w:szCs w:val="22"/>
        </w:rPr>
        <w:t>Data for all control cell lines is averaged in one group (WT</w:t>
      </w:r>
      <w:r>
        <w:rPr>
          <w:rFonts w:ascii="Arial" w:hAnsi="Arial" w:cs="Arial"/>
          <w:sz w:val="22"/>
          <w:szCs w:val="22"/>
        </w:rPr>
        <w:t>);</w:t>
      </w:r>
      <w:r>
        <w:rPr>
          <w:rFonts w:ascii="Arial" w:hAnsi="Arial" w:cs="Arial"/>
          <w:color w:val="FF0000"/>
          <w:sz w:val="22"/>
          <w:szCs w:val="22"/>
        </w:rPr>
        <w:t xml:space="preserve"> </w:t>
      </w:r>
      <w:r w:rsidRPr="008E5BBD">
        <w:rPr>
          <w:rFonts w:ascii="Arial" w:hAnsi="Arial" w:cs="Arial"/>
          <w:noProof/>
          <w:sz w:val="22"/>
          <w:szCs w:val="22"/>
          <w:lang w:eastAsia="es-US"/>
        </w:rPr>
        <w:t>(</w:t>
      </w:r>
      <w:r w:rsidRPr="008E5BBD">
        <w:rPr>
          <w:rFonts w:ascii="Arial" w:hAnsi="Arial" w:cs="Arial"/>
          <w:b/>
          <w:noProof/>
          <w:sz w:val="22"/>
          <w:szCs w:val="22"/>
          <w:lang w:eastAsia="es-US"/>
        </w:rPr>
        <w:t>c</w:t>
      </w:r>
      <w:r w:rsidRPr="008E5BBD">
        <w:rPr>
          <w:rFonts w:ascii="Arial" w:hAnsi="Arial" w:cs="Arial"/>
          <w:noProof/>
          <w:sz w:val="22"/>
          <w:szCs w:val="22"/>
          <w:lang w:eastAsia="es-US"/>
        </w:rPr>
        <w:t>) Histological analysis of representative teratomae generated from the WT and SAA-iPSC lines displaying trilineage differentiation. Scale bars, overall 500µm, ectoderm 100µm, mesoderm 200µm, ectoderm 100µm.</w:t>
      </w:r>
    </w:p>
    <w:p w:rsidR="00E41D3E" w:rsidRPr="008E5BBD" w:rsidRDefault="00E41D3E" w:rsidP="00E41D3E">
      <w:pPr>
        <w:rPr>
          <w:sz w:val="22"/>
          <w:szCs w:val="22"/>
        </w:rPr>
      </w:pPr>
    </w:p>
    <w:p w:rsidR="00E41D3E" w:rsidRDefault="00E41D3E" w:rsidP="00E41D3E">
      <w:pPr>
        <w:spacing w:line="360" w:lineRule="auto"/>
        <w:jc w:val="both"/>
        <w:rPr>
          <w:rFonts w:ascii="Arial" w:hAnsi="Arial" w:cs="Arial"/>
          <w:noProof/>
          <w:sz w:val="22"/>
          <w:szCs w:val="22"/>
          <w:lang w:eastAsia="es-US"/>
        </w:rPr>
      </w:pPr>
      <w:r w:rsidRPr="008E5BBD">
        <w:rPr>
          <w:rFonts w:ascii="Arial" w:hAnsi="Arial" w:cs="Arial"/>
          <w:b/>
          <w:noProof/>
          <w:sz w:val="22"/>
          <w:szCs w:val="22"/>
          <w:lang w:eastAsia="es-US"/>
        </w:rPr>
        <w:t>Supplemental Figure 3.</w:t>
      </w:r>
      <w:r w:rsidRPr="008E5BBD">
        <w:rPr>
          <w:rFonts w:ascii="Arial" w:hAnsi="Arial" w:cs="Arial"/>
          <w:noProof/>
          <w:sz w:val="22"/>
          <w:szCs w:val="22"/>
          <w:lang w:eastAsia="es-US"/>
        </w:rPr>
        <w:t xml:space="preserve"> </w:t>
      </w:r>
      <w:r>
        <w:rPr>
          <w:rFonts w:ascii="Arial" w:hAnsi="Arial" w:cs="Arial"/>
          <w:noProof/>
          <w:sz w:val="22"/>
          <w:szCs w:val="22"/>
          <w:lang w:eastAsia="es-US"/>
        </w:rPr>
        <w:t>(</w:t>
      </w:r>
      <w:r w:rsidRPr="00542C31">
        <w:rPr>
          <w:rFonts w:ascii="Arial" w:hAnsi="Arial" w:cs="Arial"/>
          <w:b/>
          <w:noProof/>
          <w:sz w:val="22"/>
          <w:szCs w:val="22"/>
          <w:lang w:eastAsia="es-US"/>
        </w:rPr>
        <w:t>a</w:t>
      </w:r>
      <w:r>
        <w:rPr>
          <w:rFonts w:ascii="Arial" w:hAnsi="Arial" w:cs="Arial"/>
          <w:noProof/>
          <w:sz w:val="22"/>
          <w:szCs w:val="22"/>
          <w:lang w:eastAsia="es-US"/>
        </w:rPr>
        <w:t xml:space="preserve">) </w:t>
      </w:r>
      <w:r w:rsidRPr="00542C31">
        <w:rPr>
          <w:rFonts w:ascii="Arial" w:hAnsi="Arial" w:cs="Arial"/>
          <w:sz w:val="22"/>
          <w:szCs w:val="22"/>
        </w:rPr>
        <w:t xml:space="preserve">Schematic representation of the experimental design to analyze variation </w:t>
      </w:r>
      <w:r w:rsidRPr="00542C31">
        <w:rPr>
          <w:rFonts w:ascii="Arial" w:hAnsi="Arial" w:cs="Arial"/>
          <w:noProof/>
          <w:sz w:val="22"/>
          <w:szCs w:val="22"/>
          <w:lang w:eastAsia="es-US"/>
        </w:rPr>
        <w:t>among the different variables considered</w:t>
      </w:r>
      <w:r w:rsidRPr="008E5BBD">
        <w:rPr>
          <w:rFonts w:ascii="Arial" w:hAnsi="Arial" w:cs="Arial"/>
          <w:noProof/>
          <w:sz w:val="22"/>
          <w:szCs w:val="22"/>
          <w:lang w:eastAsia="es-US"/>
        </w:rPr>
        <w:t xml:space="preserve"> in the iPSC hematopoietic differentiation (experiment, passage, clone and genetic background) using the test for equal variances with multiple comparisons method for the different populations of progenitors: (</w:t>
      </w:r>
      <w:r>
        <w:rPr>
          <w:rFonts w:ascii="Arial" w:hAnsi="Arial" w:cs="Arial"/>
          <w:b/>
          <w:noProof/>
          <w:sz w:val="22"/>
          <w:szCs w:val="22"/>
          <w:lang w:eastAsia="es-US"/>
        </w:rPr>
        <w:t>b</w:t>
      </w:r>
      <w:r w:rsidRPr="008E5BBD">
        <w:rPr>
          <w:rFonts w:ascii="Arial" w:hAnsi="Arial" w:cs="Arial"/>
          <w:noProof/>
          <w:sz w:val="22"/>
          <w:szCs w:val="22"/>
          <w:lang w:eastAsia="es-US"/>
        </w:rPr>
        <w:t>) Hematopoietic progenitor population (CD43+); (</w:t>
      </w:r>
      <w:r>
        <w:rPr>
          <w:rFonts w:ascii="Arial" w:hAnsi="Arial" w:cs="Arial"/>
          <w:b/>
          <w:noProof/>
          <w:sz w:val="22"/>
          <w:szCs w:val="22"/>
          <w:lang w:eastAsia="es-US"/>
        </w:rPr>
        <w:t>c</w:t>
      </w:r>
      <w:r w:rsidRPr="008E5BBD">
        <w:rPr>
          <w:rFonts w:ascii="Arial" w:hAnsi="Arial" w:cs="Arial"/>
          <w:noProof/>
          <w:sz w:val="22"/>
          <w:szCs w:val="22"/>
          <w:lang w:eastAsia="es-US"/>
        </w:rPr>
        <w:t>) Erythroid progenitor (EryP) population; (</w:t>
      </w:r>
      <w:r w:rsidRPr="00A164DF">
        <w:rPr>
          <w:rFonts w:ascii="Arial" w:hAnsi="Arial" w:cs="Arial"/>
          <w:b/>
          <w:noProof/>
          <w:sz w:val="22"/>
          <w:szCs w:val="22"/>
          <w:lang w:eastAsia="es-US"/>
        </w:rPr>
        <w:t>d</w:t>
      </w:r>
      <w:r w:rsidRPr="008E5BBD">
        <w:rPr>
          <w:rFonts w:ascii="Arial" w:hAnsi="Arial" w:cs="Arial"/>
          <w:noProof/>
          <w:sz w:val="22"/>
          <w:szCs w:val="22"/>
          <w:lang w:eastAsia="es-US"/>
        </w:rPr>
        <w:t xml:space="preserve">) Myeloid progenitor (MyeP) population.  </w:t>
      </w:r>
    </w:p>
    <w:p w:rsidR="00E41D3E" w:rsidRDefault="00E41D3E" w:rsidP="00E41D3E">
      <w:pPr>
        <w:spacing w:line="360" w:lineRule="auto"/>
        <w:jc w:val="both"/>
        <w:rPr>
          <w:rFonts w:ascii="Arial" w:hAnsi="Arial" w:cs="Arial"/>
          <w:noProof/>
          <w:sz w:val="22"/>
          <w:szCs w:val="22"/>
          <w:lang w:eastAsia="es-US"/>
        </w:rPr>
      </w:pPr>
    </w:p>
    <w:p w:rsidR="00E41D3E" w:rsidRDefault="00E41D3E" w:rsidP="00E41D3E">
      <w:pPr>
        <w:spacing w:line="360" w:lineRule="auto"/>
        <w:jc w:val="both"/>
        <w:rPr>
          <w:rFonts w:ascii="Arial" w:hAnsi="Arial" w:cs="Arial"/>
          <w:noProof/>
          <w:sz w:val="22"/>
          <w:szCs w:val="22"/>
          <w:lang w:eastAsia="es-US"/>
        </w:rPr>
      </w:pPr>
      <w:r w:rsidRPr="0086474E">
        <w:rPr>
          <w:rFonts w:ascii="Arial" w:hAnsi="Arial" w:cs="Arial"/>
          <w:b/>
          <w:noProof/>
          <w:sz w:val="22"/>
          <w:szCs w:val="22"/>
          <w:lang w:eastAsia="es-US"/>
        </w:rPr>
        <w:t>Supplemental Figure 4</w:t>
      </w:r>
      <w:r>
        <w:rPr>
          <w:rFonts w:ascii="Arial" w:hAnsi="Arial" w:cs="Arial"/>
          <w:noProof/>
          <w:sz w:val="22"/>
          <w:szCs w:val="22"/>
          <w:lang w:eastAsia="es-US"/>
        </w:rPr>
        <w:t xml:space="preserve">. Reduced hematopoietic colony forming ability of SAA-iPSC-derived hematopoietic progenitors at day 16 of differentiation. </w:t>
      </w:r>
    </w:p>
    <w:p w:rsidR="00E41D3E" w:rsidRPr="008E5BBD" w:rsidRDefault="00E41D3E" w:rsidP="00E41D3E">
      <w:pPr>
        <w:spacing w:line="360" w:lineRule="auto"/>
        <w:jc w:val="both"/>
        <w:rPr>
          <w:sz w:val="22"/>
          <w:szCs w:val="22"/>
        </w:rPr>
      </w:pPr>
    </w:p>
    <w:p w:rsidR="00E41D3E" w:rsidRDefault="00E41D3E" w:rsidP="00E41D3E">
      <w:pPr>
        <w:spacing w:line="360" w:lineRule="auto"/>
        <w:jc w:val="both"/>
        <w:rPr>
          <w:rFonts w:ascii="Arial" w:hAnsi="Arial" w:cs="Arial"/>
          <w:sz w:val="22"/>
          <w:szCs w:val="22"/>
        </w:rPr>
      </w:pPr>
      <w:r w:rsidRPr="008E5BBD">
        <w:rPr>
          <w:rFonts w:ascii="Arial" w:hAnsi="Arial" w:cs="Arial"/>
          <w:b/>
          <w:noProof/>
          <w:sz w:val="22"/>
          <w:szCs w:val="22"/>
          <w:lang w:eastAsia="es-US"/>
        </w:rPr>
        <w:t xml:space="preserve">Supplemental Figure </w:t>
      </w:r>
      <w:r>
        <w:rPr>
          <w:rFonts w:ascii="Arial" w:hAnsi="Arial" w:cs="Arial"/>
          <w:b/>
          <w:noProof/>
          <w:sz w:val="22"/>
          <w:szCs w:val="22"/>
          <w:lang w:eastAsia="es-US"/>
        </w:rPr>
        <w:t>5</w:t>
      </w:r>
      <w:r w:rsidRPr="008E5BBD">
        <w:rPr>
          <w:rFonts w:ascii="Arial" w:hAnsi="Arial" w:cs="Arial"/>
          <w:b/>
          <w:noProof/>
          <w:sz w:val="22"/>
          <w:szCs w:val="22"/>
          <w:lang w:eastAsia="es-US"/>
        </w:rPr>
        <w:t>.</w:t>
      </w:r>
      <w:r w:rsidRPr="008E5BBD">
        <w:rPr>
          <w:rFonts w:ascii="Arial" w:hAnsi="Arial" w:cs="Arial"/>
          <w:noProof/>
          <w:sz w:val="22"/>
          <w:szCs w:val="22"/>
          <w:lang w:eastAsia="es-US"/>
        </w:rPr>
        <w:t xml:space="preserve"> (</w:t>
      </w:r>
      <w:r w:rsidRPr="008E5BBD">
        <w:rPr>
          <w:rFonts w:ascii="Arial" w:hAnsi="Arial" w:cs="Arial"/>
          <w:b/>
          <w:noProof/>
          <w:sz w:val="22"/>
          <w:szCs w:val="22"/>
          <w:lang w:eastAsia="es-US"/>
        </w:rPr>
        <w:t>a</w:t>
      </w:r>
      <w:r w:rsidRPr="008E5BBD">
        <w:rPr>
          <w:rFonts w:ascii="Arial" w:hAnsi="Arial" w:cs="Arial"/>
          <w:noProof/>
          <w:sz w:val="22"/>
          <w:szCs w:val="22"/>
          <w:lang w:eastAsia="es-US"/>
        </w:rPr>
        <w:t>) Flow cytometric analysis of BrdU and DAPI incorporation in untreated, 1 hour HU recovery, 3 hour HU recovery, 8 hour HU recovery and 24 hour HU recovery WT-iPSC-derived hematopoietic progenitor cells; (</w:t>
      </w:r>
      <w:r w:rsidRPr="008E5BBD">
        <w:rPr>
          <w:rFonts w:ascii="Arial" w:hAnsi="Arial" w:cs="Arial"/>
          <w:b/>
          <w:noProof/>
          <w:sz w:val="22"/>
          <w:szCs w:val="22"/>
          <w:lang w:eastAsia="es-US"/>
        </w:rPr>
        <w:t>b</w:t>
      </w:r>
      <w:r w:rsidRPr="008E5BBD">
        <w:rPr>
          <w:rFonts w:ascii="Arial" w:hAnsi="Arial" w:cs="Arial"/>
          <w:noProof/>
          <w:sz w:val="22"/>
          <w:szCs w:val="22"/>
          <w:lang w:eastAsia="es-US"/>
        </w:rPr>
        <w:t xml:space="preserve">) Analysis of cell cyle in untreated </w:t>
      </w:r>
      <w:r w:rsidRPr="008E5BBD">
        <w:rPr>
          <w:rFonts w:ascii="Arial" w:hAnsi="Arial" w:cs="Arial"/>
          <w:sz w:val="22"/>
          <w:szCs w:val="22"/>
        </w:rPr>
        <w:t xml:space="preserve">(dark blue bars) </w:t>
      </w:r>
      <w:r w:rsidRPr="008E5BBD">
        <w:rPr>
          <w:rFonts w:ascii="Arial" w:hAnsi="Arial" w:cs="Arial"/>
          <w:noProof/>
          <w:sz w:val="22"/>
          <w:szCs w:val="22"/>
          <w:lang w:eastAsia="es-US"/>
        </w:rPr>
        <w:t>and 24 hour HU recovery (red bars)</w:t>
      </w:r>
      <w:r w:rsidRPr="008E5BBD">
        <w:rPr>
          <w:rFonts w:ascii="Arial" w:hAnsi="Arial" w:cs="Arial"/>
          <w:sz w:val="22"/>
          <w:szCs w:val="22"/>
        </w:rPr>
        <w:t xml:space="preserve"> </w:t>
      </w:r>
      <w:r w:rsidRPr="008E5BBD">
        <w:rPr>
          <w:rFonts w:ascii="Arial" w:hAnsi="Arial" w:cs="Arial"/>
          <w:noProof/>
          <w:sz w:val="22"/>
          <w:szCs w:val="22"/>
          <w:lang w:eastAsia="es-US"/>
        </w:rPr>
        <w:t xml:space="preserve">WT-iPSC-derived hematopoietic progenitor cells. </w:t>
      </w:r>
      <w:r w:rsidRPr="008E5BBD">
        <w:rPr>
          <w:rFonts w:ascii="Arial" w:hAnsi="Arial" w:cs="Arial"/>
          <w:sz w:val="22"/>
          <w:szCs w:val="22"/>
        </w:rPr>
        <w:t>Multiple t-test using Holm-</w:t>
      </w:r>
      <w:proofErr w:type="spellStart"/>
      <w:r w:rsidRPr="008E5BBD">
        <w:rPr>
          <w:rFonts w:ascii="Arial" w:hAnsi="Arial" w:cs="Arial"/>
          <w:sz w:val="22"/>
          <w:szCs w:val="22"/>
        </w:rPr>
        <w:t>Sidak</w:t>
      </w:r>
      <w:proofErr w:type="spellEnd"/>
      <w:r w:rsidRPr="008E5BBD">
        <w:rPr>
          <w:rFonts w:ascii="Arial" w:hAnsi="Arial" w:cs="Arial"/>
          <w:sz w:val="22"/>
          <w:szCs w:val="22"/>
        </w:rPr>
        <w:t xml:space="preserve"> method was used for statistical comparison between untreated and </w:t>
      </w:r>
      <w:r w:rsidRPr="008E5BBD">
        <w:rPr>
          <w:rFonts w:ascii="Arial" w:hAnsi="Arial" w:cs="Arial"/>
          <w:noProof/>
          <w:sz w:val="22"/>
          <w:szCs w:val="22"/>
          <w:lang w:eastAsia="es-US"/>
        </w:rPr>
        <w:t xml:space="preserve">24 hour HU recovery </w:t>
      </w:r>
      <w:r w:rsidRPr="008E5BBD">
        <w:rPr>
          <w:rFonts w:ascii="Arial" w:hAnsi="Arial" w:cs="Arial"/>
          <w:sz w:val="22"/>
          <w:szCs w:val="22"/>
        </w:rPr>
        <w:t xml:space="preserve">WT cells;  </w:t>
      </w:r>
      <w:r w:rsidRPr="008E5BBD">
        <w:rPr>
          <w:rFonts w:ascii="Arial" w:hAnsi="Arial" w:cs="Arial"/>
          <w:noProof/>
          <w:sz w:val="22"/>
          <w:szCs w:val="22"/>
          <w:lang w:eastAsia="es-US"/>
        </w:rPr>
        <w:t xml:space="preserve"> (</w:t>
      </w:r>
      <w:r w:rsidRPr="008E5BBD">
        <w:rPr>
          <w:rFonts w:ascii="Arial" w:hAnsi="Arial" w:cs="Arial"/>
          <w:b/>
          <w:noProof/>
          <w:sz w:val="22"/>
          <w:szCs w:val="22"/>
          <w:lang w:eastAsia="es-US"/>
        </w:rPr>
        <w:t>c</w:t>
      </w:r>
      <w:r w:rsidRPr="008E5BBD">
        <w:rPr>
          <w:rFonts w:ascii="Arial" w:hAnsi="Arial" w:cs="Arial"/>
          <w:noProof/>
          <w:sz w:val="22"/>
          <w:szCs w:val="22"/>
          <w:lang w:eastAsia="es-US"/>
        </w:rPr>
        <w:t xml:space="preserve">) Analysis of cleaved PARP in WT and SAA-iPSC-derived hematopoietic progenitor cells in non-replicative stress conditions. </w:t>
      </w:r>
      <w:r w:rsidRPr="008E5BBD">
        <w:rPr>
          <w:rFonts w:ascii="Arial" w:hAnsi="Arial" w:cs="Arial"/>
          <w:sz w:val="22"/>
          <w:szCs w:val="22"/>
        </w:rPr>
        <w:t xml:space="preserve">One-way ANOVA with </w:t>
      </w:r>
      <w:proofErr w:type="spellStart"/>
      <w:r w:rsidRPr="008E5BBD">
        <w:rPr>
          <w:rFonts w:ascii="Arial" w:hAnsi="Arial" w:cs="Arial"/>
          <w:sz w:val="22"/>
          <w:szCs w:val="22"/>
        </w:rPr>
        <w:t>Dunnett’s</w:t>
      </w:r>
      <w:proofErr w:type="spellEnd"/>
      <w:r w:rsidRPr="008E5BBD">
        <w:rPr>
          <w:rFonts w:ascii="Arial" w:hAnsi="Arial" w:cs="Arial"/>
          <w:sz w:val="22"/>
          <w:szCs w:val="22"/>
        </w:rPr>
        <w:t xml:space="preserve"> multiple comparison </w:t>
      </w:r>
      <w:proofErr w:type="gramStart"/>
      <w:r w:rsidRPr="008E5BBD">
        <w:rPr>
          <w:rFonts w:ascii="Arial" w:hAnsi="Arial" w:cs="Arial"/>
          <w:sz w:val="22"/>
          <w:szCs w:val="22"/>
        </w:rPr>
        <w:t>test</w:t>
      </w:r>
      <w:proofErr w:type="gramEnd"/>
      <w:r w:rsidRPr="008E5BBD">
        <w:rPr>
          <w:rFonts w:ascii="Arial" w:hAnsi="Arial" w:cs="Arial"/>
          <w:sz w:val="22"/>
          <w:szCs w:val="22"/>
        </w:rPr>
        <w:t xml:space="preserve"> was used for statistical comparison between WT and SAA cell lines; (</w:t>
      </w:r>
      <w:r w:rsidRPr="008E5BBD">
        <w:rPr>
          <w:rFonts w:ascii="Arial" w:hAnsi="Arial" w:cs="Arial"/>
          <w:b/>
          <w:sz w:val="22"/>
          <w:szCs w:val="22"/>
        </w:rPr>
        <w:t>d</w:t>
      </w:r>
      <w:r w:rsidRPr="008E5BBD">
        <w:rPr>
          <w:rFonts w:ascii="Arial" w:hAnsi="Arial" w:cs="Arial"/>
          <w:sz w:val="22"/>
          <w:szCs w:val="22"/>
        </w:rPr>
        <w:t xml:space="preserve">) </w:t>
      </w:r>
      <w:r w:rsidRPr="008E5BBD">
        <w:rPr>
          <w:rFonts w:ascii="Arial" w:hAnsi="Arial" w:cs="Arial"/>
          <w:noProof/>
          <w:sz w:val="22"/>
          <w:szCs w:val="22"/>
          <w:lang w:eastAsia="es-US"/>
        </w:rPr>
        <w:t xml:space="preserve">Analysis of cleaved PARP in WT and SAA-iPSC-derived hematopoietic progenitor cells in replicative stress conditions. </w:t>
      </w:r>
      <w:r w:rsidRPr="008E5BBD">
        <w:rPr>
          <w:rFonts w:ascii="Arial" w:hAnsi="Arial" w:cs="Arial"/>
          <w:sz w:val="22"/>
          <w:szCs w:val="22"/>
        </w:rPr>
        <w:t xml:space="preserve">One-way ANOVA with </w:t>
      </w:r>
      <w:proofErr w:type="spellStart"/>
      <w:r w:rsidRPr="008E5BBD">
        <w:rPr>
          <w:rFonts w:ascii="Arial" w:hAnsi="Arial" w:cs="Arial"/>
          <w:sz w:val="22"/>
          <w:szCs w:val="22"/>
        </w:rPr>
        <w:t>Dunnett’s</w:t>
      </w:r>
      <w:proofErr w:type="spellEnd"/>
      <w:r w:rsidRPr="008E5BBD">
        <w:rPr>
          <w:rFonts w:ascii="Arial" w:hAnsi="Arial" w:cs="Arial"/>
          <w:sz w:val="22"/>
          <w:szCs w:val="22"/>
        </w:rPr>
        <w:t xml:space="preserve"> multiple comparison test was used for statistical comparison between WT and SAA cell lines; (</w:t>
      </w:r>
      <w:r w:rsidRPr="008E5BBD">
        <w:rPr>
          <w:rFonts w:ascii="Arial" w:hAnsi="Arial" w:cs="Arial"/>
          <w:b/>
          <w:sz w:val="22"/>
          <w:szCs w:val="22"/>
        </w:rPr>
        <w:t>e</w:t>
      </w:r>
      <w:r w:rsidRPr="008E5BBD">
        <w:rPr>
          <w:rFonts w:ascii="Arial" w:hAnsi="Arial" w:cs="Arial"/>
          <w:sz w:val="22"/>
          <w:szCs w:val="22"/>
        </w:rPr>
        <w:t xml:space="preserve">) </w:t>
      </w:r>
      <w:r w:rsidRPr="008E5BBD">
        <w:rPr>
          <w:rFonts w:ascii="Arial" w:hAnsi="Arial" w:cs="Arial"/>
          <w:noProof/>
          <w:sz w:val="22"/>
          <w:szCs w:val="22"/>
          <w:lang w:eastAsia="es-US"/>
        </w:rPr>
        <w:t>Flow cytometric analysis of BrdU incorporation and H2AX detection in untreated, 1 hour HU recovery, 3 hour HU recovery, 8 hour HU recovery and 24 hour HU recovery WT-iPSC-derived hematopoietic progenitor cells; (</w:t>
      </w:r>
      <w:r w:rsidRPr="008E5BBD">
        <w:rPr>
          <w:rFonts w:ascii="Arial" w:hAnsi="Arial" w:cs="Arial"/>
          <w:b/>
          <w:noProof/>
          <w:sz w:val="22"/>
          <w:szCs w:val="22"/>
          <w:lang w:eastAsia="es-US"/>
        </w:rPr>
        <w:t>f</w:t>
      </w:r>
      <w:r w:rsidRPr="008E5BBD">
        <w:rPr>
          <w:rFonts w:ascii="Arial" w:hAnsi="Arial" w:cs="Arial"/>
          <w:noProof/>
          <w:sz w:val="22"/>
          <w:szCs w:val="22"/>
          <w:lang w:eastAsia="es-US"/>
        </w:rPr>
        <w:t xml:space="preserve">) </w:t>
      </w:r>
      <w:r w:rsidRPr="008E5BBD">
        <w:rPr>
          <w:rFonts w:ascii="Arial" w:hAnsi="Arial" w:cs="Arial"/>
          <w:sz w:val="22"/>
          <w:szCs w:val="22"/>
        </w:rPr>
        <w:t xml:space="preserve">Analysis of γH2AX in </w:t>
      </w:r>
      <w:proofErr w:type="spellStart"/>
      <w:r w:rsidRPr="008E5BBD">
        <w:rPr>
          <w:rFonts w:ascii="Arial" w:hAnsi="Arial" w:cs="Arial"/>
          <w:sz w:val="22"/>
          <w:szCs w:val="22"/>
        </w:rPr>
        <w:t>BrdU</w:t>
      </w:r>
      <w:proofErr w:type="spellEnd"/>
      <w:r w:rsidRPr="008E5BBD">
        <w:rPr>
          <w:rFonts w:ascii="Arial" w:hAnsi="Arial" w:cs="Arial"/>
          <w:sz w:val="22"/>
          <w:szCs w:val="22"/>
        </w:rPr>
        <w:t xml:space="preserve">+ </w:t>
      </w:r>
      <w:r w:rsidRPr="008E5BBD">
        <w:rPr>
          <w:rFonts w:ascii="Arial" w:hAnsi="Arial" w:cs="Arial"/>
          <w:noProof/>
          <w:sz w:val="22"/>
          <w:szCs w:val="22"/>
          <w:lang w:eastAsia="es-US"/>
        </w:rPr>
        <w:t xml:space="preserve">untreated, 1 hour HU recovery, 3 hour HU recovery, 8 </w:t>
      </w:r>
      <w:r w:rsidRPr="008E5BBD">
        <w:rPr>
          <w:rFonts w:ascii="Arial" w:hAnsi="Arial" w:cs="Arial"/>
          <w:noProof/>
          <w:sz w:val="22"/>
          <w:szCs w:val="22"/>
          <w:lang w:eastAsia="es-US"/>
        </w:rPr>
        <w:lastRenderedPageBreak/>
        <w:t>hour HU recovery and 24 hour HU recovery WT-iPSC-derived hematopoietic progenitor cells; (</w:t>
      </w:r>
      <w:r w:rsidRPr="008E5BBD">
        <w:rPr>
          <w:rFonts w:ascii="Arial" w:hAnsi="Arial" w:cs="Arial"/>
          <w:b/>
          <w:noProof/>
          <w:sz w:val="22"/>
          <w:szCs w:val="22"/>
          <w:lang w:eastAsia="es-US"/>
        </w:rPr>
        <w:t>g</w:t>
      </w:r>
      <w:r w:rsidRPr="008E5BBD">
        <w:rPr>
          <w:rFonts w:ascii="Arial" w:hAnsi="Arial" w:cs="Arial"/>
          <w:noProof/>
          <w:sz w:val="22"/>
          <w:szCs w:val="22"/>
          <w:lang w:eastAsia="es-US"/>
        </w:rPr>
        <w:t xml:space="preserve">) </w:t>
      </w:r>
      <w:r w:rsidRPr="008E5BBD">
        <w:rPr>
          <w:rFonts w:ascii="Arial" w:hAnsi="Arial" w:cs="Arial"/>
          <w:sz w:val="22"/>
          <w:szCs w:val="22"/>
        </w:rPr>
        <w:t xml:space="preserve"> Analysis of γH2AX in </w:t>
      </w:r>
      <w:proofErr w:type="spellStart"/>
      <w:r w:rsidRPr="008E5BBD">
        <w:rPr>
          <w:rFonts w:ascii="Arial" w:hAnsi="Arial" w:cs="Arial"/>
          <w:sz w:val="22"/>
          <w:szCs w:val="22"/>
        </w:rPr>
        <w:t>BrdU</w:t>
      </w:r>
      <w:proofErr w:type="spellEnd"/>
      <w:r w:rsidRPr="008E5BBD">
        <w:rPr>
          <w:rFonts w:ascii="Arial" w:hAnsi="Arial" w:cs="Arial"/>
          <w:sz w:val="22"/>
          <w:szCs w:val="22"/>
        </w:rPr>
        <w:t xml:space="preserve">- </w:t>
      </w:r>
      <w:r w:rsidRPr="008E5BBD">
        <w:rPr>
          <w:rFonts w:ascii="Arial" w:hAnsi="Arial" w:cs="Arial"/>
          <w:noProof/>
          <w:sz w:val="22"/>
          <w:szCs w:val="22"/>
          <w:lang w:eastAsia="es-US"/>
        </w:rPr>
        <w:t xml:space="preserve">untreated, 1 hour HU recovery, 3 hour HU recovery, 8 hour HU recovery and 24 hour HU recovery WT-iPSC-derived hematopoietic progenitor cells. </w:t>
      </w:r>
      <w:r w:rsidRPr="008E5BBD">
        <w:rPr>
          <w:rFonts w:ascii="Arial" w:hAnsi="Arial" w:cs="Arial"/>
          <w:b/>
          <w:noProof/>
          <w:sz w:val="22"/>
          <w:szCs w:val="22"/>
          <w:lang w:eastAsia="es-US"/>
        </w:rPr>
        <w:t>b-d, f-g</w:t>
      </w:r>
      <w:r w:rsidRPr="008E5BBD">
        <w:rPr>
          <w:rFonts w:ascii="Arial" w:hAnsi="Arial" w:cs="Arial"/>
          <w:noProof/>
          <w:sz w:val="22"/>
          <w:szCs w:val="22"/>
          <w:lang w:eastAsia="es-US"/>
        </w:rPr>
        <w:t xml:space="preserve">: </w:t>
      </w:r>
      <w:r w:rsidRPr="008E5BBD">
        <w:rPr>
          <w:rFonts w:ascii="Arial" w:hAnsi="Arial" w:cs="Arial"/>
          <w:sz w:val="22"/>
          <w:szCs w:val="22"/>
        </w:rPr>
        <w:t>data is presented as mean of at least 3 independent experiments +/- S.E.M.</w:t>
      </w:r>
      <w:r>
        <w:rPr>
          <w:rFonts w:ascii="Arial" w:hAnsi="Arial" w:cs="Arial"/>
          <w:sz w:val="22"/>
          <w:szCs w:val="22"/>
        </w:rPr>
        <w:t xml:space="preserve"> </w:t>
      </w:r>
      <w:r w:rsidRPr="00693927">
        <w:rPr>
          <w:rFonts w:ascii="Arial" w:hAnsi="Arial" w:cs="Arial"/>
          <w:sz w:val="22"/>
          <w:szCs w:val="22"/>
        </w:rPr>
        <w:t>Data for all control cell lines is averaged in one group (WT).</w:t>
      </w:r>
    </w:p>
    <w:p w:rsidR="00E41D3E" w:rsidRDefault="00E41D3E" w:rsidP="00E41D3E">
      <w:pPr>
        <w:spacing w:after="200" w:line="276" w:lineRule="auto"/>
        <w:rPr>
          <w:rFonts w:ascii="Arial" w:hAnsi="Arial" w:cs="Arial"/>
          <w:sz w:val="22"/>
          <w:szCs w:val="22"/>
        </w:rPr>
      </w:pPr>
    </w:p>
    <w:p w:rsidR="009103A8" w:rsidRDefault="009103A8"/>
    <w:sectPr w:rsidR="009103A8">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084" w:rsidRDefault="00DE7084">
      <w:r>
        <w:separator/>
      </w:r>
    </w:p>
  </w:endnote>
  <w:endnote w:type="continuationSeparator" w:id="0">
    <w:p w:rsidR="00DE7084" w:rsidRDefault="00DE7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765168"/>
      <w:docPartObj>
        <w:docPartGallery w:val="Page Numbers (Bottom of Page)"/>
        <w:docPartUnique/>
      </w:docPartObj>
    </w:sdtPr>
    <w:sdtEndPr>
      <w:rPr>
        <w:noProof/>
      </w:rPr>
    </w:sdtEndPr>
    <w:sdtContent>
      <w:p w:rsidR="009A21F7" w:rsidRDefault="00E41D3E">
        <w:pPr>
          <w:pStyle w:val="Footer"/>
          <w:jc w:val="center"/>
        </w:pPr>
        <w:r>
          <w:fldChar w:fldCharType="begin"/>
        </w:r>
        <w:r>
          <w:instrText xml:space="preserve"> PAGE   \* MERGEFORMAT </w:instrText>
        </w:r>
        <w:r>
          <w:fldChar w:fldCharType="separate"/>
        </w:r>
        <w:r w:rsidR="00C32A12">
          <w:rPr>
            <w:noProof/>
          </w:rPr>
          <w:t>1</w:t>
        </w:r>
        <w:r>
          <w:rPr>
            <w:noProof/>
          </w:rPr>
          <w:fldChar w:fldCharType="end"/>
        </w:r>
      </w:p>
    </w:sdtContent>
  </w:sdt>
  <w:p w:rsidR="009A21F7" w:rsidRDefault="00DE7084">
    <w:pPr>
      <w:pStyle w:val="Footer"/>
    </w:pPr>
  </w:p>
  <w:p w:rsidR="009A21F7" w:rsidRDefault="00DE708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084" w:rsidRDefault="00DE7084">
      <w:r>
        <w:separator/>
      </w:r>
    </w:p>
  </w:footnote>
  <w:footnote w:type="continuationSeparator" w:id="0">
    <w:p w:rsidR="00DE7084" w:rsidRDefault="00DE70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9583E"/>
    <w:multiLevelType w:val="hybridMultilevel"/>
    <w:tmpl w:val="FA5AD2EE"/>
    <w:lvl w:ilvl="0" w:tplc="B4E0ADAC">
      <w:start w:val="1"/>
      <w:numFmt w:val="decimal"/>
      <w:lvlText w:val="%1."/>
      <w:lvlJc w:val="left"/>
      <w:pPr>
        <w:tabs>
          <w:tab w:val="num" w:pos="720"/>
        </w:tabs>
        <w:ind w:left="720" w:hanging="360"/>
      </w:pPr>
      <w:rPr>
        <w:rFonts w:cs="Times New Roman"/>
      </w:rPr>
    </w:lvl>
    <w:lvl w:ilvl="1" w:tplc="552847F8" w:tentative="1">
      <w:start w:val="1"/>
      <w:numFmt w:val="decimal"/>
      <w:lvlText w:val="%2."/>
      <w:lvlJc w:val="left"/>
      <w:pPr>
        <w:tabs>
          <w:tab w:val="num" w:pos="1440"/>
        </w:tabs>
        <w:ind w:left="1440" w:hanging="360"/>
      </w:pPr>
      <w:rPr>
        <w:rFonts w:cs="Times New Roman"/>
      </w:rPr>
    </w:lvl>
    <w:lvl w:ilvl="2" w:tplc="4DF2A272" w:tentative="1">
      <w:start w:val="1"/>
      <w:numFmt w:val="decimal"/>
      <w:lvlText w:val="%3."/>
      <w:lvlJc w:val="left"/>
      <w:pPr>
        <w:tabs>
          <w:tab w:val="num" w:pos="2160"/>
        </w:tabs>
        <w:ind w:left="2160" w:hanging="360"/>
      </w:pPr>
      <w:rPr>
        <w:rFonts w:cs="Times New Roman"/>
      </w:rPr>
    </w:lvl>
    <w:lvl w:ilvl="3" w:tplc="645211D6" w:tentative="1">
      <w:start w:val="1"/>
      <w:numFmt w:val="decimal"/>
      <w:lvlText w:val="%4."/>
      <w:lvlJc w:val="left"/>
      <w:pPr>
        <w:tabs>
          <w:tab w:val="num" w:pos="2880"/>
        </w:tabs>
        <w:ind w:left="2880" w:hanging="360"/>
      </w:pPr>
      <w:rPr>
        <w:rFonts w:cs="Times New Roman"/>
      </w:rPr>
    </w:lvl>
    <w:lvl w:ilvl="4" w:tplc="83A6E602" w:tentative="1">
      <w:start w:val="1"/>
      <w:numFmt w:val="decimal"/>
      <w:lvlText w:val="%5."/>
      <w:lvlJc w:val="left"/>
      <w:pPr>
        <w:tabs>
          <w:tab w:val="num" w:pos="3600"/>
        </w:tabs>
        <w:ind w:left="3600" w:hanging="360"/>
      </w:pPr>
      <w:rPr>
        <w:rFonts w:cs="Times New Roman"/>
      </w:rPr>
    </w:lvl>
    <w:lvl w:ilvl="5" w:tplc="89EA401C" w:tentative="1">
      <w:start w:val="1"/>
      <w:numFmt w:val="decimal"/>
      <w:lvlText w:val="%6."/>
      <w:lvlJc w:val="left"/>
      <w:pPr>
        <w:tabs>
          <w:tab w:val="num" w:pos="4320"/>
        </w:tabs>
        <w:ind w:left="4320" w:hanging="360"/>
      </w:pPr>
      <w:rPr>
        <w:rFonts w:cs="Times New Roman"/>
      </w:rPr>
    </w:lvl>
    <w:lvl w:ilvl="6" w:tplc="F45C374E" w:tentative="1">
      <w:start w:val="1"/>
      <w:numFmt w:val="decimal"/>
      <w:lvlText w:val="%7."/>
      <w:lvlJc w:val="left"/>
      <w:pPr>
        <w:tabs>
          <w:tab w:val="num" w:pos="5040"/>
        </w:tabs>
        <w:ind w:left="5040" w:hanging="360"/>
      </w:pPr>
      <w:rPr>
        <w:rFonts w:cs="Times New Roman"/>
      </w:rPr>
    </w:lvl>
    <w:lvl w:ilvl="7" w:tplc="16C26BE0" w:tentative="1">
      <w:start w:val="1"/>
      <w:numFmt w:val="decimal"/>
      <w:lvlText w:val="%8."/>
      <w:lvlJc w:val="left"/>
      <w:pPr>
        <w:tabs>
          <w:tab w:val="num" w:pos="5760"/>
        </w:tabs>
        <w:ind w:left="5760" w:hanging="360"/>
      </w:pPr>
      <w:rPr>
        <w:rFonts w:cs="Times New Roman"/>
      </w:rPr>
    </w:lvl>
    <w:lvl w:ilvl="8" w:tplc="0E7C073C" w:tentative="1">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D3E"/>
    <w:rsid w:val="00823F62"/>
    <w:rsid w:val="009103A8"/>
    <w:rsid w:val="00947239"/>
    <w:rsid w:val="00C32A12"/>
    <w:rsid w:val="00DE7084"/>
    <w:rsid w:val="00E41D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D3E"/>
    <w:pPr>
      <w:spacing w:after="0" w:line="240" w:lineRule="auto"/>
    </w:pPr>
    <w:rPr>
      <w:rFonts w:ascii="Times New Roman" w:eastAsia="SimSu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1D3E"/>
    <w:pPr>
      <w:tabs>
        <w:tab w:val="center" w:pos="4513"/>
        <w:tab w:val="right" w:pos="9026"/>
      </w:tabs>
    </w:pPr>
  </w:style>
  <w:style w:type="character" w:customStyle="1" w:styleId="FooterChar">
    <w:name w:val="Footer Char"/>
    <w:basedOn w:val="DefaultParagraphFont"/>
    <w:link w:val="Footer"/>
    <w:uiPriority w:val="99"/>
    <w:rsid w:val="00E41D3E"/>
    <w:rPr>
      <w:rFonts w:ascii="Times New Roman" w:eastAsia="SimSun" w:hAnsi="Times New Roman" w:cs="Times New Roman"/>
      <w:sz w:val="24"/>
      <w:szCs w:val="24"/>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D3E"/>
    <w:pPr>
      <w:spacing w:after="0" w:line="240" w:lineRule="auto"/>
    </w:pPr>
    <w:rPr>
      <w:rFonts w:ascii="Times New Roman" w:eastAsia="SimSu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41D3E"/>
    <w:pPr>
      <w:tabs>
        <w:tab w:val="center" w:pos="4513"/>
        <w:tab w:val="right" w:pos="9026"/>
      </w:tabs>
    </w:pPr>
  </w:style>
  <w:style w:type="character" w:customStyle="1" w:styleId="FooterChar">
    <w:name w:val="Footer Char"/>
    <w:basedOn w:val="DefaultParagraphFont"/>
    <w:link w:val="Footer"/>
    <w:uiPriority w:val="99"/>
    <w:rsid w:val="00E41D3E"/>
    <w:rPr>
      <w:rFonts w:ascii="Times New Roman" w:eastAsia="SimSun" w:hAnsi="Times New Roman" w:cs="Times New Roman"/>
      <w:sz w:val="24"/>
      <w:szCs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4871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 Mercy</dc:creator>
  <cp:lastModifiedBy>MIPA</cp:lastModifiedBy>
  <cp:revision>2</cp:revision>
  <dcterms:created xsi:type="dcterms:W3CDTF">2018-01-25T09:01:00Z</dcterms:created>
  <dcterms:modified xsi:type="dcterms:W3CDTF">2018-01-25T09:01:00Z</dcterms:modified>
</cp:coreProperties>
</file>