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4D09" w:rsidRPr="007F5AD0" w:rsidRDefault="00584D09" w:rsidP="002175E7">
      <w:pPr>
        <w:spacing w:line="480" w:lineRule="auto"/>
        <w:jc w:val="left"/>
        <w:rPr>
          <w:rFonts w:ascii="Arial" w:hAnsi="Arial" w:cs="Arial"/>
          <w:b/>
          <w:bCs/>
          <w:sz w:val="22"/>
          <w:szCs w:val="22"/>
        </w:rPr>
      </w:pPr>
      <w:r w:rsidRPr="007F5AD0">
        <w:rPr>
          <w:rFonts w:ascii="Arial" w:hAnsi="Arial" w:cs="Arial"/>
          <w:b/>
          <w:bCs/>
          <w:sz w:val="22"/>
          <w:szCs w:val="22"/>
        </w:rPr>
        <w:t>Mixed lineage kinase ZAK promotes epithelial-mesenchymal transition in cancer progression</w:t>
      </w:r>
      <w:r w:rsidR="002175E7" w:rsidRPr="007F5AD0">
        <w:rPr>
          <w:rFonts w:ascii="Arial" w:hAnsi="Arial" w:cs="Arial"/>
          <w:b/>
          <w:bCs/>
          <w:sz w:val="22"/>
          <w:szCs w:val="22"/>
        </w:rPr>
        <w:t xml:space="preserve">. </w:t>
      </w:r>
      <w:r w:rsidRPr="007F5AD0">
        <w:rPr>
          <w:rFonts w:ascii="Arial" w:hAnsi="Arial" w:cs="Arial"/>
          <w:sz w:val="22"/>
          <w:szCs w:val="22"/>
        </w:rPr>
        <w:t xml:space="preserve">Linna Li </w:t>
      </w:r>
      <w:r w:rsidRPr="007F5AD0">
        <w:rPr>
          <w:rFonts w:ascii="Arial" w:hAnsi="Arial" w:cs="Arial"/>
          <w:i/>
          <w:sz w:val="22"/>
          <w:szCs w:val="22"/>
        </w:rPr>
        <w:t>et al.</w:t>
      </w:r>
    </w:p>
    <w:p w:rsidR="002175E7" w:rsidRPr="007F5AD0" w:rsidRDefault="002175E7" w:rsidP="001F15C6">
      <w:pPr>
        <w:autoSpaceDE w:val="0"/>
        <w:autoSpaceDN w:val="0"/>
        <w:adjustRightInd w:val="0"/>
        <w:spacing w:line="480" w:lineRule="auto"/>
        <w:jc w:val="left"/>
        <w:rPr>
          <w:rFonts w:ascii="Arial" w:hAnsi="Arial" w:cs="Arial"/>
          <w:b/>
          <w:sz w:val="22"/>
          <w:szCs w:val="22"/>
        </w:rPr>
      </w:pPr>
    </w:p>
    <w:p w:rsidR="00817D75" w:rsidRPr="007F5AD0" w:rsidRDefault="00EA3132" w:rsidP="001F15C6">
      <w:pPr>
        <w:autoSpaceDE w:val="0"/>
        <w:autoSpaceDN w:val="0"/>
        <w:adjustRightInd w:val="0"/>
        <w:spacing w:line="480" w:lineRule="auto"/>
        <w:jc w:val="left"/>
        <w:rPr>
          <w:rFonts w:ascii="Arial" w:hAnsi="Arial" w:cs="Arial"/>
          <w:b/>
          <w:sz w:val="22"/>
          <w:szCs w:val="22"/>
        </w:rPr>
      </w:pPr>
      <w:r w:rsidRPr="007F5AD0">
        <w:rPr>
          <w:rFonts w:ascii="Arial" w:hAnsi="Arial" w:cs="Arial" w:hint="eastAsia"/>
          <w:b/>
          <w:sz w:val="22"/>
          <w:szCs w:val="22"/>
        </w:rPr>
        <w:t xml:space="preserve">Supplementary </w:t>
      </w:r>
      <w:r w:rsidR="00731B8F" w:rsidRPr="007F5AD0">
        <w:rPr>
          <w:rFonts w:ascii="Arial" w:hAnsi="Arial" w:cs="Arial"/>
          <w:b/>
          <w:sz w:val="22"/>
          <w:szCs w:val="22"/>
        </w:rPr>
        <w:t>Materials</w:t>
      </w:r>
      <w:r w:rsidR="00731B8F" w:rsidRPr="007F5AD0">
        <w:rPr>
          <w:rFonts w:ascii="Arial" w:hAnsi="Arial" w:cs="Arial" w:hint="eastAsia"/>
          <w:b/>
          <w:sz w:val="22"/>
          <w:szCs w:val="22"/>
        </w:rPr>
        <w:t xml:space="preserve"> and Methods</w:t>
      </w:r>
    </w:p>
    <w:p w:rsidR="00584D09" w:rsidRPr="007F5AD0" w:rsidRDefault="00584D09" w:rsidP="001F15C6">
      <w:pPr>
        <w:autoSpaceDE w:val="0"/>
        <w:autoSpaceDN w:val="0"/>
        <w:adjustRightInd w:val="0"/>
        <w:spacing w:line="480" w:lineRule="auto"/>
        <w:jc w:val="left"/>
        <w:rPr>
          <w:rFonts w:ascii="Arial" w:hAnsi="Arial" w:cs="Arial"/>
          <w:b/>
          <w:sz w:val="22"/>
          <w:szCs w:val="22"/>
        </w:rPr>
      </w:pPr>
    </w:p>
    <w:p w:rsidR="0070603A" w:rsidRPr="007F5AD0" w:rsidRDefault="0070603A" w:rsidP="001F15C6">
      <w:pPr>
        <w:autoSpaceDE w:val="0"/>
        <w:autoSpaceDN w:val="0"/>
        <w:adjustRightInd w:val="0"/>
        <w:spacing w:line="480" w:lineRule="auto"/>
        <w:jc w:val="left"/>
        <w:rPr>
          <w:rFonts w:ascii="Arial" w:hAnsi="Arial" w:cs="Arial"/>
          <w:b/>
          <w:sz w:val="22"/>
          <w:szCs w:val="22"/>
        </w:rPr>
      </w:pPr>
      <w:r w:rsidRPr="007F5AD0">
        <w:rPr>
          <w:rFonts w:ascii="Arial" w:hAnsi="Arial" w:cs="Arial"/>
          <w:b/>
          <w:sz w:val="22"/>
          <w:szCs w:val="22"/>
        </w:rPr>
        <w:t>Cell culture</w:t>
      </w:r>
      <w:r w:rsidR="001B5BB2" w:rsidRPr="007F5AD0">
        <w:rPr>
          <w:rFonts w:ascii="Arial" w:hAnsi="Arial" w:cs="Arial"/>
          <w:b/>
          <w:sz w:val="22"/>
          <w:szCs w:val="22"/>
        </w:rPr>
        <w:t xml:space="preserve"> and reagents</w:t>
      </w:r>
    </w:p>
    <w:p w:rsidR="00B0484E" w:rsidRPr="007F5AD0" w:rsidRDefault="00A41273" w:rsidP="001F15C6">
      <w:pPr>
        <w:autoSpaceDE w:val="0"/>
        <w:autoSpaceDN w:val="0"/>
        <w:adjustRightInd w:val="0"/>
        <w:spacing w:line="480" w:lineRule="auto"/>
        <w:jc w:val="left"/>
        <w:rPr>
          <w:rFonts w:ascii="Arial" w:hAnsi="Arial" w:cs="Arial"/>
          <w:sz w:val="22"/>
          <w:szCs w:val="22"/>
        </w:rPr>
      </w:pPr>
      <w:r w:rsidRPr="007F5AD0">
        <w:rPr>
          <w:rFonts w:ascii="Arial" w:hAnsi="Arial" w:cs="Arial"/>
          <w:sz w:val="22"/>
          <w:szCs w:val="22"/>
        </w:rPr>
        <w:t>The immortalized human mammary gland epithelial cells HMLE was generously provided by Dr. Robert Weinberg</w:t>
      </w:r>
      <w:r w:rsidR="007B121D" w:rsidRPr="007F5AD0">
        <w:rPr>
          <w:rFonts w:ascii="Arial" w:hAnsi="Arial" w:cs="Arial"/>
          <w:sz w:val="22"/>
          <w:szCs w:val="22"/>
        </w:rPr>
        <w:t>.</w:t>
      </w:r>
      <w:hyperlink w:anchor="_ENREF_1" w:tooltip="Elenbaas B, 2001 #45" w:history="1">
        <w:r w:rsidR="00D536E4" w:rsidRPr="007F5AD0">
          <w:rPr>
            <w:rFonts w:ascii="Arial" w:hAnsi="Arial" w:cs="Arial"/>
            <w:sz w:val="22"/>
            <w:szCs w:val="22"/>
          </w:rPr>
          <w:fldChar w:fldCharType="begin"/>
        </w:r>
        <w:r w:rsidR="00D536E4" w:rsidRPr="007F5AD0">
          <w:rPr>
            <w:rFonts w:ascii="Arial" w:hAnsi="Arial" w:cs="Arial"/>
            <w:sz w:val="22"/>
            <w:szCs w:val="22"/>
          </w:rPr>
          <w:instrText xml:space="preserve"> ADDIN EN.CITE &lt;EndNote&gt;&lt;Cite&gt;&lt;Author&gt;Elenbaas B&lt;/Author&gt;&lt;Year&gt;2001&lt;/Year&gt;&lt;RecNum&gt;45&lt;/RecNum&gt;&lt;DisplayText&gt;&lt;style face="superscript"&gt;1&lt;/style&gt;&lt;/DisplayText&gt;&lt;record&gt;&lt;rec-number&gt;45&lt;/rec-number&gt;&lt;foreign-keys&gt;&lt;key app="EN" db-id="2fpps0venta2r5e0wpfv55fcrdef0pvfxpst"&gt;45&lt;/key&gt;&lt;/foreign-keys&gt;&lt;ref-type name="Journal Article"&gt;17&lt;/ref-type&gt;&lt;contributors&gt;&lt;authors&gt;&lt;author&gt;Elenbaas B,&lt;/author&gt;&lt;author&gt;Spirio L, &lt;/author&gt;&lt;author&gt;Koerner F, &lt;/author&gt;&lt;author&gt;Fleming MD, &lt;/author&gt;&lt;author&gt;Zimonjic DB, &lt;/author&gt;&lt;author&gt;Donaher JL, &lt;/author&gt;&lt;author&gt;Popescu NC, &lt;/author&gt;&lt;author&gt;Hahn WC, &lt;/author&gt;&lt;author&gt;Weinberg RA.&lt;/author&gt;&lt;/authors&gt;&lt;/contributors&gt;&lt;titles&gt;&lt;title&gt;Human breast cancer cells generated by oncogenic transformation of primary mammary epithelial cells.&lt;/title&gt;&lt;secondary-title&gt;Genes Dev&lt;/secondary-title&gt;&lt;/titles&gt;&lt;pages&gt;&lt;style face="normal" font="default" size="100%"&gt;50&lt;/style&gt;&lt;style face="normal" font="default" charset="134" size="100%"&gt;-65&lt;/style&gt;&lt;/pages&gt;&lt;volume&gt;15&lt;/volume&gt;&lt;number&gt;1&lt;/number&gt;&lt;dates&gt;&lt;year&gt;2001&lt;/year&gt;&lt;/dates&gt;&lt;urls&gt;&lt;/urls&gt;&lt;/record&gt;&lt;/Cite&gt;&lt;/EndNote&gt;</w:instrText>
        </w:r>
        <w:r w:rsidR="00D536E4" w:rsidRPr="007F5AD0">
          <w:rPr>
            <w:rFonts w:ascii="Arial" w:hAnsi="Arial" w:cs="Arial"/>
            <w:sz w:val="22"/>
            <w:szCs w:val="22"/>
          </w:rPr>
          <w:fldChar w:fldCharType="separate"/>
        </w:r>
        <w:r w:rsidR="00D536E4" w:rsidRPr="007F5AD0">
          <w:rPr>
            <w:rFonts w:ascii="Arial" w:hAnsi="Arial" w:cs="Arial"/>
            <w:noProof/>
            <w:sz w:val="22"/>
            <w:szCs w:val="22"/>
            <w:vertAlign w:val="superscript"/>
          </w:rPr>
          <w:t>1</w:t>
        </w:r>
        <w:r w:rsidR="00D536E4" w:rsidRPr="007F5AD0">
          <w:rPr>
            <w:rFonts w:ascii="Arial" w:hAnsi="Arial" w:cs="Arial"/>
            <w:sz w:val="22"/>
            <w:szCs w:val="22"/>
          </w:rPr>
          <w:fldChar w:fldCharType="end"/>
        </w:r>
      </w:hyperlink>
      <w:r w:rsidRPr="007F5AD0">
        <w:rPr>
          <w:rFonts w:ascii="Arial" w:hAnsi="Arial" w:cs="Arial"/>
          <w:sz w:val="22"/>
          <w:szCs w:val="22"/>
        </w:rPr>
        <w:t xml:space="preserve"> HMLE cells were cultured in DMEM/F12 (1:1) medium (Mediatech</w:t>
      </w:r>
      <w:r w:rsidRPr="007F5AD0">
        <w:rPr>
          <w:rFonts w:ascii="Arial" w:hAnsi="Arial" w:cs="Arial" w:hint="eastAsia"/>
          <w:sz w:val="22"/>
          <w:szCs w:val="22"/>
        </w:rPr>
        <w:t>, Moorseville, NC USA</w:t>
      </w:r>
      <w:r w:rsidRPr="007F5AD0">
        <w:rPr>
          <w:rFonts w:ascii="Arial" w:hAnsi="Arial" w:cs="Arial"/>
          <w:sz w:val="22"/>
          <w:szCs w:val="22"/>
        </w:rPr>
        <w:t xml:space="preserve">) supplemented with 10 µg/ml insulin, 10 ng/ml hEGF, 0.5 µg/ml hydrocortisone, and 1% penicillin-streptomycin. PC3 prostate cancer cells, matching to the PC3 cells from ATCC </w:t>
      </w:r>
      <w:r w:rsidRPr="007F5AD0">
        <w:rPr>
          <w:rFonts w:ascii="Arial" w:hAnsi="Arial" w:cs="Arial" w:hint="eastAsia"/>
          <w:sz w:val="22"/>
          <w:szCs w:val="22"/>
        </w:rPr>
        <w:t>(Manassas, VA, USA</w:t>
      </w:r>
      <w:r w:rsidRPr="007F5AD0">
        <w:rPr>
          <w:rFonts w:ascii="Arial" w:hAnsi="Arial" w:cs="Arial"/>
          <w:sz w:val="22"/>
          <w:szCs w:val="22"/>
        </w:rPr>
        <w:t>) by finger printing, were kindly provided by Dr. Isaiah Fidler</w:t>
      </w:r>
      <w:r w:rsidR="003D389F" w:rsidRPr="007F5AD0">
        <w:rPr>
          <w:rFonts w:ascii="Arial" w:hAnsi="Arial" w:cs="Arial"/>
          <w:sz w:val="22"/>
          <w:szCs w:val="22"/>
        </w:rPr>
        <w:t>.</w:t>
      </w:r>
      <w:hyperlink w:anchor="_ENREF_2" w:tooltip="Pettaway CA, 1996 #46" w:history="1">
        <w:r w:rsidR="00D536E4" w:rsidRPr="007F5AD0">
          <w:rPr>
            <w:rFonts w:ascii="Arial" w:hAnsi="Arial" w:cs="Arial"/>
            <w:sz w:val="22"/>
            <w:szCs w:val="22"/>
          </w:rPr>
          <w:fldChar w:fldCharType="begin"/>
        </w:r>
        <w:r w:rsidR="00D536E4" w:rsidRPr="007F5AD0">
          <w:rPr>
            <w:rFonts w:ascii="Arial" w:hAnsi="Arial" w:cs="Arial"/>
            <w:sz w:val="22"/>
            <w:szCs w:val="22"/>
          </w:rPr>
          <w:instrText xml:space="preserve"> ADDIN EN.CITE &lt;EndNote&gt;&lt;Cite&gt;&lt;Author&gt;Pettaway CA&lt;/Author&gt;&lt;Year&gt;1996&lt;/Year&gt;&lt;RecNum&gt;46&lt;/RecNum&gt;&lt;DisplayText&gt;&lt;style face="superscript"&gt;2&lt;/style&gt;&lt;/DisplayText&gt;&lt;record&gt;&lt;rec-number&gt;46&lt;/rec-number&gt;&lt;foreign-keys&gt;&lt;key app="EN" db-id="2fpps0venta2r5e0wpfv55fcrdef0pvfxpst"&gt;46&lt;/key&gt;&lt;/foreign-keys&gt;&lt;ref-type name="Journal Article"&gt;17&lt;/ref-type&gt;&lt;contributors&gt;&lt;authors&gt;&lt;author&gt;Pettaway CA, &lt;/author&gt;&lt;author&gt;Pathak S, &lt;/author&gt;&lt;author&gt;Greene G, &lt;/author&gt;&lt;author&gt;Ramirez E, &lt;/author&gt;&lt;author&gt;Wilson MR, &lt;/author&gt;&lt;author&gt;Killion JJ, &lt;/author&gt;&lt;author&gt;Fidler IJ.&lt;/author&gt;&lt;/authors&gt;&lt;/contributors&gt;&lt;titles&gt;&lt;title&gt;Selection of highly metastatic variants of different human prostatic carcinomas using orthotopic implantation in nude mice.&lt;/title&gt;&lt;secondary-title&gt;Clin Cancer Res&lt;/secondary-title&gt;&lt;/titles&gt;&lt;pages&gt;1627-36&lt;/pages&gt;&lt;volume&gt;2&lt;/volume&gt;&lt;number&gt;9&lt;/number&gt;&lt;dates&gt;&lt;year&gt;1996&lt;/year&gt;&lt;/dates&gt;&lt;urls&gt;&lt;/urls&gt;&lt;/record&gt;&lt;/Cite&gt;&lt;/EndNote&gt;</w:instrText>
        </w:r>
        <w:r w:rsidR="00D536E4" w:rsidRPr="007F5AD0">
          <w:rPr>
            <w:rFonts w:ascii="Arial" w:hAnsi="Arial" w:cs="Arial"/>
            <w:sz w:val="22"/>
            <w:szCs w:val="22"/>
          </w:rPr>
          <w:fldChar w:fldCharType="separate"/>
        </w:r>
        <w:r w:rsidR="00D536E4" w:rsidRPr="007F5AD0">
          <w:rPr>
            <w:rFonts w:ascii="Arial" w:hAnsi="Arial" w:cs="Arial"/>
            <w:noProof/>
            <w:sz w:val="22"/>
            <w:szCs w:val="22"/>
            <w:vertAlign w:val="superscript"/>
          </w:rPr>
          <w:t>2</w:t>
        </w:r>
        <w:r w:rsidR="00D536E4" w:rsidRPr="007F5AD0">
          <w:rPr>
            <w:rFonts w:ascii="Arial" w:hAnsi="Arial" w:cs="Arial"/>
            <w:sz w:val="22"/>
            <w:szCs w:val="22"/>
          </w:rPr>
          <w:fldChar w:fldCharType="end"/>
        </w:r>
      </w:hyperlink>
      <w:r w:rsidRPr="007F5AD0">
        <w:rPr>
          <w:rFonts w:ascii="Arial" w:hAnsi="Arial" w:cs="Arial"/>
          <w:sz w:val="22"/>
          <w:szCs w:val="22"/>
        </w:rPr>
        <w:t xml:space="preserve"> PC3 and SU86.86 pancreatic cancer cells (ATCC) were cultured in RPMI 1640 media (Mediatech), supplemented with 10% FBS (Gibco</w:t>
      </w:r>
      <w:r w:rsidR="00D913AE" w:rsidRPr="007F5AD0">
        <w:rPr>
          <w:rFonts w:ascii="Arial" w:hAnsi="Arial" w:cs="Arial" w:hint="eastAsia"/>
          <w:sz w:val="22"/>
          <w:szCs w:val="22"/>
        </w:rPr>
        <w:t>, Grand Island, NY, USA</w:t>
      </w:r>
      <w:r w:rsidRPr="007F5AD0">
        <w:rPr>
          <w:rFonts w:ascii="Arial" w:hAnsi="Arial" w:cs="Arial"/>
          <w:sz w:val="22"/>
          <w:szCs w:val="22"/>
        </w:rPr>
        <w:t xml:space="preserve">) and 1% penicillin-streptomycin (Mediatech). HEK-293T cells, as well as three </w:t>
      </w:r>
      <w:r w:rsidRPr="007F5AD0">
        <w:rPr>
          <w:rFonts w:ascii="Arial" w:hAnsi="Arial" w:cs="Arial"/>
          <w:bCs/>
          <w:sz w:val="22"/>
          <w:szCs w:val="22"/>
        </w:rPr>
        <w:t>high metastatic potential cancer cell lines</w:t>
      </w:r>
      <w:r w:rsidRPr="007F5AD0">
        <w:rPr>
          <w:rFonts w:ascii="Arial" w:hAnsi="Arial" w:cs="Arial"/>
          <w:sz w:val="22"/>
          <w:szCs w:val="22"/>
        </w:rPr>
        <w:t xml:space="preserve"> MDA-MB-231 (breast cancer cell line obtained from ATCC), HCCLM3 (hepatocellular carcinoma cell line</w:t>
      </w:r>
      <w:hyperlink w:anchor="_ENREF_3" w:tooltip="Li Y, 2003 #76" w:history="1">
        <w:r w:rsidR="00D536E4" w:rsidRPr="007F5AD0">
          <w:rPr>
            <w:rFonts w:ascii="Arial" w:hAnsi="Arial" w:cs="Arial"/>
            <w:sz w:val="22"/>
            <w:szCs w:val="22"/>
          </w:rPr>
          <w:fldChar w:fldCharType="begin"/>
        </w:r>
        <w:r w:rsidR="00D536E4" w:rsidRPr="007F5AD0">
          <w:rPr>
            <w:rFonts w:ascii="Arial" w:hAnsi="Arial" w:cs="Arial"/>
            <w:sz w:val="22"/>
            <w:szCs w:val="22"/>
          </w:rPr>
          <w:instrText xml:space="preserve"> ADDIN EN.CITE &lt;EndNote&gt;&lt;Cite&gt;&lt;Author&gt;Li Y&lt;/Author&gt;&lt;Year&gt;2003&lt;/Year&gt;&lt;RecNum&gt;76&lt;/RecNum&gt;&lt;DisplayText&gt;&lt;style face="superscript"&gt;3&lt;/style&gt;&lt;/DisplayText&gt;&lt;record&gt;&lt;rec-number&gt;76&lt;/rec-number&gt;&lt;foreign-keys&gt;&lt;key app="EN" db-id="2fpps0venta2r5e0wpfv55fcrdef0pvfxpst"&gt;76&lt;/key&gt;&lt;/foreign-keys&gt;&lt;ref-type name="Journal Article"&gt;17&lt;/ref-type&gt;&lt;contributors&gt;&lt;authors&gt;&lt;author&gt;Li Y, &lt;/author&gt;&lt;author&gt;Tang Y, &lt;/author&gt;&lt;author&gt;Ye L, &lt;/author&gt;&lt;author&gt;Liu B, &lt;/author&gt;&lt;author&gt;Liu K, &lt;/author&gt;&lt;author&gt;Chen J, &lt;/author&gt;&lt;author&gt;Xue Q.&lt;/author&gt;&lt;/authors&gt;&lt;/contributors&gt;&lt;titles&gt;&lt;title&gt;&lt;style face="normal" font="default" size="100%"&gt;Establishment of a hepatocellular carcinoma cell line with unique metastatic characteristics through in vivo selection and screening for metastasis-related genes through cDNA microarray&lt;/style&gt;&lt;style face="normal" font="default" charset="134" size="100%"&gt;.&lt;/style&gt;&lt;/title&gt;&lt;secondary-title&gt;J Cancer Res Clin Oncol&lt;/secondary-title&gt;&lt;/titles&gt;&lt;pages&gt;43-51&lt;/pages&gt;&lt;volume&gt;129&lt;/volume&gt;&lt;number&gt;1&lt;/number&gt;&lt;dates&gt;&lt;year&gt;2003&lt;/year&gt;&lt;/dates&gt;&lt;urls&gt;&lt;/urls&gt;&lt;/record&gt;&lt;/Cite&gt;&lt;/EndNote&gt;</w:instrText>
        </w:r>
        <w:r w:rsidR="00D536E4" w:rsidRPr="007F5AD0">
          <w:rPr>
            <w:rFonts w:ascii="Arial" w:hAnsi="Arial" w:cs="Arial"/>
            <w:sz w:val="22"/>
            <w:szCs w:val="22"/>
          </w:rPr>
          <w:fldChar w:fldCharType="separate"/>
        </w:r>
        <w:r w:rsidR="00D536E4" w:rsidRPr="007F5AD0">
          <w:rPr>
            <w:rFonts w:ascii="Arial" w:hAnsi="Arial" w:cs="Arial"/>
            <w:noProof/>
            <w:sz w:val="22"/>
            <w:szCs w:val="22"/>
            <w:vertAlign w:val="superscript"/>
          </w:rPr>
          <w:t>3</w:t>
        </w:r>
        <w:r w:rsidR="00D536E4" w:rsidRPr="007F5AD0">
          <w:rPr>
            <w:rFonts w:ascii="Arial" w:hAnsi="Arial" w:cs="Arial"/>
            <w:sz w:val="22"/>
            <w:szCs w:val="22"/>
          </w:rPr>
          <w:fldChar w:fldCharType="end"/>
        </w:r>
      </w:hyperlink>
      <w:r w:rsidRPr="007F5AD0">
        <w:rPr>
          <w:rFonts w:ascii="Arial" w:hAnsi="Arial" w:cs="Arial"/>
          <w:sz w:val="22"/>
          <w:szCs w:val="22"/>
        </w:rPr>
        <w:t xml:space="preserve"> obtained from China Infrastructure of Cell Line Resources</w:t>
      </w:r>
      <w:r w:rsidRPr="007F5AD0">
        <w:rPr>
          <w:rFonts w:ascii="Arial" w:hAnsi="Arial" w:cs="Arial" w:hint="eastAsia"/>
          <w:sz w:val="22"/>
          <w:szCs w:val="22"/>
        </w:rPr>
        <w:t>, Beijing, China</w:t>
      </w:r>
      <w:r w:rsidRPr="007F5AD0">
        <w:rPr>
          <w:rFonts w:ascii="Arial" w:hAnsi="Arial" w:cs="Arial"/>
          <w:sz w:val="22"/>
          <w:szCs w:val="22"/>
        </w:rPr>
        <w:t>) and CLY (colorectal cancer cell line</w:t>
      </w:r>
      <w:hyperlink w:anchor="_ENREF_4" w:tooltip="Li LN, 2007  #75" w:history="1">
        <w:r w:rsidR="00D536E4" w:rsidRPr="007F5AD0">
          <w:rPr>
            <w:rFonts w:ascii="Arial" w:hAnsi="Arial" w:cs="Arial"/>
            <w:sz w:val="22"/>
            <w:szCs w:val="22"/>
          </w:rPr>
          <w:fldChar w:fldCharType="begin"/>
        </w:r>
        <w:r w:rsidR="00D536E4" w:rsidRPr="007F5AD0">
          <w:rPr>
            <w:rFonts w:ascii="Arial" w:hAnsi="Arial" w:cs="Arial"/>
            <w:sz w:val="22"/>
            <w:szCs w:val="22"/>
          </w:rPr>
          <w:instrText xml:space="preserve"> ADDIN EN.CITE &lt;EndNote&gt;&lt;Cite&gt;&lt;Author&gt;Li LN&lt;/Author&gt;&lt;Year&gt;2007 &lt;/Year&gt;&lt;RecNum&gt;75&lt;/RecNum&gt;&lt;DisplayText&gt;&lt;style face="superscript"&gt;4&lt;/style&gt;&lt;/DisplayText&gt;&lt;record&gt;&lt;rec-number&gt;75&lt;/rec-number&gt;&lt;foreign-keys&gt;&lt;key app="EN" db-id="2fpps0venta2r5e0wpfv55fcrdef0pvfxpst"&gt;75&lt;/key&gt;&lt;/foreign-keys&gt;&lt;ref-type name="Journal Article"&gt;17&lt;/ref-type&gt;&lt;contributors&gt;&lt;authors&gt;&lt;author&gt;Li LN, &lt;/author&gt;&lt;author&gt;Zhang HD, &lt;/author&gt;&lt;author&gt;Yuan SJ, &lt;/author&gt;&lt;author&gt;Tian ZY, &lt;/author&gt;&lt;author&gt;Sun ZX,&lt;/author&gt;&lt;/authors&gt;&lt;/contributors&gt;&lt;titles&gt;&lt;title&gt;Establishment and characterization of a novel human colorectal cancer cell line (CLY) metastasizing spontaneously to the liver in nude mice.&lt;/title&gt;&lt;secondary-title&gt;Oncol Rep&lt;/secondary-title&gt;&lt;/titles&gt;&lt;pages&gt;835-40&lt;/pages&gt;&lt;volume&gt;17&lt;/volume&gt;&lt;number&gt;4&lt;/number&gt;&lt;dates&gt;&lt;year&gt;2007 &lt;/year&gt;&lt;/dates&gt;&lt;urls&gt;&lt;/urls&gt;&lt;/record&gt;&lt;/Cite&gt;&lt;/EndNote&gt;</w:instrText>
        </w:r>
        <w:r w:rsidR="00D536E4" w:rsidRPr="007F5AD0">
          <w:rPr>
            <w:rFonts w:ascii="Arial" w:hAnsi="Arial" w:cs="Arial"/>
            <w:sz w:val="22"/>
            <w:szCs w:val="22"/>
          </w:rPr>
          <w:fldChar w:fldCharType="separate"/>
        </w:r>
        <w:r w:rsidR="00D536E4" w:rsidRPr="007F5AD0">
          <w:rPr>
            <w:rFonts w:ascii="Arial" w:hAnsi="Arial" w:cs="Arial"/>
            <w:noProof/>
            <w:sz w:val="22"/>
            <w:szCs w:val="22"/>
            <w:vertAlign w:val="superscript"/>
          </w:rPr>
          <w:t>4</w:t>
        </w:r>
        <w:r w:rsidR="00D536E4" w:rsidRPr="007F5AD0">
          <w:rPr>
            <w:rFonts w:ascii="Arial" w:hAnsi="Arial" w:cs="Arial"/>
            <w:sz w:val="22"/>
            <w:szCs w:val="22"/>
          </w:rPr>
          <w:fldChar w:fldCharType="end"/>
        </w:r>
      </w:hyperlink>
      <w:r w:rsidRPr="007F5AD0">
        <w:rPr>
          <w:rFonts w:ascii="Arial" w:hAnsi="Arial" w:cs="Arial"/>
          <w:sz w:val="22"/>
          <w:szCs w:val="22"/>
        </w:rPr>
        <w:t xml:space="preserve"> established by our lab) were cultured in DMEM (Invitrogen</w:t>
      </w:r>
      <w:r w:rsidR="00032C90" w:rsidRPr="007F5AD0">
        <w:rPr>
          <w:rFonts w:ascii="Arial" w:hAnsi="Arial" w:cs="Arial" w:hint="eastAsia"/>
          <w:sz w:val="22"/>
          <w:szCs w:val="22"/>
        </w:rPr>
        <w:t>, Irvine, CA, USA</w:t>
      </w:r>
      <w:r w:rsidRPr="007F5AD0">
        <w:rPr>
          <w:rFonts w:ascii="Arial" w:hAnsi="Arial" w:cs="Arial"/>
          <w:sz w:val="22"/>
          <w:szCs w:val="22"/>
        </w:rPr>
        <w:t xml:space="preserve">) with 10% FBS and 1% penicillin-streptomycin. </w:t>
      </w:r>
      <w:r w:rsidR="001B5BB2" w:rsidRPr="007F5AD0">
        <w:rPr>
          <w:rFonts w:ascii="Arial" w:hAnsi="Arial" w:cs="Arial"/>
          <w:sz w:val="22"/>
          <w:szCs w:val="22"/>
        </w:rPr>
        <w:t xml:space="preserve">The </w:t>
      </w:r>
      <w:r w:rsidR="006A3B77" w:rsidRPr="007F5AD0">
        <w:rPr>
          <w:rFonts w:ascii="Arial" w:hAnsi="Arial" w:cs="Arial"/>
          <w:sz w:val="22"/>
          <w:szCs w:val="22"/>
        </w:rPr>
        <w:t xml:space="preserve">control siRNA, </w:t>
      </w:r>
      <w:r w:rsidR="001B5BB2" w:rsidRPr="007F5AD0">
        <w:rPr>
          <w:rFonts w:ascii="Arial" w:hAnsi="Arial" w:cs="Arial"/>
          <w:sz w:val="22"/>
          <w:szCs w:val="22"/>
        </w:rPr>
        <w:t>siRNA</w:t>
      </w:r>
      <w:r w:rsidR="006A3B77" w:rsidRPr="007F5AD0">
        <w:rPr>
          <w:rFonts w:ascii="Arial" w:hAnsi="Arial" w:cs="Arial"/>
          <w:sz w:val="22"/>
          <w:szCs w:val="22"/>
        </w:rPr>
        <w:t xml:space="preserve">s against c-FOS </w:t>
      </w:r>
      <w:r w:rsidR="00B55959" w:rsidRPr="007F5AD0">
        <w:rPr>
          <w:rFonts w:ascii="Arial" w:hAnsi="Arial" w:cs="Arial"/>
          <w:sz w:val="22"/>
          <w:szCs w:val="22"/>
        </w:rPr>
        <w:t xml:space="preserve">(a gift from Drs. Qin Li and Jianming Xu) </w:t>
      </w:r>
      <w:r w:rsidR="006A3B77" w:rsidRPr="007F5AD0">
        <w:rPr>
          <w:rFonts w:ascii="Arial" w:hAnsi="Arial" w:cs="Arial"/>
          <w:sz w:val="22"/>
          <w:szCs w:val="22"/>
        </w:rPr>
        <w:t>and</w:t>
      </w:r>
      <w:r w:rsidR="001B5BB2" w:rsidRPr="007F5AD0">
        <w:rPr>
          <w:rFonts w:ascii="Arial" w:hAnsi="Arial" w:cs="Arial"/>
          <w:sz w:val="22"/>
          <w:szCs w:val="22"/>
        </w:rPr>
        <w:t xml:space="preserve"> </w:t>
      </w:r>
      <w:r w:rsidR="006F106A" w:rsidRPr="007F5AD0">
        <w:rPr>
          <w:rFonts w:ascii="Arial" w:hAnsi="Arial" w:cs="Arial"/>
          <w:sz w:val="22"/>
          <w:szCs w:val="22"/>
        </w:rPr>
        <w:t xml:space="preserve">siRNA against </w:t>
      </w:r>
      <w:r w:rsidR="001B5BB2" w:rsidRPr="007F5AD0">
        <w:rPr>
          <w:rFonts w:ascii="Arial" w:hAnsi="Arial" w:cs="Arial"/>
          <w:sz w:val="22"/>
          <w:szCs w:val="22"/>
        </w:rPr>
        <w:t xml:space="preserve">FOSL1 were </w:t>
      </w:r>
      <w:r w:rsidR="00B55959" w:rsidRPr="007F5AD0">
        <w:rPr>
          <w:rFonts w:ascii="Arial" w:hAnsi="Arial" w:cs="Arial"/>
          <w:sz w:val="22"/>
          <w:szCs w:val="22"/>
        </w:rPr>
        <w:t xml:space="preserve">originally </w:t>
      </w:r>
      <w:r w:rsidR="001B5BB2" w:rsidRPr="007F5AD0">
        <w:rPr>
          <w:rFonts w:ascii="Arial" w:hAnsi="Arial" w:cs="Arial"/>
          <w:sz w:val="22"/>
          <w:szCs w:val="22"/>
        </w:rPr>
        <w:t xml:space="preserve">purchased from Dharmacon </w:t>
      </w:r>
      <w:r w:rsidR="006A3B77" w:rsidRPr="007F5AD0">
        <w:rPr>
          <w:rFonts w:ascii="Arial" w:hAnsi="Arial" w:cs="Arial"/>
          <w:sz w:val="22"/>
          <w:szCs w:val="22"/>
        </w:rPr>
        <w:t>(</w:t>
      </w:r>
      <w:hyperlink r:id="rId8" w:history="1">
        <w:r w:rsidR="006A3B77" w:rsidRPr="007F5AD0">
          <w:rPr>
            <w:rStyle w:val="Hyperlink"/>
            <w:rFonts w:ascii="Arial" w:hAnsi="Arial" w:cs="Arial"/>
            <w:color w:val="auto"/>
            <w:sz w:val="22"/>
            <w:szCs w:val="22"/>
            <w:u w:val="none"/>
            <w:shd w:val="clear" w:color="auto" w:fill="FFFFFF"/>
          </w:rPr>
          <w:t>Lafayette, CO</w:t>
        </w:r>
      </w:hyperlink>
      <w:r w:rsidR="006A3B77" w:rsidRPr="007F5AD0">
        <w:rPr>
          <w:rFonts w:ascii="Arial" w:hAnsi="Arial" w:cs="Arial"/>
          <w:sz w:val="22"/>
          <w:szCs w:val="22"/>
        </w:rPr>
        <w:t xml:space="preserve">, USA) </w:t>
      </w:r>
      <w:r w:rsidR="001B5BB2" w:rsidRPr="007F5AD0">
        <w:rPr>
          <w:rFonts w:ascii="Arial" w:hAnsi="Arial" w:cs="Arial"/>
          <w:sz w:val="22"/>
          <w:szCs w:val="22"/>
        </w:rPr>
        <w:t xml:space="preserve">and transfected into PC3-ZAK, HMLE-ZAK and </w:t>
      </w:r>
      <w:r w:rsidR="001B5BB2" w:rsidRPr="007F5AD0">
        <w:rPr>
          <w:rFonts w:ascii="Arial" w:hAnsi="Arial" w:cs="Arial"/>
          <w:sz w:val="22"/>
          <w:szCs w:val="22"/>
        </w:rPr>
        <w:lastRenderedPageBreak/>
        <w:t xml:space="preserve">293T-ZAK cells using </w:t>
      </w:r>
      <w:r w:rsidR="006A3B77" w:rsidRPr="007F5AD0">
        <w:rPr>
          <w:rFonts w:ascii="Arial" w:hAnsi="Arial" w:cs="Arial"/>
          <w:sz w:val="22"/>
          <w:szCs w:val="22"/>
        </w:rPr>
        <w:t>Lipofectami</w:t>
      </w:r>
      <w:r w:rsidR="001B5BB2" w:rsidRPr="007F5AD0">
        <w:rPr>
          <w:rFonts w:ascii="Arial" w:hAnsi="Arial" w:cs="Arial"/>
          <w:sz w:val="22"/>
          <w:szCs w:val="22"/>
        </w:rPr>
        <w:t xml:space="preserve">ne </w:t>
      </w:r>
      <w:r w:rsidR="006A3B77" w:rsidRPr="007F5AD0">
        <w:rPr>
          <w:rFonts w:ascii="Arial" w:hAnsi="Arial" w:cs="Arial"/>
          <w:sz w:val="22"/>
          <w:szCs w:val="22"/>
        </w:rPr>
        <w:t>RNAiMAX</w:t>
      </w:r>
      <w:r w:rsidR="001B5BB2" w:rsidRPr="007F5AD0">
        <w:rPr>
          <w:rFonts w:ascii="Arial" w:hAnsi="Arial" w:cs="Arial"/>
          <w:sz w:val="22"/>
          <w:szCs w:val="22"/>
        </w:rPr>
        <w:t xml:space="preserve"> (</w:t>
      </w:r>
      <w:r w:rsidR="00CD66C7" w:rsidRPr="007F5AD0">
        <w:rPr>
          <w:rFonts w:ascii="Arial" w:hAnsi="Arial" w:cs="Arial"/>
          <w:sz w:val="22"/>
          <w:szCs w:val="22"/>
        </w:rPr>
        <w:t>Invitrogen</w:t>
      </w:r>
      <w:r w:rsidR="00CD66C7" w:rsidRPr="007F5AD0">
        <w:rPr>
          <w:rFonts w:ascii="Arial" w:hAnsi="Arial" w:cs="Arial" w:hint="eastAsia"/>
          <w:sz w:val="22"/>
          <w:szCs w:val="22"/>
        </w:rPr>
        <w:t>, Irvine, CA, USA</w:t>
      </w:r>
      <w:r w:rsidR="001B5BB2" w:rsidRPr="007F5AD0">
        <w:rPr>
          <w:rFonts w:ascii="Arial" w:hAnsi="Arial" w:cs="Arial"/>
          <w:sz w:val="22"/>
          <w:szCs w:val="22"/>
        </w:rPr>
        <w:t>)</w:t>
      </w:r>
      <w:r w:rsidR="006A3B77" w:rsidRPr="007F5AD0">
        <w:rPr>
          <w:rFonts w:ascii="Arial" w:hAnsi="Arial" w:cs="Arial"/>
          <w:sz w:val="22"/>
          <w:szCs w:val="22"/>
        </w:rPr>
        <w:t>, according to the manufacturers’ instructions</w:t>
      </w:r>
      <w:r w:rsidR="001B5BB2" w:rsidRPr="007F5AD0">
        <w:rPr>
          <w:rFonts w:ascii="Arial" w:hAnsi="Arial" w:cs="Arial"/>
          <w:sz w:val="22"/>
          <w:szCs w:val="22"/>
        </w:rPr>
        <w:t>. The MAPK pathway inhibitors U0126 and RO</w:t>
      </w:r>
      <w:r w:rsidR="00D208AF" w:rsidRPr="007F5AD0">
        <w:rPr>
          <w:rFonts w:ascii="Arial" w:hAnsi="Arial" w:cs="Arial"/>
          <w:sz w:val="22"/>
          <w:szCs w:val="22"/>
        </w:rPr>
        <w:t>5126766</w:t>
      </w:r>
      <w:r w:rsidR="001B5BB2" w:rsidRPr="007F5AD0">
        <w:rPr>
          <w:rFonts w:ascii="Arial" w:hAnsi="Arial" w:cs="Arial"/>
          <w:sz w:val="22"/>
          <w:szCs w:val="22"/>
        </w:rPr>
        <w:t xml:space="preserve"> were purchased from Selleck </w:t>
      </w:r>
      <w:r w:rsidR="002F3165" w:rsidRPr="007F5AD0">
        <w:rPr>
          <w:rFonts w:ascii="Arial" w:hAnsi="Arial" w:cs="Arial"/>
          <w:sz w:val="22"/>
          <w:szCs w:val="22"/>
        </w:rPr>
        <w:t xml:space="preserve">(Houston, TX, USA) </w:t>
      </w:r>
      <w:r w:rsidR="001B5BB2" w:rsidRPr="007F5AD0">
        <w:rPr>
          <w:rFonts w:ascii="Arial" w:hAnsi="Arial" w:cs="Arial"/>
          <w:sz w:val="22"/>
          <w:szCs w:val="22"/>
        </w:rPr>
        <w:t xml:space="preserve">and used to treat ZAK-overexpressing cells as indicated.   </w:t>
      </w:r>
      <w:bookmarkStart w:id="0" w:name="_GoBack"/>
      <w:bookmarkEnd w:id="0"/>
    </w:p>
    <w:p w:rsidR="00B0484E" w:rsidRPr="007F5AD0" w:rsidRDefault="00B0484E" w:rsidP="001F15C6">
      <w:pPr>
        <w:autoSpaceDE w:val="0"/>
        <w:autoSpaceDN w:val="0"/>
        <w:adjustRightInd w:val="0"/>
        <w:spacing w:line="480" w:lineRule="auto"/>
        <w:jc w:val="left"/>
        <w:rPr>
          <w:rFonts w:ascii="Arial" w:hAnsi="Arial" w:cs="Arial"/>
          <w:sz w:val="22"/>
          <w:szCs w:val="22"/>
        </w:rPr>
      </w:pPr>
      <w:r w:rsidRPr="007F5AD0">
        <w:rPr>
          <w:rFonts w:ascii="Arial" w:hAnsi="Arial" w:cs="Arial"/>
          <w:b/>
          <w:sz w:val="22"/>
          <w:szCs w:val="22"/>
        </w:rPr>
        <w:t>Western blotting</w:t>
      </w:r>
      <w:r w:rsidRPr="007F5AD0">
        <w:rPr>
          <w:rFonts w:ascii="Arial" w:hAnsi="Arial" w:cs="Arial" w:hint="eastAsia"/>
          <w:b/>
          <w:sz w:val="22"/>
          <w:szCs w:val="22"/>
        </w:rPr>
        <w:t xml:space="preserve"> analysis</w:t>
      </w:r>
    </w:p>
    <w:p w:rsidR="00B0484E" w:rsidRPr="007F5AD0" w:rsidRDefault="00B0484E" w:rsidP="001F15C6">
      <w:pPr>
        <w:autoSpaceDE w:val="0"/>
        <w:autoSpaceDN w:val="0"/>
        <w:adjustRightInd w:val="0"/>
        <w:spacing w:line="480" w:lineRule="auto"/>
        <w:jc w:val="left"/>
        <w:rPr>
          <w:rFonts w:ascii="Arial" w:hAnsi="Arial" w:cs="Arial"/>
          <w:sz w:val="22"/>
          <w:szCs w:val="22"/>
        </w:rPr>
      </w:pPr>
      <w:r w:rsidRPr="007F5AD0">
        <w:rPr>
          <w:rFonts w:ascii="Arial" w:hAnsi="Arial" w:cs="Arial"/>
          <w:sz w:val="22"/>
          <w:szCs w:val="22"/>
        </w:rPr>
        <w:t>Cells were lysed in RIPA buffer supplemented with Complete Mini protease inhibitor cocktail and PhosSTOP phosphatase inhibitor cocktail (Roche Applied Science</w:t>
      </w:r>
      <w:r w:rsidRPr="007F5AD0">
        <w:rPr>
          <w:rFonts w:ascii="Arial" w:hAnsi="Arial" w:cs="Arial" w:hint="eastAsia"/>
          <w:sz w:val="22"/>
          <w:szCs w:val="22"/>
        </w:rPr>
        <w:t>, Indianapolis, IN, USA</w:t>
      </w:r>
      <w:r w:rsidRPr="007F5AD0">
        <w:rPr>
          <w:rFonts w:ascii="Arial" w:hAnsi="Arial" w:cs="Arial"/>
          <w:sz w:val="22"/>
          <w:szCs w:val="22"/>
        </w:rPr>
        <w:t>). Protein concentrations were determined using Pierce BCA protein assay kit (Thermo Scientific</w:t>
      </w:r>
      <w:r w:rsidRPr="007F5AD0">
        <w:rPr>
          <w:rFonts w:ascii="Arial" w:hAnsi="Arial" w:cs="Arial" w:hint="eastAsia"/>
          <w:sz w:val="22"/>
          <w:szCs w:val="22"/>
        </w:rPr>
        <w:t>, Pittsburgh, PA, USA</w:t>
      </w:r>
      <w:r w:rsidRPr="007F5AD0">
        <w:rPr>
          <w:rFonts w:ascii="Arial" w:hAnsi="Arial" w:cs="Arial"/>
          <w:sz w:val="22"/>
          <w:szCs w:val="22"/>
        </w:rPr>
        <w:t>). The samples were then separated by SDS-PAGE and transferred to PVDF membrane (Bio-Rad</w:t>
      </w:r>
      <w:r w:rsidRPr="007F5AD0">
        <w:rPr>
          <w:rFonts w:ascii="Arial" w:hAnsi="Arial" w:cs="Arial" w:hint="eastAsia"/>
          <w:sz w:val="22"/>
          <w:szCs w:val="22"/>
        </w:rPr>
        <w:t>, Hercules, CA, USA</w:t>
      </w:r>
      <w:r w:rsidRPr="007F5AD0">
        <w:rPr>
          <w:rFonts w:ascii="Arial" w:hAnsi="Arial" w:cs="Arial"/>
          <w:sz w:val="22"/>
          <w:szCs w:val="22"/>
        </w:rPr>
        <w:t>). The membrane was blocked with 5% skim milk in TBST for 1h at room temperature, followed by incubation of a primary antibody overnight at 4°C. Primary antibodies used were as follows: anti-vimentin V9 (Abcam</w:t>
      </w:r>
      <w:r w:rsidRPr="007F5AD0">
        <w:rPr>
          <w:rFonts w:ascii="Arial" w:hAnsi="Arial" w:cs="Arial" w:hint="eastAsia"/>
          <w:sz w:val="22"/>
          <w:szCs w:val="22"/>
        </w:rPr>
        <w:t>, Cambridge, UK</w:t>
      </w:r>
      <w:r w:rsidRPr="007F5AD0">
        <w:rPr>
          <w:rFonts w:ascii="Arial" w:hAnsi="Arial" w:cs="Arial"/>
          <w:sz w:val="22"/>
          <w:szCs w:val="22"/>
        </w:rPr>
        <w:t>); anti-E-cadherin, anti-Fibronectin and anti-N-cadherin (BD Pharmingen</w:t>
      </w:r>
      <w:r w:rsidRPr="007F5AD0">
        <w:rPr>
          <w:rFonts w:ascii="Arial" w:hAnsi="Arial" w:cs="Arial" w:hint="eastAsia"/>
          <w:sz w:val="22"/>
          <w:szCs w:val="22"/>
        </w:rPr>
        <w:t>, San Diego, CA, USA</w:t>
      </w:r>
      <w:r w:rsidRPr="007F5AD0">
        <w:rPr>
          <w:rFonts w:ascii="Arial" w:hAnsi="Arial" w:cs="Arial"/>
          <w:sz w:val="22"/>
          <w:szCs w:val="22"/>
        </w:rPr>
        <w:t>); anti-ZEB1 H102, anti-CD44 IM7, anti-occludin, and anti-β-actin (Santa Cruz Biotechnology</w:t>
      </w:r>
      <w:r w:rsidRPr="007F5AD0">
        <w:rPr>
          <w:rFonts w:ascii="Arial" w:hAnsi="Arial" w:cs="Arial" w:hint="eastAsia"/>
          <w:sz w:val="22"/>
          <w:szCs w:val="22"/>
        </w:rPr>
        <w:t xml:space="preserve">, </w:t>
      </w:r>
      <w:r w:rsidRPr="007F5AD0">
        <w:rPr>
          <w:rFonts w:ascii="Arial" w:hAnsi="Arial" w:cs="Arial"/>
          <w:sz w:val="22"/>
          <w:szCs w:val="22"/>
        </w:rPr>
        <w:t>Santa Cruz</w:t>
      </w:r>
      <w:r w:rsidRPr="007F5AD0">
        <w:rPr>
          <w:rFonts w:ascii="Arial" w:hAnsi="Arial" w:cs="Arial" w:hint="eastAsia"/>
          <w:sz w:val="22"/>
          <w:szCs w:val="22"/>
        </w:rPr>
        <w:t>, CA, USA)</w:t>
      </w:r>
      <w:r w:rsidRPr="007F5AD0">
        <w:rPr>
          <w:rFonts w:ascii="Arial" w:hAnsi="Arial" w:cs="Arial"/>
          <w:sz w:val="22"/>
          <w:szCs w:val="22"/>
        </w:rPr>
        <w:t>; anti-ESRP1/2(Rockland Immunochemicals</w:t>
      </w:r>
      <w:r w:rsidRPr="007F5AD0">
        <w:rPr>
          <w:rFonts w:ascii="Arial" w:hAnsi="Arial" w:cs="Arial" w:hint="eastAsia"/>
          <w:sz w:val="22"/>
          <w:szCs w:val="22"/>
        </w:rPr>
        <w:t>, Limerick, PA, USA</w:t>
      </w:r>
      <w:r w:rsidRPr="007F5AD0">
        <w:rPr>
          <w:rFonts w:ascii="Arial" w:hAnsi="Arial" w:cs="Arial"/>
          <w:sz w:val="22"/>
          <w:szCs w:val="22"/>
        </w:rPr>
        <w:t>); anti-ZAK (Sigma). After washes, the membrane was incubated with HRP-conjugated secondary antibodies (Cell Signaling Technology</w:t>
      </w:r>
      <w:r w:rsidRPr="007F5AD0">
        <w:rPr>
          <w:rFonts w:ascii="Arial" w:hAnsi="Arial" w:cs="Arial" w:hint="eastAsia"/>
          <w:sz w:val="22"/>
          <w:szCs w:val="22"/>
        </w:rPr>
        <w:t>, Danvers, MA, USA</w:t>
      </w:r>
      <w:r w:rsidRPr="007F5AD0">
        <w:rPr>
          <w:rFonts w:ascii="Arial" w:hAnsi="Arial" w:cs="Arial"/>
          <w:sz w:val="22"/>
          <w:szCs w:val="22"/>
        </w:rPr>
        <w:t>) for 1 h at room temperature. The blots were then detected by Pierce ECL Western Blotting Substrate (Thermo Scientific) on Blue Basic Autoradiography Film.</w:t>
      </w:r>
    </w:p>
    <w:p w:rsidR="00B0484E" w:rsidRPr="007F5AD0" w:rsidRDefault="00B0484E" w:rsidP="001F15C6">
      <w:pPr>
        <w:spacing w:line="480" w:lineRule="auto"/>
        <w:jc w:val="left"/>
        <w:rPr>
          <w:rFonts w:ascii="Arial" w:hAnsi="Arial" w:cs="Arial"/>
          <w:sz w:val="22"/>
          <w:szCs w:val="22"/>
        </w:rPr>
      </w:pPr>
    </w:p>
    <w:p w:rsidR="00B0484E" w:rsidRPr="007F5AD0" w:rsidRDefault="00B0484E" w:rsidP="001F15C6">
      <w:pPr>
        <w:spacing w:line="480" w:lineRule="auto"/>
        <w:jc w:val="left"/>
        <w:rPr>
          <w:rFonts w:ascii="Arial" w:hAnsi="Arial" w:cs="Arial"/>
          <w:b/>
          <w:sz w:val="22"/>
          <w:szCs w:val="22"/>
        </w:rPr>
      </w:pPr>
      <w:r w:rsidRPr="007F5AD0">
        <w:rPr>
          <w:rFonts w:ascii="Arial" w:hAnsi="Arial" w:cs="Arial"/>
          <w:b/>
          <w:sz w:val="22"/>
          <w:szCs w:val="22"/>
        </w:rPr>
        <w:lastRenderedPageBreak/>
        <w:t>Immunofluorescence assay</w:t>
      </w:r>
    </w:p>
    <w:p w:rsidR="00B0484E" w:rsidRPr="007F5AD0" w:rsidRDefault="00B0484E" w:rsidP="001F15C6">
      <w:pPr>
        <w:spacing w:line="480" w:lineRule="auto"/>
        <w:jc w:val="left"/>
        <w:rPr>
          <w:rFonts w:ascii="Arial" w:hAnsi="Arial" w:cs="Arial"/>
          <w:sz w:val="22"/>
          <w:szCs w:val="22"/>
        </w:rPr>
      </w:pPr>
      <w:r w:rsidRPr="007F5AD0">
        <w:rPr>
          <w:rFonts w:ascii="Arial" w:hAnsi="Arial" w:cs="Arial"/>
          <w:sz w:val="22"/>
          <w:szCs w:val="22"/>
        </w:rPr>
        <w:t>Cells grown on Lab-Tek II Chamber Slide (Thermo Scientific) were fixed with 4% paraformaldehyde/PBS for 10 min, and permeabilized with 0.2% Trition-100/PBS for 10 min before blocking with blocking buffer (PBS + 5% BSA + 0.1% Tween-20) for 1 h. Cells were then incubated with primary antibody (diluted 1:200) overnight at 4°C. Primary antibodies used were as follows: anti-E-cadherin (BD Pharmingen) and anti-vimentin V9 (Abcam). After washing with PBS, secondary antibodies coupled to Alexa-488 or -594 (Invitrogen</w:t>
      </w:r>
      <w:r w:rsidRPr="007F5AD0">
        <w:rPr>
          <w:rFonts w:ascii="Arial" w:hAnsi="Arial" w:cs="Arial" w:hint="eastAsia"/>
          <w:sz w:val="22"/>
          <w:szCs w:val="22"/>
        </w:rPr>
        <w:t>, Irvine, CA, USA</w:t>
      </w:r>
      <w:r w:rsidRPr="007F5AD0">
        <w:rPr>
          <w:rFonts w:ascii="Arial" w:hAnsi="Arial" w:cs="Arial"/>
          <w:sz w:val="22"/>
          <w:szCs w:val="22"/>
        </w:rPr>
        <w:t>) were used in the dark at room temperature for 1 h. Cell nuclei were then visualized with DRAQ5 (Invitrogen). Slides were mounted with SlowFade Gold anti-fade reagent (Invitrogen). Images were captured with the Leica TCS SP5 Confocal Microscope</w:t>
      </w:r>
      <w:r w:rsidRPr="007F5AD0">
        <w:rPr>
          <w:rFonts w:ascii="Arial" w:hAnsi="Arial" w:cs="Arial" w:hint="eastAsia"/>
          <w:sz w:val="22"/>
          <w:szCs w:val="22"/>
        </w:rPr>
        <w:t xml:space="preserve"> </w:t>
      </w:r>
      <w:r w:rsidRPr="007F5AD0">
        <w:rPr>
          <w:rFonts w:ascii="Arial" w:hAnsi="Arial" w:cs="Arial"/>
          <w:sz w:val="22"/>
          <w:szCs w:val="22"/>
        </w:rPr>
        <w:t>and LAS AF software</w:t>
      </w:r>
      <w:r w:rsidRPr="007F5AD0">
        <w:rPr>
          <w:rFonts w:ascii="Arial" w:hAnsi="Arial" w:cs="Arial" w:hint="eastAsia"/>
          <w:sz w:val="22"/>
          <w:szCs w:val="22"/>
        </w:rPr>
        <w:t xml:space="preserve"> (Buffalo Grove, IL, USA)</w:t>
      </w:r>
      <w:r w:rsidRPr="007F5AD0">
        <w:rPr>
          <w:rFonts w:ascii="Arial" w:hAnsi="Arial" w:cs="Arial"/>
          <w:sz w:val="22"/>
          <w:szCs w:val="22"/>
        </w:rPr>
        <w:t>.</w:t>
      </w:r>
    </w:p>
    <w:p w:rsidR="0070603A" w:rsidRPr="007F5AD0" w:rsidRDefault="0070603A" w:rsidP="001F15C6">
      <w:pPr>
        <w:autoSpaceDE w:val="0"/>
        <w:autoSpaceDN w:val="0"/>
        <w:adjustRightInd w:val="0"/>
        <w:spacing w:line="480" w:lineRule="auto"/>
        <w:jc w:val="left"/>
        <w:rPr>
          <w:rFonts w:ascii="Arial" w:hAnsi="Arial" w:cs="Arial"/>
          <w:sz w:val="22"/>
          <w:szCs w:val="22"/>
        </w:rPr>
      </w:pPr>
    </w:p>
    <w:p w:rsidR="00EC16EF" w:rsidRPr="007F5AD0" w:rsidRDefault="00EC16EF" w:rsidP="001F15C6">
      <w:pPr>
        <w:spacing w:line="480" w:lineRule="auto"/>
        <w:jc w:val="left"/>
        <w:rPr>
          <w:rFonts w:ascii="Arial" w:hAnsi="Arial" w:cs="Arial"/>
          <w:b/>
          <w:sz w:val="22"/>
          <w:szCs w:val="22"/>
        </w:rPr>
      </w:pPr>
      <w:r w:rsidRPr="007F5AD0">
        <w:rPr>
          <w:rFonts w:ascii="Arial" w:hAnsi="Arial" w:cs="Arial"/>
          <w:b/>
          <w:sz w:val="22"/>
          <w:szCs w:val="22"/>
        </w:rPr>
        <w:t>Reverse transcription and quantitative PCR analysis</w:t>
      </w:r>
    </w:p>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RNA was isolated from cells using TRIzol reagent (Invitrogen). cDNA was generated by reverse transcription with iScript cDNA Synthesis Kit (Bio-Rad). Real time PCR was performed using SsoFast EvaGreen Supermix (Bio-Rad) in Bio-Rad CFX96 Real-Time PCR Detection System (Bio-Rad). For all RT-PCR analysis, either GAPDH or β-actin mRNA was used to normalize RNA input and expression levels were calculated according to the comparative CT method (ΔΔCT). Primers sequence used to amplify genes were as follows:</w:t>
      </w:r>
    </w:p>
    <w:tbl>
      <w:tblPr>
        <w:tblW w:w="7442" w:type="dxa"/>
        <w:tblInd w:w="93" w:type="dxa"/>
        <w:tblLook w:val="04A0" w:firstRow="1" w:lastRow="0" w:firstColumn="1" w:lastColumn="0" w:noHBand="0" w:noVBand="1"/>
      </w:tblPr>
      <w:tblGrid>
        <w:gridCol w:w="1300"/>
        <w:gridCol w:w="345"/>
        <w:gridCol w:w="3451"/>
        <w:gridCol w:w="2458"/>
      </w:tblGrid>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ZAK-F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5’-ACTTTGGTGCCTCTCGGT-3’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lastRenderedPageBreak/>
              <w:t>ZAK-R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5’-TTCTGGGGCAACTGCTT-3’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CDH1-F</w:t>
            </w:r>
          </w:p>
        </w:tc>
        <w:tc>
          <w:tcPr>
            <w:tcW w:w="5807"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caps/>
                <w:sz w:val="22"/>
                <w:szCs w:val="22"/>
              </w:rPr>
              <w:t>5’-</w:t>
            </w:r>
            <w:r w:rsidRPr="007F5AD0">
              <w:rPr>
                <w:rFonts w:ascii="Arial" w:hAnsi="Arial" w:cs="Arial"/>
                <w:sz w:val="22"/>
                <w:szCs w:val="22"/>
              </w:rPr>
              <w:t>GGCCAGGAAATCACATCCTA</w:t>
            </w:r>
            <w:r w:rsidRPr="007F5AD0">
              <w:rPr>
                <w:rFonts w:ascii="Arial" w:hAnsi="Arial" w:cs="Arial"/>
                <w:caps/>
                <w:sz w:val="22"/>
                <w:szCs w:val="22"/>
              </w:rPr>
              <w: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CDH1-R</w:t>
            </w:r>
          </w:p>
        </w:tc>
        <w:tc>
          <w:tcPr>
            <w:tcW w:w="5807"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caps/>
                <w:sz w:val="22"/>
                <w:szCs w:val="22"/>
              </w:rPr>
              <w:t>5’-</w:t>
            </w:r>
            <w:r w:rsidRPr="007F5AD0">
              <w:rPr>
                <w:rFonts w:ascii="Arial" w:hAnsi="Arial" w:cs="Arial"/>
                <w:sz w:val="22"/>
                <w:szCs w:val="22"/>
              </w:rPr>
              <w:t>GGCAGTGTCTCTCCAAATCC</w:t>
            </w:r>
            <w:r w:rsidRPr="007F5AD0">
              <w:rPr>
                <w:rFonts w:ascii="Arial" w:hAnsi="Arial" w:cs="Arial"/>
                <w:caps/>
                <w:sz w:val="22"/>
                <w:szCs w:val="22"/>
              </w:rPr>
              <w: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VIM-F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5’-AAAGTGTGGCTGCCAAGAAC-3’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VIM-R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5’-AGCCTCAGAGAGGTCAGCAA-3’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ZEB1-F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5’-TGTTACCAGGGAGGAGCAGT-3’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ZEB1-R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5’-GCTTCATCTGCCTGAGCTTC-3’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CD44s-F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5’-AGGAGCAGCACTTCAGGAGGTTAC-3’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CD44s-R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5’-ACTGGGGTGGAATGTGTCTTGGTC-3’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CD44v8-9 -F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5’-caggtttggtggaagatttgg-3’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CD44v8-9 -R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5’-tgtcagagtagaagttgttggatgg-3’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ESRP1-F</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5’-accaagccctccgacagt-3’</w:t>
            </w:r>
          </w:p>
        </w:tc>
      </w:tr>
      <w:tr w:rsidR="007F5AD0" w:rsidRPr="007F5AD0" w:rsidTr="00F668BF">
        <w:trPr>
          <w:trHeight w:val="255"/>
        </w:trPr>
        <w:tc>
          <w:tcPr>
            <w:tcW w:w="1635" w:type="dxa"/>
            <w:gridSpan w:val="2"/>
            <w:noWrap/>
            <w:vAlign w:val="bottom"/>
            <w:hideMark/>
          </w:tcPr>
          <w:p w:rsidR="00EC16EF" w:rsidRPr="007F5AD0" w:rsidRDefault="00EC16EF" w:rsidP="001F15C6">
            <w:pPr>
              <w:spacing w:line="480" w:lineRule="auto"/>
              <w:jc w:val="left"/>
              <w:rPr>
                <w:rFonts w:ascii="Arial" w:hAnsi="Arial" w:cs="Arial"/>
                <w:sz w:val="22"/>
                <w:szCs w:val="22"/>
              </w:rPr>
            </w:pPr>
            <w:r w:rsidRPr="007F5AD0">
              <w:rPr>
                <w:rFonts w:ascii="Arial" w:hAnsi="Arial" w:cs="Arial"/>
                <w:sz w:val="22"/>
                <w:szCs w:val="22"/>
              </w:rPr>
              <w:t>ESRP1-R</w:t>
            </w:r>
          </w:p>
        </w:tc>
        <w:tc>
          <w:tcPr>
            <w:tcW w:w="5807" w:type="dxa"/>
            <w:gridSpan w:val="2"/>
            <w:noWrap/>
            <w:vAlign w:val="bottom"/>
            <w:hideMark/>
          </w:tcPr>
          <w:p w:rsidR="00EC16EF" w:rsidRPr="007F5AD0" w:rsidRDefault="00EC16EF" w:rsidP="001F15C6">
            <w:pPr>
              <w:spacing w:line="480" w:lineRule="auto"/>
              <w:jc w:val="left"/>
              <w:rPr>
                <w:rFonts w:ascii="Arial" w:hAnsi="Arial" w:cs="Arial"/>
                <w:caps/>
                <w:sz w:val="22"/>
                <w:szCs w:val="22"/>
              </w:rPr>
            </w:pPr>
            <w:r w:rsidRPr="007F5AD0">
              <w:rPr>
                <w:rFonts w:ascii="Arial" w:hAnsi="Arial" w:cs="Arial"/>
                <w:caps/>
                <w:sz w:val="22"/>
                <w:szCs w:val="22"/>
              </w:rPr>
              <w:t>5’-tgcaggatttgcctgacat-3’</w:t>
            </w:r>
          </w:p>
        </w:tc>
      </w:tr>
      <w:tr w:rsidR="007F5AD0" w:rsidRPr="007F5AD0" w:rsidTr="00F668BF">
        <w:trPr>
          <w:gridAfter w:val="1"/>
          <w:wAfter w:w="2458" w:type="dxa"/>
          <w:trHeight w:val="300"/>
        </w:trPr>
        <w:tc>
          <w:tcPr>
            <w:tcW w:w="1300" w:type="dxa"/>
            <w:tcBorders>
              <w:top w:val="nil"/>
              <w:left w:val="nil"/>
              <w:bottom w:val="nil"/>
              <w:right w:val="nil"/>
            </w:tcBorders>
            <w:shd w:val="clear" w:color="auto" w:fill="auto"/>
            <w:noWrap/>
            <w:vAlign w:val="bottom"/>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FOSL1-71F</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5'-GTCGAAGGCCTTGTGAACAG-3'</w:t>
            </w:r>
          </w:p>
        </w:tc>
      </w:tr>
      <w:tr w:rsidR="007F5AD0" w:rsidRPr="007F5AD0" w:rsidTr="00F668BF">
        <w:trPr>
          <w:gridAfter w:val="1"/>
          <w:wAfter w:w="2458" w:type="dxa"/>
          <w:trHeight w:val="300"/>
        </w:trPr>
        <w:tc>
          <w:tcPr>
            <w:tcW w:w="1300" w:type="dxa"/>
            <w:tcBorders>
              <w:top w:val="nil"/>
              <w:left w:val="nil"/>
              <w:bottom w:val="nil"/>
              <w:right w:val="nil"/>
            </w:tcBorders>
            <w:shd w:val="clear" w:color="auto" w:fill="auto"/>
            <w:noWrap/>
            <w:vAlign w:val="bottom"/>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FOSL1-71R</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5'-CTCCGGTTCCTGCACTTG-3'</w:t>
            </w:r>
          </w:p>
        </w:tc>
      </w:tr>
      <w:tr w:rsidR="007F5AD0" w:rsidRPr="007F5AD0" w:rsidTr="00F668BF">
        <w:trPr>
          <w:gridAfter w:val="1"/>
          <w:wAfter w:w="2458" w:type="dxa"/>
          <w:trHeight w:val="300"/>
        </w:trPr>
        <w:tc>
          <w:tcPr>
            <w:tcW w:w="1300" w:type="dxa"/>
            <w:tcBorders>
              <w:top w:val="nil"/>
              <w:left w:val="nil"/>
              <w:bottom w:val="nil"/>
              <w:right w:val="nil"/>
            </w:tcBorders>
            <w:shd w:val="clear" w:color="auto" w:fill="auto"/>
            <w:noWrap/>
            <w:vAlign w:val="bottom"/>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FOSL1-62F</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5'-ATCCACCCAACCCTATCTCC-3'</w:t>
            </w:r>
          </w:p>
        </w:tc>
      </w:tr>
      <w:tr w:rsidR="007F5AD0" w:rsidRPr="007F5AD0" w:rsidTr="00F668BF">
        <w:trPr>
          <w:gridAfter w:val="1"/>
          <w:wAfter w:w="2458" w:type="dxa"/>
          <w:trHeight w:val="300"/>
        </w:trPr>
        <w:tc>
          <w:tcPr>
            <w:tcW w:w="1300" w:type="dxa"/>
            <w:tcBorders>
              <w:top w:val="nil"/>
              <w:left w:val="nil"/>
              <w:bottom w:val="nil"/>
              <w:right w:val="nil"/>
            </w:tcBorders>
            <w:shd w:val="clear" w:color="auto" w:fill="auto"/>
            <w:noWrap/>
            <w:vAlign w:val="bottom"/>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FOSL1-62R</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5'-CAGAATGGCCTGGTCCAA-3'</w:t>
            </w:r>
          </w:p>
        </w:tc>
      </w:tr>
      <w:tr w:rsidR="007F5AD0" w:rsidRPr="007F5AD0" w:rsidTr="00F668BF">
        <w:trPr>
          <w:gridAfter w:val="1"/>
          <w:wAfter w:w="2458" w:type="dxa"/>
          <w:trHeight w:val="300"/>
        </w:trPr>
        <w:tc>
          <w:tcPr>
            <w:tcW w:w="1300" w:type="dxa"/>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c-FOS-F</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5'-CTACCACTCACCCGCAGACT-3'</w:t>
            </w:r>
          </w:p>
        </w:tc>
      </w:tr>
      <w:tr w:rsidR="004D25BD" w:rsidRPr="007F5AD0" w:rsidTr="00F668BF">
        <w:trPr>
          <w:gridAfter w:val="1"/>
          <w:wAfter w:w="2458" w:type="dxa"/>
          <w:trHeight w:val="300"/>
        </w:trPr>
        <w:tc>
          <w:tcPr>
            <w:tcW w:w="1300" w:type="dxa"/>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0"/>
                <w:szCs w:val="20"/>
              </w:rPr>
            </w:pPr>
            <w:r w:rsidRPr="007F5AD0">
              <w:rPr>
                <w:rFonts w:ascii="Arial" w:eastAsia="Times New Roman" w:hAnsi="Arial" w:cs="Arial"/>
                <w:kern w:val="0"/>
                <w:sz w:val="20"/>
                <w:szCs w:val="20"/>
              </w:rPr>
              <w:t>c-FOS-R</w:t>
            </w:r>
          </w:p>
        </w:tc>
        <w:tc>
          <w:tcPr>
            <w:tcW w:w="3684" w:type="dxa"/>
            <w:gridSpan w:val="2"/>
            <w:tcBorders>
              <w:top w:val="nil"/>
              <w:left w:val="nil"/>
              <w:bottom w:val="nil"/>
              <w:right w:val="nil"/>
            </w:tcBorders>
            <w:shd w:val="clear" w:color="auto" w:fill="auto"/>
            <w:noWrap/>
            <w:vAlign w:val="center"/>
            <w:hideMark/>
          </w:tcPr>
          <w:p w:rsidR="004D25BD" w:rsidRPr="007F5AD0" w:rsidRDefault="004D25BD" w:rsidP="004D25BD">
            <w:pPr>
              <w:widowControl/>
              <w:spacing w:line="480" w:lineRule="auto"/>
              <w:jc w:val="left"/>
              <w:rPr>
                <w:rFonts w:ascii="Arial" w:eastAsia="Times New Roman" w:hAnsi="Arial" w:cs="Arial"/>
                <w:kern w:val="0"/>
                <w:sz w:val="22"/>
                <w:szCs w:val="22"/>
              </w:rPr>
            </w:pPr>
            <w:r w:rsidRPr="007F5AD0">
              <w:rPr>
                <w:rFonts w:ascii="Arial" w:eastAsia="Times New Roman" w:hAnsi="Arial" w:cs="Arial"/>
                <w:kern w:val="0"/>
                <w:sz w:val="22"/>
                <w:szCs w:val="22"/>
              </w:rPr>
              <w:t>5'-AGGTCCGTGCAGAAGTCCT-3'</w:t>
            </w:r>
          </w:p>
        </w:tc>
      </w:tr>
    </w:tbl>
    <w:p w:rsidR="00C83E96" w:rsidRPr="007F5AD0" w:rsidRDefault="00C83E96" w:rsidP="001F15C6">
      <w:pPr>
        <w:autoSpaceDE w:val="0"/>
        <w:autoSpaceDN w:val="0"/>
        <w:adjustRightInd w:val="0"/>
        <w:spacing w:line="480" w:lineRule="auto"/>
        <w:jc w:val="left"/>
        <w:rPr>
          <w:rFonts w:ascii="Arial" w:hAnsi="Arial" w:cs="Arial"/>
          <w:sz w:val="22"/>
          <w:szCs w:val="22"/>
        </w:rPr>
      </w:pPr>
    </w:p>
    <w:p w:rsidR="006D2F2E" w:rsidRPr="007F5AD0" w:rsidRDefault="006D2F2E" w:rsidP="001F15C6">
      <w:pPr>
        <w:tabs>
          <w:tab w:val="left" w:pos="3045"/>
        </w:tabs>
        <w:spacing w:line="480" w:lineRule="auto"/>
        <w:jc w:val="left"/>
        <w:rPr>
          <w:rFonts w:ascii="Arial" w:hAnsi="Arial" w:cs="Arial"/>
          <w:b/>
          <w:sz w:val="22"/>
          <w:szCs w:val="22"/>
        </w:rPr>
      </w:pPr>
      <w:r w:rsidRPr="007F5AD0">
        <w:rPr>
          <w:rFonts w:ascii="Arial" w:hAnsi="Arial" w:cs="Arial"/>
          <w:b/>
          <w:sz w:val="22"/>
          <w:szCs w:val="22"/>
        </w:rPr>
        <w:t>FACS Analysis</w:t>
      </w:r>
    </w:p>
    <w:p w:rsidR="006D2F2E" w:rsidRPr="007F5AD0" w:rsidRDefault="006D2F2E" w:rsidP="001F15C6">
      <w:pPr>
        <w:tabs>
          <w:tab w:val="left" w:pos="3045"/>
        </w:tabs>
        <w:spacing w:line="480" w:lineRule="auto"/>
        <w:jc w:val="left"/>
        <w:rPr>
          <w:rFonts w:ascii="Arial" w:hAnsi="Arial" w:cs="Arial"/>
          <w:sz w:val="22"/>
          <w:szCs w:val="22"/>
        </w:rPr>
      </w:pPr>
      <w:r w:rsidRPr="007F5AD0">
        <w:rPr>
          <w:rFonts w:ascii="Arial" w:hAnsi="Arial" w:cs="Arial"/>
          <w:sz w:val="22"/>
          <w:szCs w:val="22"/>
        </w:rPr>
        <w:t xml:space="preserve">Cells were trypsinized, washed with ice-cold FACS buffer (PBS containing 2% FBS, 1% </w:t>
      </w:r>
      <w:r w:rsidRPr="007F5AD0">
        <w:rPr>
          <w:rFonts w:ascii="Arial" w:hAnsi="Arial" w:cs="Arial"/>
          <w:sz w:val="22"/>
          <w:szCs w:val="22"/>
        </w:rPr>
        <w:lastRenderedPageBreak/>
        <w:t>Pen/Strep, and 5 mM EDTA pH8.0), and then incubated with APC-conjugated anti-CD44 (clone G44-26) and PE-conjugated anti-CD24 (clone ML5) (BD Pharmingen) in the dark at 4°C for 30 min. After washing, cells were resuspended in FACS buffer containing 75 ng/ml DAPI and analyzed on a BD FACSAria II Flow Cytometer (BD Bioscience).</w:t>
      </w:r>
    </w:p>
    <w:p w:rsidR="006D2F2E" w:rsidRPr="007F5AD0" w:rsidRDefault="006D2F2E" w:rsidP="001F15C6">
      <w:pPr>
        <w:spacing w:line="480" w:lineRule="auto"/>
        <w:ind w:left="720" w:hanging="720"/>
        <w:jc w:val="left"/>
        <w:rPr>
          <w:rFonts w:ascii="Arial" w:hAnsi="Arial" w:cs="Arial"/>
          <w:b/>
          <w:sz w:val="22"/>
          <w:szCs w:val="22"/>
        </w:rPr>
      </w:pPr>
    </w:p>
    <w:p w:rsidR="006D2F2E" w:rsidRPr="007F5AD0" w:rsidRDefault="006D2F2E" w:rsidP="001F15C6">
      <w:pPr>
        <w:spacing w:line="480" w:lineRule="auto"/>
        <w:ind w:left="720" w:hanging="720"/>
        <w:jc w:val="left"/>
        <w:rPr>
          <w:rFonts w:ascii="Arial" w:hAnsi="Arial" w:cs="Arial"/>
          <w:b/>
          <w:sz w:val="22"/>
          <w:szCs w:val="22"/>
        </w:rPr>
      </w:pPr>
      <w:r w:rsidRPr="007F5AD0">
        <w:rPr>
          <w:rFonts w:ascii="Arial" w:hAnsi="Arial" w:cs="Arial"/>
          <w:b/>
          <w:sz w:val="22"/>
          <w:szCs w:val="22"/>
        </w:rPr>
        <w:t>Mammoshpere</w:t>
      </w:r>
      <w:r w:rsidRPr="007F5AD0">
        <w:rPr>
          <w:rFonts w:ascii="Arial" w:hAnsi="Arial" w:cs="Arial" w:hint="eastAsia"/>
          <w:b/>
          <w:sz w:val="22"/>
          <w:szCs w:val="22"/>
        </w:rPr>
        <w:t xml:space="preserve"> </w:t>
      </w:r>
      <w:r w:rsidRPr="007F5AD0">
        <w:rPr>
          <w:rFonts w:ascii="Arial" w:hAnsi="Arial" w:cs="Arial"/>
          <w:b/>
          <w:sz w:val="22"/>
          <w:szCs w:val="22"/>
        </w:rPr>
        <w:t>assay</w:t>
      </w:r>
    </w:p>
    <w:p w:rsidR="0070603A" w:rsidRPr="007F5AD0" w:rsidRDefault="0070603A" w:rsidP="001F15C6">
      <w:pPr>
        <w:spacing w:line="480" w:lineRule="auto"/>
        <w:jc w:val="left"/>
        <w:rPr>
          <w:rFonts w:ascii="Arial" w:hAnsi="Arial" w:cs="Arial"/>
          <w:sz w:val="22"/>
          <w:szCs w:val="22"/>
        </w:rPr>
      </w:pPr>
      <w:r w:rsidRPr="007F5AD0">
        <w:rPr>
          <w:rFonts w:ascii="Arial" w:hAnsi="Arial" w:cs="Arial"/>
          <w:sz w:val="22"/>
          <w:szCs w:val="22"/>
        </w:rPr>
        <w:t>HMLE cells carrying empty vector or expressing ZAK were seeded at 5 × 10</w:t>
      </w:r>
      <w:r w:rsidRPr="007F5AD0">
        <w:rPr>
          <w:rFonts w:ascii="Arial" w:hAnsi="Arial" w:cs="Arial"/>
          <w:b/>
          <w:sz w:val="22"/>
          <w:szCs w:val="22"/>
          <w:vertAlign w:val="superscript"/>
        </w:rPr>
        <w:t>3</w:t>
      </w:r>
      <w:r w:rsidRPr="007F5AD0">
        <w:rPr>
          <w:rFonts w:ascii="Arial" w:hAnsi="Arial" w:cs="Arial"/>
          <w:sz w:val="22"/>
          <w:szCs w:val="22"/>
        </w:rPr>
        <w:t xml:space="preserve"> cells per well of a 24-well Ultra Low Plate (Corning) and grown for 14 days in DMEM/F12 (1:1) medium (Mediatech) supplemented with 20 ng/ml EGF, 20 ng/ml FGF (Cell Signaling Technology), 4 µg/ml heparin (Sigma), 2% Serum-Free Supplement B27 (Invitrogen) and 1% methylcellulose. Wells were fed every 3 days with 0.5 ml media for 2 weeks. Then the mammospheres with diameter &gt;75 μm were counted at indicated time.</w:t>
      </w:r>
    </w:p>
    <w:p w:rsidR="0070603A" w:rsidRPr="007F5AD0" w:rsidRDefault="0070603A" w:rsidP="001F15C6">
      <w:pPr>
        <w:spacing w:line="480" w:lineRule="auto"/>
        <w:jc w:val="left"/>
        <w:rPr>
          <w:rFonts w:ascii="Arial" w:hAnsi="Arial" w:cs="Arial"/>
          <w:sz w:val="22"/>
          <w:szCs w:val="22"/>
        </w:rPr>
      </w:pPr>
    </w:p>
    <w:p w:rsidR="006D2F2E" w:rsidRPr="007F5AD0" w:rsidRDefault="006D2F2E" w:rsidP="001F15C6">
      <w:pPr>
        <w:spacing w:line="480" w:lineRule="auto"/>
        <w:jc w:val="left"/>
        <w:rPr>
          <w:rFonts w:ascii="Arial" w:hAnsi="Arial" w:cs="Arial"/>
          <w:sz w:val="22"/>
          <w:szCs w:val="22"/>
        </w:rPr>
      </w:pPr>
      <w:r w:rsidRPr="007F5AD0">
        <w:rPr>
          <w:rFonts w:ascii="Arial" w:hAnsi="Arial" w:cs="Arial" w:hint="eastAsia"/>
          <w:b/>
          <w:sz w:val="22"/>
          <w:szCs w:val="22"/>
        </w:rPr>
        <w:t>M</w:t>
      </w:r>
      <w:r w:rsidRPr="007F5AD0">
        <w:rPr>
          <w:rFonts w:ascii="Arial" w:hAnsi="Arial" w:cs="Arial"/>
          <w:b/>
          <w:sz w:val="22"/>
          <w:szCs w:val="22"/>
        </w:rPr>
        <w:t>ultilineage differentiation assay</w:t>
      </w:r>
    </w:p>
    <w:p w:rsidR="0070603A" w:rsidRPr="007F5AD0" w:rsidRDefault="0070603A" w:rsidP="001F15C6">
      <w:pPr>
        <w:spacing w:line="480" w:lineRule="auto"/>
        <w:jc w:val="left"/>
        <w:rPr>
          <w:rFonts w:ascii="Arial" w:hAnsi="Arial" w:cs="Arial"/>
          <w:sz w:val="22"/>
          <w:szCs w:val="22"/>
        </w:rPr>
      </w:pPr>
      <w:r w:rsidRPr="007F5AD0">
        <w:rPr>
          <w:rFonts w:ascii="Arial" w:hAnsi="Arial" w:cs="Arial"/>
          <w:sz w:val="22"/>
          <w:szCs w:val="22"/>
        </w:rPr>
        <w:t>For osteoblast differentiation, 1 × 10</w:t>
      </w:r>
      <w:r w:rsidRPr="007F5AD0">
        <w:rPr>
          <w:rFonts w:ascii="Arial" w:hAnsi="Arial" w:cs="Arial"/>
          <w:sz w:val="22"/>
          <w:szCs w:val="22"/>
          <w:vertAlign w:val="superscript"/>
        </w:rPr>
        <w:t>4</w:t>
      </w:r>
      <w:r w:rsidRPr="007F5AD0">
        <w:rPr>
          <w:rFonts w:ascii="Arial" w:hAnsi="Arial" w:cs="Arial"/>
          <w:sz w:val="22"/>
          <w:szCs w:val="22"/>
        </w:rPr>
        <w:t xml:space="preserve"> cells were cultured in NH OsteoDiff Medium (MiltenyiBiotec</w:t>
      </w:r>
      <w:r w:rsidRPr="007F5AD0">
        <w:rPr>
          <w:rFonts w:ascii="Arial" w:hAnsi="Arial" w:cs="Arial" w:hint="eastAsia"/>
          <w:sz w:val="22"/>
          <w:szCs w:val="22"/>
        </w:rPr>
        <w:t>, Auburn, CA, USA</w:t>
      </w:r>
      <w:r w:rsidRPr="007F5AD0">
        <w:rPr>
          <w:rFonts w:ascii="Arial" w:hAnsi="Arial" w:cs="Arial"/>
          <w:sz w:val="22"/>
          <w:szCs w:val="22"/>
        </w:rPr>
        <w:t>) in 12-well plates for 35 days; and for adipocyte differentiation, 1 × 10</w:t>
      </w:r>
      <w:r w:rsidRPr="007F5AD0">
        <w:rPr>
          <w:rFonts w:ascii="Arial" w:hAnsi="Arial" w:cs="Arial"/>
          <w:sz w:val="22"/>
          <w:szCs w:val="22"/>
          <w:vertAlign w:val="superscript"/>
        </w:rPr>
        <w:t>5</w:t>
      </w:r>
      <w:r w:rsidRPr="007F5AD0">
        <w:rPr>
          <w:rFonts w:ascii="Arial" w:hAnsi="Arial" w:cs="Arial"/>
          <w:sz w:val="22"/>
          <w:szCs w:val="22"/>
        </w:rPr>
        <w:t xml:space="preserve"> cells were cultured in NH AdipoDiff Medium (MiltenyiBiotec) for 42 days. The medium was replaced every 3 days. After culturing, committed osteogenic cells and adipogenic cells were detected as previously described</w:t>
      </w:r>
      <w:r w:rsidR="00CD32C9" w:rsidRPr="007F5AD0">
        <w:rPr>
          <w:rFonts w:ascii="Arial" w:hAnsi="Arial" w:cs="Arial"/>
          <w:sz w:val="22"/>
          <w:szCs w:val="22"/>
        </w:rPr>
        <w:t>.</w:t>
      </w:r>
      <w:r w:rsidRPr="007F5AD0">
        <w:rPr>
          <w:rFonts w:ascii="Arial" w:hAnsi="Arial" w:cs="Arial"/>
          <w:sz w:val="22"/>
          <w:szCs w:val="22"/>
        </w:rPr>
        <w:fldChar w:fldCharType="begin"/>
      </w:r>
      <w:r w:rsidR="00D536E4" w:rsidRPr="007F5AD0">
        <w:rPr>
          <w:rFonts w:ascii="Arial" w:hAnsi="Arial" w:cs="Arial"/>
          <w:sz w:val="22"/>
          <w:szCs w:val="22"/>
        </w:rPr>
        <w:instrText xml:space="preserve"> ADDIN EN.CITE &lt;EndNote&gt;&lt;Cite&gt;&lt;Author&gt;Battula VL&lt;/Author&gt;&lt;Year&gt;2010&lt;/Year&gt;&lt;RecNum&gt;49&lt;/RecNum&gt;&lt;DisplayText&gt;&lt;style face="superscript"&gt;5, 6&lt;/style&gt;&lt;/DisplayText&gt;&lt;record&gt;&lt;rec-number&gt;49&lt;/rec-number&gt;&lt;foreign-keys&gt;&lt;key app="EN" db-id="2fpps0venta2r5e0wpfv55fcrdef0pvfxpst"&gt;49&lt;/key&gt;&lt;/foreign-keys&gt;&lt;ref-type name="Journal Article"&gt;17&lt;/ref-type&gt;&lt;contributors&gt;&lt;authors&gt;&lt;author&gt;Battula VL, &lt;/author&gt;&lt;author&gt;Evans KW, &lt;/author&gt;&lt;author&gt;Hollier BG, &lt;/author&gt;&lt;author&gt;Shi Y, &lt;/author&gt;&lt;author&gt;Marini FC, &lt;/author&gt;&lt;author&gt;Ayyanan A, &lt;/author&gt;&lt;author&gt;Wang RY, &lt;/author&gt;&lt;author&gt;Brisken C, &lt;/author&gt;&lt;author&gt;Guerra R, &lt;/author&gt;&lt;author&gt;Andreeff M, &lt;/author&gt;&lt;author&gt;Mani SA.&lt;/author&gt;&lt;/authors&gt;&lt;/contributors&gt;&lt;titles&gt;&lt;title&gt;Epithelial-mesenchymal transition-derived cells exhibit multilineage differentiation potential similar to mesenchymal stem cells.&lt;/title&gt;&lt;secondary-title&gt;Stem Cells&lt;/secondary-title&gt;&lt;/titles&gt;&lt;pages&gt;1435-45&lt;/pages&gt;&lt;volume&gt;28&lt;/volume&gt;&lt;number&gt;8&lt;/number&gt;&lt;dates&gt;&lt;year&gt;2010&lt;/year&gt;&lt;/dates&gt;&lt;urls&gt;&lt;/urls&gt;&lt;/record&gt;&lt;/Cite&gt;&lt;Cite&gt;&lt;Author&gt;Koch TG&lt;/Author&gt;&lt;Year&gt;2007&lt;/Year&gt;&lt;RecNum&gt;50&lt;/RecNum&gt;&lt;record&gt;&lt;rec-number&gt;50&lt;/rec-number&gt;&lt;foreign-keys&gt;&lt;key app="EN" db-id="2fpps0venta2r5e0wpfv55fcrdef0pvfxpst"&gt;50&lt;/key&gt;&lt;/foreign-keys&gt;&lt;ref-type name="Journal Article"&gt;17&lt;/ref-type&gt;&lt;contributors&gt;&lt;authors&gt;&lt;author&gt;Koch TG, &lt;/author&gt;&lt;author&gt;Heerkens T, &lt;/author&gt;&lt;author&gt;Thomsen PD, &lt;/author&gt;&lt;author&gt;Betts DH,&lt;/author&gt;&lt;/authors&gt;&lt;/contributors&gt;&lt;titles&gt;&lt;title&gt;Isolation of mesenchymal stem cells from equine umbilical cord blood.&lt;/title&gt;&lt;secondary-title&gt;BMC Biotechnol&lt;/secondary-title&gt;&lt;/titles&gt;&lt;pages&gt;1-9&lt;/pages&gt;&lt;volume&gt;7&lt;/volume&gt;&lt;number&gt;26&lt;/number&gt;&lt;dates&gt;&lt;year&gt;2007&lt;/year&gt;&lt;/dates&gt;&lt;urls&gt;&lt;/urls&gt;&lt;/record&gt;&lt;/Cite&gt;&lt;/EndNote&gt;</w:instrText>
      </w:r>
      <w:r w:rsidRPr="007F5AD0">
        <w:rPr>
          <w:rFonts w:ascii="Arial" w:hAnsi="Arial" w:cs="Arial"/>
          <w:sz w:val="22"/>
          <w:szCs w:val="22"/>
        </w:rPr>
        <w:fldChar w:fldCharType="separate"/>
      </w:r>
      <w:hyperlink w:anchor="_ENREF_5" w:tooltip="Battula VL, 2010 #49" w:history="1">
        <w:r w:rsidR="00D536E4" w:rsidRPr="007F5AD0">
          <w:rPr>
            <w:rFonts w:ascii="Arial" w:hAnsi="Arial" w:cs="Arial"/>
            <w:noProof/>
            <w:sz w:val="22"/>
            <w:szCs w:val="22"/>
            <w:vertAlign w:val="superscript"/>
          </w:rPr>
          <w:t>5</w:t>
        </w:r>
      </w:hyperlink>
      <w:r w:rsidR="00D536E4" w:rsidRPr="007F5AD0">
        <w:rPr>
          <w:rFonts w:ascii="Arial" w:hAnsi="Arial" w:cs="Arial"/>
          <w:noProof/>
          <w:sz w:val="22"/>
          <w:szCs w:val="22"/>
          <w:vertAlign w:val="superscript"/>
        </w:rPr>
        <w:t xml:space="preserve">, </w:t>
      </w:r>
      <w:hyperlink w:anchor="_ENREF_6" w:tooltip="Koch TG, 2007 #50" w:history="1">
        <w:r w:rsidR="00D536E4" w:rsidRPr="007F5AD0">
          <w:rPr>
            <w:rFonts w:ascii="Arial" w:hAnsi="Arial" w:cs="Arial"/>
            <w:noProof/>
            <w:sz w:val="22"/>
            <w:szCs w:val="22"/>
            <w:vertAlign w:val="superscript"/>
          </w:rPr>
          <w:t>6</w:t>
        </w:r>
      </w:hyperlink>
      <w:r w:rsidRPr="007F5AD0">
        <w:rPr>
          <w:rFonts w:ascii="Arial" w:hAnsi="Arial" w:cs="Arial"/>
          <w:sz w:val="22"/>
          <w:szCs w:val="22"/>
        </w:rPr>
        <w:fldChar w:fldCharType="end"/>
      </w:r>
      <w:r w:rsidRPr="007F5AD0">
        <w:rPr>
          <w:rFonts w:ascii="Arial" w:hAnsi="Arial" w:cs="Arial"/>
          <w:sz w:val="22"/>
          <w:szCs w:val="22"/>
        </w:rPr>
        <w:t xml:space="preserve"> Briefly, to test osteoblastic differentiation, cells were incubated with FAST BCIP/NBT  (Sigma-Aldrich) to determine alkaline phosphatase (AP) activity, or analyzed by </w:t>
      </w:r>
      <w:r w:rsidRPr="007F5AD0">
        <w:rPr>
          <w:rFonts w:ascii="Arial" w:hAnsi="Arial" w:cs="Arial"/>
          <w:sz w:val="22"/>
          <w:szCs w:val="22"/>
        </w:rPr>
        <w:lastRenderedPageBreak/>
        <w:t>alizarin red S (Sigma-Aldrich) staining and silver nitrate (Von-Kossa) staining to determine calcium deposition and mineral deposition. As to adipocyte differentiation, oil red O dye (Sigma-Aldrich) staining was used to detect oil droplets formation.</w:t>
      </w:r>
    </w:p>
    <w:p w:rsidR="0070603A" w:rsidRPr="007F5AD0" w:rsidRDefault="0070603A" w:rsidP="001F15C6">
      <w:pPr>
        <w:autoSpaceDE w:val="0"/>
        <w:autoSpaceDN w:val="0"/>
        <w:adjustRightInd w:val="0"/>
        <w:spacing w:line="480" w:lineRule="auto"/>
        <w:jc w:val="left"/>
        <w:rPr>
          <w:rFonts w:ascii="Arial" w:hAnsi="Arial" w:cs="Arial"/>
          <w:sz w:val="22"/>
          <w:szCs w:val="22"/>
        </w:rPr>
      </w:pPr>
    </w:p>
    <w:p w:rsidR="00F75940" w:rsidRPr="007F5AD0" w:rsidRDefault="00F75940" w:rsidP="001F15C6">
      <w:pPr>
        <w:spacing w:line="480" w:lineRule="auto"/>
        <w:ind w:left="720" w:hanging="720"/>
        <w:jc w:val="left"/>
        <w:rPr>
          <w:rFonts w:ascii="Arial" w:hAnsi="Arial" w:cs="Arial"/>
          <w:b/>
          <w:sz w:val="22"/>
          <w:szCs w:val="22"/>
        </w:rPr>
      </w:pPr>
      <w:r w:rsidRPr="007F5AD0">
        <w:rPr>
          <w:rFonts w:ascii="Arial" w:hAnsi="Arial" w:cs="Arial"/>
          <w:b/>
          <w:sz w:val="22"/>
          <w:szCs w:val="22"/>
        </w:rPr>
        <w:t>Promoter reporter luciferase assay</w:t>
      </w:r>
    </w:p>
    <w:p w:rsidR="00F75940" w:rsidRPr="007F5AD0" w:rsidRDefault="00F75940" w:rsidP="001F15C6">
      <w:pPr>
        <w:spacing w:line="480" w:lineRule="auto"/>
        <w:jc w:val="left"/>
        <w:rPr>
          <w:rFonts w:ascii="Arial" w:hAnsi="Arial" w:cs="Arial"/>
          <w:sz w:val="22"/>
          <w:szCs w:val="22"/>
        </w:rPr>
      </w:pPr>
      <w:r w:rsidRPr="007F5AD0">
        <w:rPr>
          <w:rFonts w:ascii="Arial" w:hAnsi="Arial" w:cs="Arial"/>
          <w:sz w:val="22"/>
          <w:szCs w:val="22"/>
        </w:rPr>
        <w:t xml:space="preserve">Cells were transiently co-transfected with firefly luciferase reporter vectors and pJP1563-ZAK </w:t>
      </w:r>
      <w:r w:rsidRPr="007F5AD0">
        <w:rPr>
          <w:rFonts w:ascii="Arial" w:hAnsi="Arial" w:cs="Arial"/>
          <w:bCs/>
          <w:sz w:val="22"/>
          <w:szCs w:val="22"/>
        </w:rPr>
        <w:t>or vector control</w:t>
      </w:r>
      <w:r w:rsidRPr="007F5AD0">
        <w:rPr>
          <w:rFonts w:ascii="Arial" w:hAnsi="Arial" w:cs="Arial"/>
          <w:sz w:val="22"/>
          <w:szCs w:val="22"/>
        </w:rPr>
        <w:t xml:space="preserve"> using TransIT-LT1 Transfection Reagent (MirusBio</w:t>
      </w:r>
      <w:r w:rsidRPr="007F5AD0">
        <w:rPr>
          <w:rFonts w:ascii="Arial" w:hAnsi="Arial" w:cs="Arial" w:hint="eastAsia"/>
          <w:sz w:val="22"/>
          <w:szCs w:val="22"/>
        </w:rPr>
        <w:t>, Madison, WI, USA</w:t>
      </w:r>
      <w:r w:rsidRPr="007F5AD0">
        <w:rPr>
          <w:rFonts w:ascii="Arial" w:hAnsi="Arial" w:cs="Arial"/>
          <w:sz w:val="22"/>
          <w:szCs w:val="22"/>
        </w:rPr>
        <w:t>). As internal control for transfection efficiency, renilla luciferase construct was cotransfected with reporter vectors. After 40 h, luciferase activity was assessed with Dual-Luciferase Reporter Assay System (Promega</w:t>
      </w:r>
      <w:r w:rsidRPr="007F5AD0">
        <w:rPr>
          <w:rFonts w:ascii="Arial" w:hAnsi="Arial" w:cs="Arial" w:hint="eastAsia"/>
          <w:sz w:val="22"/>
          <w:szCs w:val="22"/>
        </w:rPr>
        <w:t>, Madison, WI, USA</w:t>
      </w:r>
      <w:r w:rsidRPr="007F5AD0">
        <w:rPr>
          <w:rFonts w:ascii="Arial" w:hAnsi="Arial" w:cs="Arial"/>
          <w:sz w:val="22"/>
          <w:szCs w:val="22"/>
        </w:rPr>
        <w:t xml:space="preserve">). </w:t>
      </w:r>
    </w:p>
    <w:p w:rsidR="00AA5AA5" w:rsidRPr="007F5AD0" w:rsidRDefault="00AA5AA5" w:rsidP="001F15C6">
      <w:pPr>
        <w:spacing w:line="480" w:lineRule="auto"/>
        <w:jc w:val="left"/>
        <w:rPr>
          <w:rFonts w:ascii="Arial" w:hAnsi="Arial" w:cs="Arial"/>
          <w:sz w:val="22"/>
          <w:szCs w:val="22"/>
        </w:rPr>
      </w:pPr>
    </w:p>
    <w:p w:rsidR="00BE7288" w:rsidRPr="007F5AD0" w:rsidRDefault="00BE7288" w:rsidP="001F15C6">
      <w:pPr>
        <w:spacing w:line="480" w:lineRule="auto"/>
        <w:jc w:val="left"/>
        <w:rPr>
          <w:rFonts w:ascii="Arial" w:hAnsi="Arial" w:cs="Arial"/>
          <w:b/>
          <w:sz w:val="22"/>
          <w:szCs w:val="22"/>
        </w:rPr>
      </w:pPr>
      <w:r w:rsidRPr="007F5AD0">
        <w:rPr>
          <w:rFonts w:ascii="Arial" w:hAnsi="Arial" w:cs="Arial"/>
          <w:b/>
          <w:sz w:val="22"/>
          <w:szCs w:val="22"/>
        </w:rPr>
        <w:t>Supplementary Figure Legends</w:t>
      </w:r>
    </w:p>
    <w:p w:rsidR="00BE7288" w:rsidRPr="007F5AD0" w:rsidRDefault="00BE7288" w:rsidP="001F15C6">
      <w:pPr>
        <w:spacing w:line="480" w:lineRule="auto"/>
        <w:jc w:val="left"/>
        <w:rPr>
          <w:rFonts w:ascii="Arial" w:hAnsi="Arial" w:cs="Arial"/>
          <w:b/>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S1</w:t>
      </w:r>
      <w:r w:rsidR="004534FC" w:rsidRPr="007F5AD0">
        <w:rPr>
          <w:rFonts w:ascii="Arial" w:hAnsi="Arial" w:cs="Arial"/>
          <w:b/>
          <w:sz w:val="22"/>
          <w:szCs w:val="22"/>
        </w:rPr>
        <w:t>.</w:t>
      </w:r>
      <w:r w:rsidRPr="007F5AD0">
        <w:rPr>
          <w:rFonts w:ascii="Arial" w:hAnsi="Arial" w:cs="Arial" w:hint="eastAsia"/>
          <w:sz w:val="22"/>
          <w:szCs w:val="22"/>
        </w:rPr>
        <w:t xml:space="preserve"> </w:t>
      </w:r>
      <w:r w:rsidRPr="007F5AD0">
        <w:rPr>
          <w:rFonts w:ascii="Arial" w:hAnsi="Arial" w:cs="Arial"/>
          <w:sz w:val="22"/>
          <w:szCs w:val="22"/>
        </w:rPr>
        <w:t>ZAK induces EMT in SU86.86 cells. (</w:t>
      </w:r>
      <w:r w:rsidRPr="007F5AD0">
        <w:rPr>
          <w:rFonts w:ascii="Arial" w:hAnsi="Arial" w:cs="Arial" w:hint="eastAsia"/>
          <w:sz w:val="22"/>
          <w:szCs w:val="22"/>
        </w:rPr>
        <w:t>a</w:t>
      </w:r>
      <w:r w:rsidRPr="007F5AD0">
        <w:rPr>
          <w:rFonts w:ascii="Arial" w:hAnsi="Arial" w:cs="Arial"/>
          <w:sz w:val="22"/>
          <w:szCs w:val="22"/>
        </w:rPr>
        <w:t>) Changes in the expression of EMT markers by ZAK overexpression in SU86.86 cells. Top, Western blot analysis (top) and RT-PCR analysis (bottom) of EMT markers expression. Shown on Y-axis is log10 fold change of mRNA level induced by ZAK vs vector control. Error bars denote S</w:t>
      </w:r>
      <w:r w:rsidRPr="007F5AD0">
        <w:rPr>
          <w:rFonts w:ascii="Arial" w:hAnsi="Arial" w:cs="Arial" w:hint="eastAsia"/>
          <w:sz w:val="22"/>
          <w:szCs w:val="22"/>
        </w:rPr>
        <w:t>.</w:t>
      </w:r>
      <w:r w:rsidRPr="007F5AD0">
        <w:rPr>
          <w:rFonts w:ascii="Arial" w:hAnsi="Arial" w:cs="Arial"/>
          <w:sz w:val="22"/>
          <w:szCs w:val="22"/>
        </w:rPr>
        <w:t>D</w:t>
      </w:r>
      <w:r w:rsidRPr="007F5AD0">
        <w:rPr>
          <w:rFonts w:ascii="Arial" w:hAnsi="Arial" w:cs="Arial" w:hint="eastAsia"/>
          <w:sz w:val="22"/>
          <w:szCs w:val="22"/>
        </w:rPr>
        <w:t>.</w:t>
      </w:r>
      <w:r w:rsidRPr="007F5AD0">
        <w:rPr>
          <w:rFonts w:ascii="Arial" w:hAnsi="Arial" w:cs="Arial"/>
          <w:sz w:val="22"/>
          <w:szCs w:val="22"/>
        </w:rPr>
        <w:t xml:space="preserve"> from triplicate. (</w:t>
      </w:r>
      <w:r w:rsidRPr="007F5AD0">
        <w:rPr>
          <w:rFonts w:ascii="Arial" w:hAnsi="Arial" w:cs="Arial" w:hint="eastAsia"/>
          <w:sz w:val="22"/>
          <w:szCs w:val="22"/>
        </w:rPr>
        <w:t>b</w:t>
      </w:r>
      <w:r w:rsidRPr="007F5AD0">
        <w:rPr>
          <w:rFonts w:ascii="Arial" w:hAnsi="Arial" w:cs="Arial"/>
          <w:sz w:val="22"/>
          <w:szCs w:val="22"/>
        </w:rPr>
        <w:t xml:space="preserve">) </w:t>
      </w:r>
      <w:r w:rsidRPr="007F5AD0">
        <w:rPr>
          <w:rFonts w:ascii="Arial" w:hAnsi="Arial" w:cs="Arial"/>
          <w:bCs/>
          <w:sz w:val="22"/>
          <w:szCs w:val="22"/>
        </w:rPr>
        <w:t xml:space="preserve">ZAK induced migration in </w:t>
      </w:r>
      <w:r w:rsidRPr="007F5AD0">
        <w:rPr>
          <w:rFonts w:ascii="Arial" w:hAnsi="Arial" w:cs="Arial"/>
          <w:sz w:val="22"/>
          <w:szCs w:val="22"/>
        </w:rPr>
        <w:t>SU86.86 cells</w:t>
      </w:r>
      <w:r w:rsidRPr="007F5AD0">
        <w:rPr>
          <w:rFonts w:ascii="Arial" w:hAnsi="Arial" w:cs="Arial"/>
          <w:bCs/>
          <w:sz w:val="22"/>
          <w:szCs w:val="22"/>
        </w:rPr>
        <w:t xml:space="preserve"> determined by Boyden chamber assay, showing representative photos (top) and quantification (bottom) of migration. </w:t>
      </w:r>
      <w:r w:rsidRPr="007F5AD0">
        <w:rPr>
          <w:rFonts w:ascii="Arial" w:hAnsi="Arial" w:cs="Arial" w:hint="eastAsia"/>
          <w:bCs/>
          <w:sz w:val="22"/>
          <w:szCs w:val="22"/>
        </w:rPr>
        <w:t xml:space="preserve">Data are represented as mean </w:t>
      </w:r>
      <w:r w:rsidRPr="007F5AD0">
        <w:rPr>
          <w:rFonts w:ascii="Arial" w:hAnsi="Arial" w:cs="Arial"/>
          <w:bCs/>
          <w:sz w:val="22"/>
          <w:szCs w:val="22"/>
        </w:rPr>
        <w:t>±</w:t>
      </w:r>
      <w:r w:rsidRPr="007F5AD0">
        <w:rPr>
          <w:rFonts w:ascii="Arial" w:hAnsi="Arial" w:cs="Arial" w:hint="eastAsia"/>
          <w:bCs/>
          <w:sz w:val="22"/>
          <w:szCs w:val="22"/>
        </w:rPr>
        <w:t xml:space="preserve"> S.D. of triplicate experiments. </w:t>
      </w:r>
      <w:r w:rsidRPr="007F5AD0">
        <w:rPr>
          <w:rFonts w:ascii="Arial" w:hAnsi="Arial" w:cs="Arial"/>
          <w:bCs/>
          <w:sz w:val="22"/>
          <w:szCs w:val="22"/>
        </w:rPr>
        <w:t>***</w:t>
      </w:r>
      <w:r w:rsidRPr="007F5AD0">
        <w:rPr>
          <w:rFonts w:ascii="Arial" w:hAnsi="Arial" w:cs="Arial"/>
          <w:bCs/>
          <w:i/>
          <w:sz w:val="22"/>
          <w:szCs w:val="22"/>
        </w:rPr>
        <w:t xml:space="preserve">P </w:t>
      </w:r>
      <w:r w:rsidRPr="007F5AD0">
        <w:rPr>
          <w:rFonts w:ascii="Arial" w:hAnsi="Arial" w:cs="Arial"/>
          <w:bCs/>
          <w:sz w:val="22"/>
          <w:szCs w:val="22"/>
        </w:rPr>
        <w:t>&lt; 0.001 (Student’s</w:t>
      </w:r>
      <w:r w:rsidRPr="007F5AD0">
        <w:rPr>
          <w:rFonts w:ascii="Arial" w:hAnsi="Arial" w:cs="Arial"/>
          <w:bCs/>
          <w:i/>
          <w:sz w:val="22"/>
          <w:szCs w:val="22"/>
        </w:rPr>
        <w:t xml:space="preserve"> t</w:t>
      </w:r>
      <w:r w:rsidRPr="007F5AD0">
        <w:rPr>
          <w:rFonts w:ascii="Arial" w:hAnsi="Arial" w:cs="Arial"/>
          <w:bCs/>
          <w:sz w:val="22"/>
          <w:szCs w:val="22"/>
        </w:rPr>
        <w:t>-test). (</w:t>
      </w:r>
      <w:r w:rsidRPr="007F5AD0">
        <w:rPr>
          <w:rFonts w:ascii="Arial" w:hAnsi="Arial" w:cs="Arial" w:hint="eastAsia"/>
          <w:bCs/>
          <w:sz w:val="22"/>
          <w:szCs w:val="22"/>
        </w:rPr>
        <w:t>c</w:t>
      </w:r>
      <w:r w:rsidRPr="007F5AD0">
        <w:rPr>
          <w:rFonts w:ascii="Arial" w:hAnsi="Arial" w:cs="Arial"/>
          <w:bCs/>
          <w:sz w:val="22"/>
          <w:szCs w:val="22"/>
        </w:rPr>
        <w:t xml:space="preserve">) Proliferation curves of </w:t>
      </w:r>
      <w:r w:rsidRPr="007F5AD0">
        <w:rPr>
          <w:rFonts w:ascii="Arial" w:hAnsi="Arial" w:cs="Arial"/>
          <w:sz w:val="22"/>
          <w:szCs w:val="22"/>
        </w:rPr>
        <w:t>SU86.86 cells</w:t>
      </w:r>
      <w:r w:rsidRPr="007F5AD0">
        <w:rPr>
          <w:rFonts w:ascii="Arial" w:hAnsi="Arial" w:cs="Arial"/>
          <w:bCs/>
          <w:sz w:val="22"/>
          <w:szCs w:val="22"/>
        </w:rPr>
        <w:t xml:space="preserve"> expressing ZAK or empty vector (EV) grown in regular medium or nutrition reduced </w:t>
      </w:r>
      <w:r w:rsidRPr="007F5AD0">
        <w:rPr>
          <w:rFonts w:ascii="Arial" w:hAnsi="Arial" w:cs="Arial"/>
          <w:bCs/>
          <w:sz w:val="22"/>
          <w:szCs w:val="22"/>
        </w:rPr>
        <w:lastRenderedPageBreak/>
        <w:t>medium. The number of viable cells was measured by AlamarBlue assay at different time points and data are expressed as viable cell number as fold changes from that at Day 1. Mean values ± S</w:t>
      </w:r>
      <w:r w:rsidRPr="007F5AD0">
        <w:rPr>
          <w:rFonts w:ascii="Arial" w:hAnsi="Arial" w:cs="Arial" w:hint="eastAsia"/>
          <w:bCs/>
          <w:sz w:val="22"/>
          <w:szCs w:val="22"/>
        </w:rPr>
        <w:t>.</w:t>
      </w:r>
      <w:r w:rsidRPr="007F5AD0">
        <w:rPr>
          <w:rFonts w:ascii="Arial" w:hAnsi="Arial" w:cs="Arial"/>
          <w:bCs/>
          <w:sz w:val="22"/>
          <w:szCs w:val="22"/>
        </w:rPr>
        <w:t>D</w:t>
      </w:r>
      <w:r w:rsidRPr="007F5AD0">
        <w:rPr>
          <w:rFonts w:ascii="Arial" w:hAnsi="Arial" w:cs="Arial" w:hint="eastAsia"/>
          <w:bCs/>
          <w:sz w:val="22"/>
          <w:szCs w:val="22"/>
        </w:rPr>
        <w:t>.</w:t>
      </w:r>
      <w:r w:rsidRPr="007F5AD0">
        <w:rPr>
          <w:rFonts w:ascii="Arial" w:hAnsi="Arial" w:cs="Arial"/>
          <w:bCs/>
          <w:sz w:val="22"/>
          <w:szCs w:val="22"/>
        </w:rPr>
        <w:t xml:space="preserve"> from three independent experiments are shown. *</w:t>
      </w:r>
      <w:r w:rsidRPr="007F5AD0">
        <w:rPr>
          <w:rFonts w:ascii="Arial" w:hAnsi="Arial" w:cs="Arial"/>
          <w:bCs/>
          <w:i/>
          <w:sz w:val="22"/>
          <w:szCs w:val="22"/>
        </w:rPr>
        <w:t>P</w:t>
      </w:r>
      <w:r w:rsidRPr="007F5AD0">
        <w:rPr>
          <w:rFonts w:ascii="Arial" w:hAnsi="Arial" w:cs="Arial"/>
          <w:bCs/>
          <w:sz w:val="22"/>
          <w:szCs w:val="22"/>
        </w:rPr>
        <w:t xml:space="preserve"> &lt; 0.05 and ***</w:t>
      </w:r>
      <w:r w:rsidRPr="007F5AD0">
        <w:rPr>
          <w:rFonts w:ascii="Arial" w:hAnsi="Arial" w:cs="Arial"/>
          <w:bCs/>
          <w:i/>
          <w:sz w:val="22"/>
          <w:szCs w:val="22"/>
        </w:rPr>
        <w:t>P</w:t>
      </w:r>
      <w:r w:rsidRPr="007F5AD0">
        <w:rPr>
          <w:rFonts w:ascii="Arial" w:hAnsi="Arial" w:cs="Arial"/>
          <w:bCs/>
          <w:sz w:val="22"/>
          <w:szCs w:val="22"/>
        </w:rPr>
        <w:t xml:space="preserve"> &lt; 0.001 (Two-way ANOVA followed by Bonferroni post-tests). (</w:t>
      </w:r>
      <w:r w:rsidRPr="007F5AD0">
        <w:rPr>
          <w:rFonts w:ascii="Arial" w:hAnsi="Arial" w:cs="Arial" w:hint="eastAsia"/>
          <w:bCs/>
          <w:sz w:val="22"/>
          <w:szCs w:val="22"/>
        </w:rPr>
        <w:t>d</w:t>
      </w:r>
      <w:r w:rsidRPr="007F5AD0">
        <w:rPr>
          <w:rFonts w:ascii="Arial" w:hAnsi="Arial" w:cs="Arial"/>
          <w:bCs/>
          <w:sz w:val="22"/>
          <w:szCs w:val="22"/>
        </w:rPr>
        <w:t>) Dose-response curves of the above cell lines treated with chemotherapeutic drug. IC50 values were obtained by using logistic nonlinear regression analyzing model of MicroCal Origin 8.5 software. Error bars denote SD from two independent experiments, each done in quadruplicate. **</w:t>
      </w:r>
      <w:r w:rsidRPr="007F5AD0">
        <w:rPr>
          <w:rFonts w:ascii="Arial" w:hAnsi="Arial" w:cs="Arial"/>
          <w:bCs/>
          <w:i/>
          <w:sz w:val="22"/>
          <w:szCs w:val="22"/>
        </w:rPr>
        <w:t xml:space="preserve">P </w:t>
      </w:r>
      <w:r w:rsidRPr="007F5AD0">
        <w:rPr>
          <w:rFonts w:ascii="Arial" w:hAnsi="Arial" w:cs="Arial"/>
          <w:bCs/>
          <w:sz w:val="22"/>
          <w:szCs w:val="22"/>
        </w:rPr>
        <w:t>&lt; 0.01 (Student’s</w:t>
      </w:r>
      <w:r w:rsidRPr="007F5AD0">
        <w:rPr>
          <w:rFonts w:ascii="Arial" w:hAnsi="Arial" w:cs="Arial"/>
          <w:bCs/>
          <w:i/>
          <w:sz w:val="22"/>
          <w:szCs w:val="22"/>
        </w:rPr>
        <w:t xml:space="preserve"> t</w:t>
      </w:r>
      <w:r w:rsidRPr="007F5AD0">
        <w:rPr>
          <w:rFonts w:ascii="Arial" w:hAnsi="Arial" w:cs="Arial"/>
          <w:bCs/>
          <w:sz w:val="22"/>
          <w:szCs w:val="22"/>
        </w:rPr>
        <w:t>-test).</w:t>
      </w:r>
    </w:p>
    <w:p w:rsidR="00BE7288" w:rsidRPr="007F5AD0" w:rsidRDefault="00BE7288" w:rsidP="001F15C6">
      <w:pPr>
        <w:spacing w:line="480" w:lineRule="auto"/>
        <w:jc w:val="left"/>
        <w:rPr>
          <w:rFonts w:ascii="Arial" w:hAnsi="Arial" w:cs="Arial"/>
          <w:b/>
          <w:sz w:val="22"/>
          <w:szCs w:val="22"/>
        </w:rPr>
      </w:pPr>
    </w:p>
    <w:p w:rsidR="00BE7288" w:rsidRPr="007F5AD0" w:rsidRDefault="00BE7288"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2</w:t>
      </w:r>
      <w:r w:rsidR="004534FC" w:rsidRPr="007F5AD0">
        <w:rPr>
          <w:rFonts w:ascii="Arial" w:hAnsi="Arial" w:cs="Arial"/>
          <w:b/>
          <w:sz w:val="22"/>
          <w:szCs w:val="22"/>
        </w:rPr>
        <w:t>.</w:t>
      </w:r>
      <w:r w:rsidRPr="007F5AD0">
        <w:rPr>
          <w:rFonts w:ascii="Arial" w:hAnsi="Arial" w:cs="Arial" w:hint="eastAsia"/>
          <w:bCs/>
          <w:sz w:val="22"/>
          <w:szCs w:val="22"/>
        </w:rPr>
        <w:t xml:space="preserve"> </w:t>
      </w:r>
      <w:r w:rsidR="00FA79B8" w:rsidRPr="007F5AD0">
        <w:rPr>
          <w:rFonts w:ascii="Arial" w:hAnsi="Arial" w:cs="Arial"/>
          <w:b/>
          <w:bCs/>
          <w:sz w:val="22"/>
          <w:szCs w:val="22"/>
        </w:rPr>
        <w:t xml:space="preserve">Candidate </w:t>
      </w:r>
      <w:r w:rsidR="007B65B9" w:rsidRPr="007F5AD0">
        <w:rPr>
          <w:rFonts w:ascii="Arial" w:hAnsi="Arial" w:cs="Arial"/>
          <w:b/>
          <w:bCs/>
          <w:sz w:val="22"/>
          <w:szCs w:val="22"/>
        </w:rPr>
        <w:t xml:space="preserve">downstream signaling molecules underlying </w:t>
      </w:r>
      <w:r w:rsidR="00FA79B8" w:rsidRPr="007F5AD0">
        <w:rPr>
          <w:rFonts w:ascii="Arial" w:hAnsi="Arial" w:cs="Arial"/>
          <w:b/>
          <w:bCs/>
          <w:sz w:val="22"/>
          <w:szCs w:val="22"/>
        </w:rPr>
        <w:t>ZAK-induced EMT.</w:t>
      </w:r>
      <w:r w:rsidR="00FA79B8" w:rsidRPr="007F5AD0">
        <w:rPr>
          <w:rFonts w:ascii="Arial" w:hAnsi="Arial" w:cs="Arial"/>
          <w:bCs/>
          <w:sz w:val="22"/>
          <w:szCs w:val="22"/>
        </w:rPr>
        <w:t xml:space="preserve"> </w:t>
      </w:r>
      <w:r w:rsidR="003117ED" w:rsidRPr="007F5AD0">
        <w:rPr>
          <w:rFonts w:ascii="Arial" w:hAnsi="Arial" w:cs="Arial"/>
          <w:bCs/>
          <w:sz w:val="22"/>
          <w:szCs w:val="22"/>
        </w:rPr>
        <w:t>(a) Silencing of AP1 gene</w:t>
      </w:r>
      <w:r w:rsidR="009454A9" w:rsidRPr="007F5AD0">
        <w:rPr>
          <w:rFonts w:ascii="Arial" w:hAnsi="Arial" w:cs="Arial"/>
          <w:bCs/>
          <w:sz w:val="22"/>
          <w:szCs w:val="22"/>
        </w:rPr>
        <w:t>s</w:t>
      </w:r>
      <w:r w:rsidR="003117ED" w:rsidRPr="007F5AD0">
        <w:rPr>
          <w:rFonts w:ascii="Arial" w:hAnsi="Arial" w:cs="Arial"/>
          <w:bCs/>
          <w:sz w:val="22"/>
          <w:szCs w:val="22"/>
        </w:rPr>
        <w:t xml:space="preserve"> (c-FOS and FOSL1) in ZAK-overexpressing cells</w:t>
      </w:r>
      <w:r w:rsidR="003117ED" w:rsidRPr="007F5AD0">
        <w:rPr>
          <w:rFonts w:ascii="Arial" w:hAnsi="Arial" w:cs="Arial"/>
          <w:sz w:val="22"/>
          <w:szCs w:val="22"/>
        </w:rPr>
        <w:t xml:space="preserve"> </w:t>
      </w:r>
      <w:r w:rsidR="005B724A" w:rsidRPr="007F5AD0">
        <w:rPr>
          <w:rFonts w:ascii="Arial" w:hAnsi="Arial" w:cs="Arial"/>
          <w:sz w:val="22"/>
          <w:szCs w:val="22"/>
        </w:rPr>
        <w:t>did not</w:t>
      </w:r>
      <w:r w:rsidR="003117ED" w:rsidRPr="007F5AD0">
        <w:rPr>
          <w:rFonts w:ascii="Arial" w:hAnsi="Arial" w:cs="Arial"/>
          <w:sz w:val="22"/>
          <w:szCs w:val="22"/>
        </w:rPr>
        <w:t xml:space="preserve"> show </w:t>
      </w:r>
      <w:r w:rsidR="003117ED" w:rsidRPr="007F5AD0">
        <w:rPr>
          <w:rFonts w:ascii="Arial" w:hAnsi="Arial" w:cs="Arial"/>
          <w:bCs/>
          <w:sz w:val="22"/>
          <w:szCs w:val="22"/>
        </w:rPr>
        <w:t>concordant expression changes of EMT markers.</w:t>
      </w:r>
      <w:r w:rsidR="003117ED" w:rsidRPr="007F5AD0">
        <w:rPr>
          <w:rFonts w:ascii="Arial" w:hAnsi="Arial" w:cs="Arial"/>
          <w:sz w:val="22"/>
          <w:szCs w:val="22"/>
        </w:rPr>
        <w:t xml:space="preserve"> </w:t>
      </w:r>
      <w:r w:rsidR="008978CC" w:rsidRPr="007F5AD0">
        <w:rPr>
          <w:rFonts w:ascii="Arial" w:hAnsi="Arial" w:cs="Arial"/>
          <w:sz w:val="22"/>
          <w:szCs w:val="22"/>
        </w:rPr>
        <w:t xml:space="preserve">Two doses of siRNA were used (2ul and 4ul) per well in 6-well plates. </w:t>
      </w:r>
      <w:r w:rsidR="00341955" w:rsidRPr="007F5AD0">
        <w:rPr>
          <w:rFonts w:ascii="Arial" w:hAnsi="Arial" w:cs="Arial"/>
          <w:sz w:val="22"/>
          <w:szCs w:val="22"/>
        </w:rPr>
        <w:t>(</w:t>
      </w:r>
      <w:r w:rsidR="00341955" w:rsidRPr="007F5AD0">
        <w:rPr>
          <w:rFonts w:ascii="Arial" w:hAnsi="Arial" w:cs="Arial" w:hint="eastAsia"/>
          <w:sz w:val="22"/>
          <w:szCs w:val="22"/>
        </w:rPr>
        <w:t>b</w:t>
      </w:r>
      <w:r w:rsidR="00341955" w:rsidRPr="007F5AD0">
        <w:rPr>
          <w:rFonts w:ascii="Arial" w:hAnsi="Arial" w:cs="Arial"/>
          <w:sz w:val="22"/>
          <w:szCs w:val="22"/>
        </w:rPr>
        <w:t xml:space="preserve">) </w:t>
      </w:r>
      <w:r w:rsidRPr="007F5AD0">
        <w:rPr>
          <w:rFonts w:ascii="Arial" w:hAnsi="Arial" w:cs="Arial"/>
          <w:bCs/>
          <w:sz w:val="22"/>
          <w:szCs w:val="22"/>
        </w:rPr>
        <w:t xml:space="preserve">Scatter plots obtained from cBioPortal TCGA database in August, 2016 show positive correlation between ZAK and ZEB1 mRNA expression. Pearson’s correlation coefficients </w:t>
      </w:r>
      <w:r w:rsidR="009454A9" w:rsidRPr="007F5AD0">
        <w:rPr>
          <w:rFonts w:ascii="Arial" w:hAnsi="Arial" w:cs="Arial"/>
          <w:bCs/>
          <w:sz w:val="22"/>
          <w:szCs w:val="22"/>
        </w:rPr>
        <w:t xml:space="preserve">and </w:t>
      </w:r>
      <w:r w:rsidR="009454A9" w:rsidRPr="007F5AD0">
        <w:rPr>
          <w:rFonts w:ascii="Arial" w:hAnsi="Arial" w:cs="Arial"/>
          <w:bCs/>
          <w:i/>
          <w:sz w:val="22"/>
          <w:szCs w:val="22"/>
        </w:rPr>
        <w:t xml:space="preserve">P </w:t>
      </w:r>
      <w:r w:rsidR="009454A9" w:rsidRPr="007F5AD0">
        <w:rPr>
          <w:rFonts w:ascii="Arial" w:hAnsi="Arial" w:cs="Arial"/>
          <w:bCs/>
          <w:sz w:val="22"/>
          <w:szCs w:val="22"/>
        </w:rPr>
        <w:t xml:space="preserve">values </w:t>
      </w:r>
      <w:r w:rsidRPr="007F5AD0">
        <w:rPr>
          <w:rFonts w:ascii="Arial" w:hAnsi="Arial" w:cs="Arial"/>
          <w:bCs/>
          <w:sz w:val="22"/>
          <w:szCs w:val="22"/>
        </w:rPr>
        <w:t>are indicated.</w:t>
      </w:r>
      <w:r w:rsidR="00522DC9" w:rsidRPr="007F5AD0">
        <w:rPr>
          <w:rFonts w:ascii="Arial" w:hAnsi="Arial" w:cs="Arial"/>
          <w:bCs/>
          <w:sz w:val="22"/>
          <w:szCs w:val="22"/>
        </w:rPr>
        <w:t xml:space="preserve"> </w:t>
      </w:r>
      <w:r w:rsidR="003A65EA" w:rsidRPr="007F5AD0">
        <w:rPr>
          <w:rFonts w:ascii="Arial" w:hAnsi="Arial" w:cs="Arial"/>
          <w:bCs/>
          <w:sz w:val="22"/>
          <w:szCs w:val="22"/>
        </w:rPr>
        <w:t xml:space="preserve">The TCGA Provisional datasets for each indicated cancer types were accessed in August 2016 and used for the analyses. </w:t>
      </w:r>
      <w:r w:rsidR="00522DC9" w:rsidRPr="007F5AD0">
        <w:rPr>
          <w:rFonts w:ascii="Arial" w:hAnsi="Arial" w:cs="Arial"/>
          <w:bCs/>
          <w:sz w:val="22"/>
          <w:szCs w:val="22"/>
        </w:rPr>
        <w:t xml:space="preserve">(c) </w:t>
      </w:r>
      <w:r w:rsidR="009454A9" w:rsidRPr="007F5AD0">
        <w:rPr>
          <w:rFonts w:ascii="Arial" w:hAnsi="Arial" w:cs="Arial"/>
          <w:bCs/>
          <w:sz w:val="22"/>
          <w:szCs w:val="22"/>
        </w:rPr>
        <w:t xml:space="preserve">Western blot analysis for </w:t>
      </w:r>
      <w:r w:rsidR="003F055C" w:rsidRPr="007F5AD0">
        <w:rPr>
          <w:rFonts w:ascii="Arial" w:hAnsi="Arial" w:cs="Arial"/>
          <w:bCs/>
          <w:sz w:val="22"/>
          <w:szCs w:val="22"/>
        </w:rPr>
        <w:t xml:space="preserve">ZEB1 </w:t>
      </w:r>
      <w:r w:rsidR="009454A9" w:rsidRPr="007F5AD0">
        <w:rPr>
          <w:rFonts w:ascii="Arial" w:hAnsi="Arial" w:cs="Arial"/>
          <w:bCs/>
          <w:sz w:val="22"/>
          <w:szCs w:val="22"/>
        </w:rPr>
        <w:t xml:space="preserve">and ZAK protein </w:t>
      </w:r>
      <w:r w:rsidR="008930EF" w:rsidRPr="007F5AD0">
        <w:rPr>
          <w:rFonts w:ascii="Arial" w:hAnsi="Arial" w:cs="Arial"/>
          <w:bCs/>
          <w:sz w:val="22"/>
          <w:szCs w:val="22"/>
        </w:rPr>
        <w:t xml:space="preserve">levels </w:t>
      </w:r>
      <w:r w:rsidR="009454A9" w:rsidRPr="007F5AD0">
        <w:rPr>
          <w:rFonts w:ascii="Arial" w:hAnsi="Arial" w:cs="Arial"/>
          <w:bCs/>
          <w:sz w:val="22"/>
          <w:szCs w:val="22"/>
        </w:rPr>
        <w:t>upon</w:t>
      </w:r>
      <w:r w:rsidR="003F055C" w:rsidRPr="007F5AD0">
        <w:rPr>
          <w:rFonts w:ascii="Arial" w:hAnsi="Arial" w:cs="Arial"/>
          <w:bCs/>
          <w:sz w:val="22"/>
          <w:szCs w:val="22"/>
        </w:rPr>
        <w:t xml:space="preserve"> ZAK overexpression</w:t>
      </w:r>
      <w:r w:rsidR="005B724A" w:rsidRPr="007F5AD0">
        <w:rPr>
          <w:rFonts w:ascii="Arial" w:hAnsi="Arial" w:cs="Arial"/>
          <w:bCs/>
          <w:sz w:val="22"/>
          <w:szCs w:val="22"/>
        </w:rPr>
        <w:t xml:space="preserve"> in HMLE cells</w:t>
      </w:r>
      <w:r w:rsidR="003F055C" w:rsidRPr="007F5AD0">
        <w:rPr>
          <w:rFonts w:ascii="Arial" w:hAnsi="Arial" w:cs="Arial"/>
          <w:bCs/>
          <w:sz w:val="22"/>
          <w:szCs w:val="22"/>
        </w:rPr>
        <w:t xml:space="preserve">. (d) </w:t>
      </w:r>
      <w:r w:rsidR="008930EF" w:rsidRPr="007F5AD0">
        <w:rPr>
          <w:rFonts w:ascii="Arial" w:hAnsi="Arial" w:cs="Arial"/>
          <w:bCs/>
          <w:sz w:val="22"/>
          <w:szCs w:val="22"/>
        </w:rPr>
        <w:t xml:space="preserve">Western blot analysis of ZEB1 and its target CDH1 upon expression of </w:t>
      </w:r>
      <w:r w:rsidR="00995F1E" w:rsidRPr="007F5AD0">
        <w:rPr>
          <w:rFonts w:ascii="Arial" w:hAnsi="Arial" w:cs="Arial"/>
          <w:bCs/>
          <w:sz w:val="22"/>
          <w:szCs w:val="22"/>
        </w:rPr>
        <w:t xml:space="preserve">ZEB1 </w:t>
      </w:r>
      <w:r w:rsidR="008930EF" w:rsidRPr="007F5AD0">
        <w:rPr>
          <w:rFonts w:ascii="Arial" w:hAnsi="Arial" w:cs="Arial"/>
          <w:bCs/>
          <w:sz w:val="22"/>
          <w:szCs w:val="22"/>
        </w:rPr>
        <w:t xml:space="preserve">shRNA </w:t>
      </w:r>
      <w:r w:rsidR="00FB1586" w:rsidRPr="007F5AD0">
        <w:rPr>
          <w:rFonts w:ascii="Arial" w:hAnsi="Arial" w:cs="Arial"/>
          <w:bCs/>
          <w:sz w:val="22"/>
          <w:szCs w:val="22"/>
        </w:rPr>
        <w:t>in</w:t>
      </w:r>
      <w:r w:rsidR="00FB1586" w:rsidRPr="007F5AD0">
        <w:rPr>
          <w:rFonts w:ascii="Arial" w:hAnsi="Arial" w:cs="Arial" w:hint="eastAsia"/>
          <w:bCs/>
          <w:sz w:val="22"/>
          <w:szCs w:val="22"/>
        </w:rPr>
        <w:t xml:space="preserve"> PC3-ZAK </w:t>
      </w:r>
      <w:r w:rsidR="00FB1586" w:rsidRPr="007F5AD0">
        <w:rPr>
          <w:rFonts w:ascii="Arial" w:hAnsi="Arial" w:cs="Arial"/>
          <w:bCs/>
          <w:sz w:val="22"/>
          <w:szCs w:val="22"/>
        </w:rPr>
        <w:t xml:space="preserve">and </w:t>
      </w:r>
      <w:r w:rsidR="00995F1E" w:rsidRPr="007F5AD0">
        <w:rPr>
          <w:rFonts w:ascii="Arial" w:hAnsi="Arial" w:cs="Arial"/>
          <w:bCs/>
          <w:sz w:val="22"/>
          <w:szCs w:val="22"/>
        </w:rPr>
        <w:t>293T-ZAK cells.</w:t>
      </w:r>
      <w:r w:rsidR="006B48B1" w:rsidRPr="007F5AD0">
        <w:rPr>
          <w:rFonts w:ascii="Arial" w:hAnsi="Arial" w:cs="Arial"/>
          <w:bCs/>
          <w:sz w:val="22"/>
          <w:szCs w:val="22"/>
        </w:rPr>
        <w:t xml:space="preserve"> (e)</w:t>
      </w:r>
      <w:r w:rsidR="005B724A" w:rsidRPr="007F5AD0">
        <w:rPr>
          <w:rFonts w:ascii="Arial" w:hAnsi="Arial" w:cs="Arial"/>
          <w:bCs/>
          <w:sz w:val="22"/>
          <w:szCs w:val="22"/>
        </w:rPr>
        <w:t xml:space="preserve"> </w:t>
      </w:r>
      <w:r w:rsidR="003B1120" w:rsidRPr="007F5AD0">
        <w:rPr>
          <w:rFonts w:ascii="Arial" w:hAnsi="Arial" w:cs="Arial"/>
          <w:bCs/>
          <w:sz w:val="22"/>
          <w:szCs w:val="22"/>
        </w:rPr>
        <w:t>Western blot analysis of EMT proteins in</w:t>
      </w:r>
      <w:r w:rsidR="009E7F79" w:rsidRPr="007F5AD0">
        <w:rPr>
          <w:rFonts w:ascii="Arial" w:hAnsi="Arial" w:cs="Arial"/>
          <w:bCs/>
          <w:sz w:val="22"/>
          <w:szCs w:val="22"/>
        </w:rPr>
        <w:t xml:space="preserve"> PC3-ZAK and 293</w:t>
      </w:r>
      <w:r w:rsidR="007B65B9" w:rsidRPr="007F5AD0">
        <w:rPr>
          <w:rFonts w:ascii="Arial" w:hAnsi="Arial" w:cs="Arial"/>
          <w:bCs/>
          <w:sz w:val="22"/>
          <w:szCs w:val="22"/>
        </w:rPr>
        <w:t>T</w:t>
      </w:r>
      <w:r w:rsidR="009E7F79" w:rsidRPr="007F5AD0">
        <w:rPr>
          <w:rFonts w:ascii="Arial" w:hAnsi="Arial" w:cs="Arial"/>
          <w:bCs/>
          <w:sz w:val="22"/>
          <w:szCs w:val="22"/>
        </w:rPr>
        <w:t xml:space="preserve">-ZAK cells </w:t>
      </w:r>
      <w:r w:rsidR="003B1120" w:rsidRPr="007F5AD0">
        <w:rPr>
          <w:rFonts w:ascii="Arial" w:hAnsi="Arial" w:cs="Arial"/>
          <w:bCs/>
          <w:sz w:val="22"/>
          <w:szCs w:val="22"/>
        </w:rPr>
        <w:t xml:space="preserve">treated with either DMSO control, or </w:t>
      </w:r>
      <w:r w:rsidR="009E7F79" w:rsidRPr="007F5AD0">
        <w:rPr>
          <w:rFonts w:ascii="Arial" w:hAnsi="Arial" w:cs="Arial"/>
          <w:bCs/>
          <w:sz w:val="22"/>
          <w:szCs w:val="22"/>
        </w:rPr>
        <w:t xml:space="preserve">MAPK pathway inhibitors, either U0126 </w:t>
      </w:r>
      <w:r w:rsidR="003B1120" w:rsidRPr="007F5AD0">
        <w:rPr>
          <w:rFonts w:ascii="Arial" w:hAnsi="Arial" w:cs="Arial"/>
          <w:bCs/>
          <w:sz w:val="22"/>
          <w:szCs w:val="22"/>
        </w:rPr>
        <w:t xml:space="preserve">(10uM) </w:t>
      </w:r>
      <w:r w:rsidR="009E7F79" w:rsidRPr="007F5AD0">
        <w:rPr>
          <w:rFonts w:ascii="Arial" w:hAnsi="Arial" w:cs="Arial"/>
          <w:bCs/>
          <w:sz w:val="22"/>
          <w:szCs w:val="22"/>
        </w:rPr>
        <w:t>or RO5126766</w:t>
      </w:r>
      <w:r w:rsidR="003B1120" w:rsidRPr="007F5AD0">
        <w:rPr>
          <w:rFonts w:ascii="Arial" w:hAnsi="Arial" w:cs="Arial"/>
          <w:bCs/>
          <w:sz w:val="22"/>
          <w:szCs w:val="22"/>
        </w:rPr>
        <w:t xml:space="preserve"> (10uM) for 24 hr</w:t>
      </w:r>
      <w:r w:rsidR="009E7F79" w:rsidRPr="007F5AD0">
        <w:rPr>
          <w:rFonts w:ascii="Arial" w:hAnsi="Arial" w:cs="Arial"/>
          <w:bCs/>
          <w:sz w:val="22"/>
          <w:szCs w:val="22"/>
        </w:rPr>
        <w:t xml:space="preserve">. (f) </w:t>
      </w:r>
      <w:r w:rsidR="006B1C31" w:rsidRPr="007F5AD0">
        <w:rPr>
          <w:rFonts w:ascii="Arial" w:hAnsi="Arial" w:cs="Arial"/>
          <w:bCs/>
          <w:sz w:val="22"/>
          <w:szCs w:val="22"/>
        </w:rPr>
        <w:t xml:space="preserve">ZAK wild </w:t>
      </w:r>
      <w:r w:rsidR="006B1C31" w:rsidRPr="007F5AD0">
        <w:rPr>
          <w:rFonts w:ascii="Arial" w:hAnsi="Arial" w:cs="Arial"/>
          <w:bCs/>
          <w:sz w:val="22"/>
          <w:szCs w:val="22"/>
        </w:rPr>
        <w:lastRenderedPageBreak/>
        <w:t xml:space="preserve">type cDNA can, while </w:t>
      </w:r>
      <w:r w:rsidR="00C570A5" w:rsidRPr="007F5AD0">
        <w:rPr>
          <w:rFonts w:ascii="Arial" w:hAnsi="Arial" w:cs="Arial"/>
          <w:bCs/>
          <w:sz w:val="22"/>
          <w:szCs w:val="22"/>
        </w:rPr>
        <w:t xml:space="preserve">ZAK kinase dead cDNA </w:t>
      </w:r>
      <w:r w:rsidR="00C570A5" w:rsidRPr="007F5AD0">
        <w:rPr>
          <w:rFonts w:ascii="Arial" w:hAnsi="Arial" w:cs="Arial" w:hint="eastAsia"/>
          <w:bCs/>
          <w:sz w:val="22"/>
          <w:szCs w:val="22"/>
        </w:rPr>
        <w:t>(</w:t>
      </w:r>
      <w:r w:rsidR="006B1C31" w:rsidRPr="007F5AD0">
        <w:rPr>
          <w:rFonts w:ascii="Arial" w:hAnsi="Arial" w:cs="Arial"/>
          <w:bCs/>
          <w:sz w:val="22"/>
          <w:szCs w:val="22"/>
        </w:rPr>
        <w:t>ZAK-K45M</w:t>
      </w:r>
      <w:r w:rsidR="00C570A5" w:rsidRPr="007F5AD0">
        <w:rPr>
          <w:rFonts w:ascii="Arial" w:hAnsi="Arial" w:cs="Arial" w:hint="eastAsia"/>
          <w:bCs/>
          <w:sz w:val="22"/>
          <w:szCs w:val="22"/>
        </w:rPr>
        <w:t>)</w:t>
      </w:r>
      <w:r w:rsidR="006B1C31" w:rsidRPr="007F5AD0">
        <w:rPr>
          <w:rFonts w:ascii="Arial" w:hAnsi="Arial" w:cs="Arial"/>
          <w:bCs/>
          <w:sz w:val="22"/>
          <w:szCs w:val="22"/>
        </w:rPr>
        <w:t xml:space="preserve"> can not, induce EMT gene expression changes.</w:t>
      </w:r>
    </w:p>
    <w:p w:rsidR="00BE7288" w:rsidRPr="007F5AD0" w:rsidRDefault="00BE7288" w:rsidP="001F15C6">
      <w:pPr>
        <w:spacing w:line="480" w:lineRule="auto"/>
        <w:jc w:val="left"/>
        <w:rPr>
          <w:rFonts w:ascii="Arial" w:hAnsi="Arial" w:cs="Arial"/>
          <w:bCs/>
          <w:sz w:val="22"/>
          <w:szCs w:val="22"/>
        </w:rPr>
      </w:pPr>
    </w:p>
    <w:p w:rsidR="00BE7288" w:rsidRPr="007F5AD0" w:rsidRDefault="00BE7288"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3</w:t>
      </w:r>
      <w:r w:rsidR="004534FC" w:rsidRPr="007F5AD0">
        <w:rPr>
          <w:rFonts w:ascii="Arial" w:hAnsi="Arial" w:cs="Arial"/>
          <w:b/>
          <w:sz w:val="22"/>
          <w:szCs w:val="22"/>
        </w:rPr>
        <w:t>.</w:t>
      </w:r>
      <w:r w:rsidRPr="007F5AD0">
        <w:rPr>
          <w:rFonts w:ascii="Arial" w:hAnsi="Arial" w:cs="Arial"/>
          <w:bCs/>
          <w:sz w:val="22"/>
          <w:szCs w:val="22"/>
        </w:rPr>
        <w:t xml:space="preserve"> Silencing of ZAK gene in HCCLM3 and CLY cells results in reversal of EMT. (</w:t>
      </w:r>
      <w:r w:rsidR="00EA3132" w:rsidRPr="007F5AD0">
        <w:rPr>
          <w:rFonts w:ascii="Arial" w:hAnsi="Arial" w:cs="Arial" w:hint="eastAsia"/>
          <w:bCs/>
          <w:sz w:val="22"/>
          <w:szCs w:val="22"/>
        </w:rPr>
        <w:t>a</w:t>
      </w:r>
      <w:r w:rsidRPr="007F5AD0">
        <w:rPr>
          <w:rFonts w:ascii="Arial" w:hAnsi="Arial" w:cs="Arial"/>
          <w:bCs/>
          <w:sz w:val="22"/>
          <w:szCs w:val="22"/>
        </w:rPr>
        <w:t>) Western blot analysis of ZAK, E-cadherin</w:t>
      </w:r>
      <w:r w:rsidR="00FF2E8D" w:rsidRPr="007F5AD0">
        <w:rPr>
          <w:rFonts w:ascii="Arial" w:hAnsi="Arial" w:cs="Arial" w:hint="eastAsia"/>
          <w:bCs/>
          <w:sz w:val="22"/>
          <w:szCs w:val="22"/>
        </w:rPr>
        <w:t>,</w:t>
      </w:r>
      <w:r w:rsidRPr="007F5AD0">
        <w:rPr>
          <w:rFonts w:ascii="Arial" w:hAnsi="Arial" w:cs="Arial"/>
          <w:bCs/>
          <w:sz w:val="22"/>
          <w:szCs w:val="22"/>
        </w:rPr>
        <w:t xml:space="preserve"> N-cadherin </w:t>
      </w:r>
      <w:r w:rsidR="00FF2E8D" w:rsidRPr="007F5AD0">
        <w:rPr>
          <w:rFonts w:ascii="Arial" w:hAnsi="Arial" w:cs="Arial"/>
          <w:bCs/>
          <w:sz w:val="22"/>
          <w:szCs w:val="22"/>
        </w:rPr>
        <w:t xml:space="preserve">and ZEB1 </w:t>
      </w:r>
      <w:r w:rsidRPr="007F5AD0">
        <w:rPr>
          <w:rFonts w:ascii="Arial" w:hAnsi="Arial" w:cs="Arial"/>
          <w:bCs/>
          <w:sz w:val="22"/>
          <w:szCs w:val="22"/>
        </w:rPr>
        <w:t>in cancer cell lines. (</w:t>
      </w:r>
      <w:r w:rsidR="00EA3132" w:rsidRPr="007F5AD0">
        <w:rPr>
          <w:rFonts w:ascii="Arial" w:hAnsi="Arial" w:cs="Arial" w:hint="eastAsia"/>
          <w:bCs/>
          <w:sz w:val="22"/>
          <w:szCs w:val="22"/>
        </w:rPr>
        <w:t>b</w:t>
      </w:r>
      <w:r w:rsidRPr="007F5AD0">
        <w:rPr>
          <w:rFonts w:ascii="Arial" w:hAnsi="Arial" w:cs="Arial"/>
          <w:bCs/>
          <w:sz w:val="22"/>
          <w:szCs w:val="22"/>
        </w:rPr>
        <w:t>) Changes in the expression of ZAK and EMT-associated genes by ZAK knockdown as determined by real time PCR. Shown on Y-axis is log10 fold change of mRNA level induced by shZAKs vs scramble control. Error bars denote S</w:t>
      </w:r>
      <w:r w:rsidRPr="007F5AD0">
        <w:rPr>
          <w:rFonts w:ascii="Arial" w:hAnsi="Arial" w:cs="Arial" w:hint="eastAsia"/>
          <w:bCs/>
          <w:sz w:val="22"/>
          <w:szCs w:val="22"/>
        </w:rPr>
        <w:t>.</w:t>
      </w:r>
      <w:r w:rsidRPr="007F5AD0">
        <w:rPr>
          <w:rFonts w:ascii="Arial" w:hAnsi="Arial" w:cs="Arial"/>
          <w:bCs/>
          <w:sz w:val="22"/>
          <w:szCs w:val="22"/>
        </w:rPr>
        <w:t>D</w:t>
      </w:r>
      <w:r w:rsidRPr="007F5AD0">
        <w:rPr>
          <w:rFonts w:ascii="Arial" w:hAnsi="Arial" w:cs="Arial" w:hint="eastAsia"/>
          <w:bCs/>
          <w:sz w:val="22"/>
          <w:szCs w:val="22"/>
        </w:rPr>
        <w:t>.</w:t>
      </w:r>
      <w:r w:rsidRPr="007F5AD0">
        <w:rPr>
          <w:rFonts w:ascii="Arial" w:hAnsi="Arial" w:cs="Arial"/>
          <w:bCs/>
          <w:sz w:val="22"/>
          <w:szCs w:val="22"/>
        </w:rPr>
        <w:t xml:space="preserve"> from triplicate. (</w:t>
      </w:r>
      <w:r w:rsidR="00EA3132" w:rsidRPr="007F5AD0">
        <w:rPr>
          <w:rFonts w:ascii="Arial" w:hAnsi="Arial" w:cs="Arial" w:hint="eastAsia"/>
          <w:bCs/>
          <w:sz w:val="22"/>
          <w:szCs w:val="22"/>
        </w:rPr>
        <w:t>c</w:t>
      </w:r>
      <w:r w:rsidRPr="007F5AD0">
        <w:rPr>
          <w:rFonts w:ascii="Arial" w:hAnsi="Arial" w:cs="Arial"/>
          <w:bCs/>
          <w:sz w:val="22"/>
          <w:szCs w:val="22"/>
        </w:rPr>
        <w:t>) ZAK depletion reduced migration of the two mesenchymal cell lines determined by Boyden chamber assay, showing representative photos (top) and quantification (bottom) of migration. Quantification of migration is shown as means (S</w:t>
      </w:r>
      <w:r w:rsidRPr="007F5AD0">
        <w:rPr>
          <w:rFonts w:ascii="Arial" w:hAnsi="Arial" w:cs="Arial" w:hint="eastAsia"/>
          <w:bCs/>
          <w:sz w:val="22"/>
          <w:szCs w:val="22"/>
        </w:rPr>
        <w:t>.</w:t>
      </w:r>
      <w:r w:rsidRPr="007F5AD0">
        <w:rPr>
          <w:rFonts w:ascii="Arial" w:hAnsi="Arial" w:cs="Arial"/>
          <w:bCs/>
          <w:sz w:val="22"/>
          <w:szCs w:val="22"/>
        </w:rPr>
        <w:t>D</w:t>
      </w:r>
      <w:r w:rsidRPr="007F5AD0">
        <w:rPr>
          <w:rFonts w:ascii="Arial" w:hAnsi="Arial" w:cs="Arial" w:hint="eastAsia"/>
          <w:bCs/>
          <w:sz w:val="22"/>
          <w:szCs w:val="22"/>
        </w:rPr>
        <w:t>.</w:t>
      </w:r>
      <w:r w:rsidRPr="007F5AD0">
        <w:rPr>
          <w:rFonts w:ascii="Arial" w:hAnsi="Arial" w:cs="Arial"/>
          <w:bCs/>
          <w:sz w:val="22"/>
          <w:szCs w:val="22"/>
        </w:rPr>
        <w:t xml:space="preserve"> from three independent experiments). (</w:t>
      </w:r>
      <w:r w:rsidR="00EA3132" w:rsidRPr="007F5AD0">
        <w:rPr>
          <w:rFonts w:ascii="Arial" w:hAnsi="Arial" w:cs="Arial" w:hint="eastAsia"/>
          <w:bCs/>
          <w:sz w:val="22"/>
          <w:szCs w:val="22"/>
        </w:rPr>
        <w:t>d</w:t>
      </w:r>
      <w:r w:rsidRPr="007F5AD0">
        <w:rPr>
          <w:rFonts w:ascii="Arial" w:hAnsi="Arial" w:cs="Arial"/>
          <w:bCs/>
          <w:sz w:val="22"/>
          <w:szCs w:val="22"/>
        </w:rPr>
        <w:t>) Proliferation curves of the above cells grown in regular media (</w:t>
      </w:r>
      <w:r w:rsidRPr="007F5AD0">
        <w:rPr>
          <w:rFonts w:ascii="Arial" w:hAnsi="Arial" w:cs="Arial" w:hint="eastAsia"/>
          <w:bCs/>
          <w:sz w:val="22"/>
          <w:szCs w:val="22"/>
        </w:rPr>
        <w:t>left</w:t>
      </w:r>
      <w:r w:rsidRPr="007F5AD0">
        <w:rPr>
          <w:rFonts w:ascii="Arial" w:hAnsi="Arial" w:cs="Arial"/>
          <w:bCs/>
          <w:sz w:val="22"/>
          <w:szCs w:val="22"/>
        </w:rPr>
        <w:t>) or nutrition reduced media (</w:t>
      </w:r>
      <w:r w:rsidRPr="007F5AD0">
        <w:rPr>
          <w:rFonts w:ascii="Arial" w:hAnsi="Arial" w:cs="Arial" w:hint="eastAsia"/>
          <w:bCs/>
          <w:sz w:val="22"/>
          <w:szCs w:val="22"/>
        </w:rPr>
        <w:t>right</w:t>
      </w:r>
      <w:r w:rsidRPr="007F5AD0">
        <w:rPr>
          <w:rFonts w:ascii="Arial" w:hAnsi="Arial" w:cs="Arial"/>
          <w:bCs/>
          <w:sz w:val="22"/>
          <w:szCs w:val="22"/>
        </w:rPr>
        <w:t>). Mean values ± S</w:t>
      </w:r>
      <w:r w:rsidRPr="007F5AD0">
        <w:rPr>
          <w:rFonts w:ascii="Arial" w:hAnsi="Arial" w:cs="Arial" w:hint="eastAsia"/>
          <w:bCs/>
          <w:sz w:val="22"/>
          <w:szCs w:val="22"/>
        </w:rPr>
        <w:t>.</w:t>
      </w:r>
      <w:r w:rsidRPr="007F5AD0">
        <w:rPr>
          <w:rFonts w:ascii="Arial" w:hAnsi="Arial" w:cs="Arial"/>
          <w:bCs/>
          <w:sz w:val="22"/>
          <w:szCs w:val="22"/>
        </w:rPr>
        <w:t>D</w:t>
      </w:r>
      <w:r w:rsidRPr="007F5AD0">
        <w:rPr>
          <w:rFonts w:ascii="Arial" w:hAnsi="Arial" w:cs="Arial" w:hint="eastAsia"/>
          <w:bCs/>
          <w:sz w:val="22"/>
          <w:szCs w:val="22"/>
        </w:rPr>
        <w:t>.</w:t>
      </w:r>
      <w:r w:rsidRPr="007F5AD0">
        <w:rPr>
          <w:rFonts w:ascii="Arial" w:hAnsi="Arial" w:cs="Arial"/>
          <w:bCs/>
          <w:sz w:val="22"/>
          <w:szCs w:val="22"/>
        </w:rPr>
        <w:t xml:space="preserve"> from three independent experiments are shown. *</w:t>
      </w:r>
      <w:r w:rsidRPr="007F5AD0">
        <w:rPr>
          <w:rFonts w:ascii="Arial" w:hAnsi="Arial" w:cs="Arial"/>
          <w:bCs/>
          <w:i/>
          <w:iCs/>
          <w:sz w:val="22"/>
          <w:szCs w:val="22"/>
        </w:rPr>
        <w:t xml:space="preserve">P </w:t>
      </w:r>
      <w:r w:rsidRPr="007F5AD0">
        <w:rPr>
          <w:rFonts w:ascii="Arial" w:hAnsi="Arial" w:cs="Arial"/>
          <w:bCs/>
          <w:sz w:val="22"/>
          <w:szCs w:val="22"/>
        </w:rPr>
        <w:t>&lt; 0.05, **</w:t>
      </w:r>
      <w:r w:rsidRPr="007F5AD0">
        <w:rPr>
          <w:rFonts w:ascii="Arial" w:hAnsi="Arial" w:cs="Arial"/>
          <w:bCs/>
          <w:i/>
          <w:iCs/>
          <w:sz w:val="22"/>
          <w:szCs w:val="22"/>
        </w:rPr>
        <w:t xml:space="preserve">P </w:t>
      </w:r>
      <w:r w:rsidRPr="007F5AD0">
        <w:rPr>
          <w:rFonts w:ascii="Arial" w:hAnsi="Arial" w:cs="Arial"/>
          <w:bCs/>
          <w:sz w:val="22"/>
          <w:szCs w:val="22"/>
        </w:rPr>
        <w:t>&lt; 0.01, and ***</w:t>
      </w:r>
      <w:r w:rsidRPr="007F5AD0">
        <w:rPr>
          <w:rFonts w:ascii="Arial" w:hAnsi="Arial" w:cs="Arial"/>
          <w:bCs/>
          <w:i/>
          <w:iCs/>
          <w:sz w:val="22"/>
          <w:szCs w:val="22"/>
        </w:rPr>
        <w:t xml:space="preserve">P </w:t>
      </w:r>
      <w:r w:rsidRPr="007F5AD0">
        <w:rPr>
          <w:rFonts w:ascii="Arial" w:hAnsi="Arial" w:cs="Arial"/>
          <w:bCs/>
          <w:sz w:val="22"/>
          <w:szCs w:val="22"/>
        </w:rPr>
        <w:t>&lt; 0.001 (Two-way ANOVA followed by Bonferroni post-tests). (</w:t>
      </w:r>
      <w:r w:rsidR="00EA3132" w:rsidRPr="007F5AD0">
        <w:rPr>
          <w:rFonts w:ascii="Arial" w:hAnsi="Arial" w:cs="Arial" w:hint="eastAsia"/>
          <w:bCs/>
          <w:sz w:val="22"/>
          <w:szCs w:val="22"/>
        </w:rPr>
        <w:t>e</w:t>
      </w:r>
      <w:r w:rsidRPr="007F5AD0">
        <w:rPr>
          <w:rFonts w:ascii="Arial" w:hAnsi="Arial" w:cs="Arial"/>
          <w:bCs/>
          <w:sz w:val="22"/>
          <w:szCs w:val="22"/>
        </w:rPr>
        <w:t>) Dose-response curves of the above cells treated with graded concentrations of paclitaxel. IC50 values were obtained by using logistic nonlinear regression analyzing model of MicroCal Origin 8.5 software. Error bars denote S</w:t>
      </w:r>
      <w:r w:rsidRPr="007F5AD0">
        <w:rPr>
          <w:rFonts w:ascii="Arial" w:hAnsi="Arial" w:cs="Arial" w:hint="eastAsia"/>
          <w:bCs/>
          <w:sz w:val="22"/>
          <w:szCs w:val="22"/>
        </w:rPr>
        <w:t>.</w:t>
      </w:r>
      <w:r w:rsidRPr="007F5AD0">
        <w:rPr>
          <w:rFonts w:ascii="Arial" w:hAnsi="Arial" w:cs="Arial"/>
          <w:bCs/>
          <w:sz w:val="22"/>
          <w:szCs w:val="22"/>
        </w:rPr>
        <w:t>D</w:t>
      </w:r>
      <w:r w:rsidRPr="007F5AD0">
        <w:rPr>
          <w:rFonts w:ascii="Arial" w:hAnsi="Arial" w:cs="Arial" w:hint="eastAsia"/>
          <w:bCs/>
          <w:sz w:val="22"/>
          <w:szCs w:val="22"/>
        </w:rPr>
        <w:t>.</w:t>
      </w:r>
      <w:r w:rsidRPr="007F5AD0">
        <w:rPr>
          <w:rFonts w:ascii="Arial" w:hAnsi="Arial" w:cs="Arial"/>
          <w:bCs/>
          <w:sz w:val="22"/>
          <w:szCs w:val="22"/>
        </w:rPr>
        <w:t xml:space="preserve"> from two independent experiments, each done in quadruplicate. *</w:t>
      </w:r>
      <w:r w:rsidRPr="007F5AD0">
        <w:rPr>
          <w:rFonts w:ascii="Arial" w:hAnsi="Arial" w:cs="Arial"/>
          <w:bCs/>
          <w:i/>
          <w:iCs/>
          <w:sz w:val="22"/>
          <w:szCs w:val="22"/>
        </w:rPr>
        <w:t xml:space="preserve">P </w:t>
      </w:r>
      <w:r w:rsidRPr="007F5AD0">
        <w:rPr>
          <w:rFonts w:ascii="Arial" w:hAnsi="Arial" w:cs="Arial"/>
          <w:bCs/>
          <w:sz w:val="22"/>
          <w:szCs w:val="22"/>
        </w:rPr>
        <w:t>&lt; 0.05 and **</w:t>
      </w:r>
      <w:r w:rsidRPr="007F5AD0">
        <w:rPr>
          <w:rFonts w:ascii="Arial" w:hAnsi="Arial" w:cs="Arial"/>
          <w:bCs/>
          <w:i/>
          <w:iCs/>
          <w:sz w:val="22"/>
          <w:szCs w:val="22"/>
        </w:rPr>
        <w:t xml:space="preserve">P </w:t>
      </w:r>
      <w:r w:rsidRPr="007F5AD0">
        <w:rPr>
          <w:rFonts w:ascii="Arial" w:hAnsi="Arial" w:cs="Arial"/>
          <w:bCs/>
          <w:sz w:val="22"/>
          <w:szCs w:val="22"/>
        </w:rPr>
        <w:t>&lt; 0.01 (One-way ANOVA followed by Tukey’s test).</w:t>
      </w:r>
    </w:p>
    <w:p w:rsidR="00BE7288" w:rsidRPr="007F5AD0" w:rsidRDefault="00BE7288" w:rsidP="001F15C6">
      <w:pPr>
        <w:spacing w:line="480" w:lineRule="auto"/>
        <w:jc w:val="left"/>
        <w:rPr>
          <w:rFonts w:ascii="Arial" w:hAnsi="Arial" w:cs="Arial"/>
          <w:bCs/>
          <w:sz w:val="22"/>
          <w:szCs w:val="22"/>
        </w:rPr>
      </w:pPr>
    </w:p>
    <w:p w:rsidR="00BE7288" w:rsidRPr="007F5AD0" w:rsidRDefault="00EA3132"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4</w:t>
      </w:r>
      <w:r w:rsidR="00703F18" w:rsidRPr="007F5AD0">
        <w:rPr>
          <w:rFonts w:ascii="Arial" w:hAnsi="Arial" w:cs="Arial"/>
          <w:b/>
          <w:sz w:val="22"/>
          <w:szCs w:val="22"/>
        </w:rPr>
        <w:t>.</w:t>
      </w:r>
      <w:r w:rsidRPr="007F5AD0">
        <w:rPr>
          <w:rFonts w:ascii="Arial" w:hAnsi="Arial" w:cs="Arial" w:hint="eastAsia"/>
          <w:bCs/>
          <w:sz w:val="22"/>
          <w:szCs w:val="22"/>
        </w:rPr>
        <w:t xml:space="preserve"> </w:t>
      </w:r>
      <w:r w:rsidR="00BE7288" w:rsidRPr="007F5AD0">
        <w:rPr>
          <w:rFonts w:ascii="Arial" w:hAnsi="Arial" w:cs="Arial"/>
          <w:bCs/>
          <w:sz w:val="22"/>
          <w:szCs w:val="22"/>
        </w:rPr>
        <w:t xml:space="preserve">shRNA silencing of ZAK gene in MDA-MB-231 cells has no influence on subcutaneous tumor formation in immunodeficient mice. </w:t>
      </w:r>
      <w:r w:rsidR="00BE7288" w:rsidRPr="007F5AD0">
        <w:rPr>
          <w:rFonts w:ascii="Arial" w:hAnsi="Arial" w:cs="Arial"/>
          <w:bCs/>
          <w:sz w:val="22"/>
          <w:szCs w:val="22"/>
        </w:rPr>
        <w:lastRenderedPageBreak/>
        <w:t xml:space="preserve">Representative 2D bioluminescence images of nude mice subcutaneously transplanted with MDA-MB-231-shCtrl cells or MDA-MB-231-shZAK2 cells (n=6). Changes in tumor growth were calculated and expressed as fold changes of bioluminescence values at different time points relative to that of Day 0. </w:t>
      </w:r>
      <w:r w:rsidRPr="007F5AD0">
        <w:rPr>
          <w:rFonts w:ascii="Arial" w:hAnsi="Arial" w:cs="Arial" w:hint="eastAsia"/>
          <w:bCs/>
          <w:sz w:val="22"/>
          <w:szCs w:val="22"/>
        </w:rPr>
        <w:t xml:space="preserve">Data are represented as mean </w:t>
      </w:r>
      <w:r w:rsidRPr="007F5AD0">
        <w:rPr>
          <w:rFonts w:ascii="Arial" w:hAnsi="Arial" w:cs="Arial"/>
          <w:bCs/>
          <w:sz w:val="22"/>
          <w:szCs w:val="22"/>
        </w:rPr>
        <w:t>±</w:t>
      </w:r>
      <w:r w:rsidRPr="007F5AD0">
        <w:rPr>
          <w:rFonts w:ascii="Arial" w:hAnsi="Arial" w:cs="Arial" w:hint="eastAsia"/>
          <w:bCs/>
          <w:sz w:val="22"/>
          <w:szCs w:val="22"/>
        </w:rPr>
        <w:t xml:space="preserve"> S.D. </w:t>
      </w:r>
      <w:r w:rsidR="00BE7288" w:rsidRPr="007F5AD0">
        <w:rPr>
          <w:rFonts w:ascii="Arial" w:hAnsi="Arial" w:cs="Arial"/>
          <w:bCs/>
          <w:sz w:val="22"/>
          <w:szCs w:val="22"/>
        </w:rPr>
        <w:t>No significant difference was found between the two groups, according to Two-way ANOVA followed by Bonferroni post-tests.</w:t>
      </w:r>
    </w:p>
    <w:p w:rsidR="00BE7288" w:rsidRPr="007F5AD0" w:rsidRDefault="00BE7288" w:rsidP="001F15C6">
      <w:pPr>
        <w:spacing w:line="480" w:lineRule="auto"/>
        <w:jc w:val="left"/>
        <w:rPr>
          <w:rFonts w:ascii="Arial" w:hAnsi="Arial" w:cs="Arial"/>
          <w:bCs/>
          <w:sz w:val="22"/>
          <w:szCs w:val="22"/>
        </w:rPr>
      </w:pPr>
    </w:p>
    <w:p w:rsidR="00BE7288" w:rsidRPr="007F5AD0" w:rsidRDefault="00EA3132"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5</w:t>
      </w:r>
      <w:r w:rsidR="00703F18" w:rsidRPr="007F5AD0">
        <w:rPr>
          <w:rFonts w:ascii="Arial" w:hAnsi="Arial" w:cs="Arial"/>
          <w:b/>
          <w:sz w:val="22"/>
          <w:szCs w:val="22"/>
        </w:rPr>
        <w:t>.</w:t>
      </w:r>
      <w:r w:rsidR="00BE7288" w:rsidRPr="007F5AD0">
        <w:rPr>
          <w:rFonts w:ascii="Arial" w:hAnsi="Arial" w:cs="Arial"/>
          <w:sz w:val="22"/>
          <w:szCs w:val="22"/>
        </w:rPr>
        <w:t xml:space="preserve"> Cross-cancer </w:t>
      </w:r>
      <w:r w:rsidR="00BE7288" w:rsidRPr="007F5AD0">
        <w:rPr>
          <w:rFonts w:ascii="Arial" w:hAnsi="Arial" w:cs="Arial"/>
          <w:bCs/>
          <w:sz w:val="22"/>
          <w:szCs w:val="22"/>
        </w:rPr>
        <w:t>alteration summary for ZAK obtained from cBioPortal TCAA database (</w:t>
      </w:r>
      <w:hyperlink r:id="rId9" w:history="1">
        <w:r w:rsidR="00BE7288" w:rsidRPr="007F5AD0">
          <w:rPr>
            <w:rStyle w:val="Hyperlink"/>
            <w:rFonts w:ascii="Arial" w:hAnsi="Arial" w:cs="Arial"/>
            <w:bCs/>
            <w:color w:val="auto"/>
            <w:sz w:val="22"/>
            <w:szCs w:val="22"/>
          </w:rPr>
          <w:t>www.cbioportal.org</w:t>
        </w:r>
      </w:hyperlink>
      <w:r w:rsidR="00BE7288" w:rsidRPr="007F5AD0">
        <w:rPr>
          <w:rFonts w:ascii="Arial" w:hAnsi="Arial" w:cs="Arial"/>
          <w:bCs/>
          <w:sz w:val="22"/>
          <w:szCs w:val="22"/>
        </w:rPr>
        <w:t xml:space="preserve">) in August, 2016. </w:t>
      </w:r>
    </w:p>
    <w:p w:rsidR="00BE7288" w:rsidRPr="007F5AD0" w:rsidRDefault="00BE7288" w:rsidP="001F15C6">
      <w:pPr>
        <w:spacing w:line="480" w:lineRule="auto"/>
        <w:jc w:val="left"/>
        <w:rPr>
          <w:rFonts w:ascii="Arial" w:hAnsi="Arial" w:cs="Arial"/>
          <w:bCs/>
          <w:sz w:val="22"/>
          <w:szCs w:val="22"/>
        </w:rPr>
      </w:pPr>
    </w:p>
    <w:p w:rsidR="00BE7288" w:rsidRPr="007F5AD0" w:rsidRDefault="00EA3132"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6</w:t>
      </w:r>
      <w:r w:rsidR="00703F18" w:rsidRPr="007F5AD0">
        <w:rPr>
          <w:rFonts w:ascii="Arial" w:hAnsi="Arial" w:cs="Arial"/>
          <w:b/>
          <w:sz w:val="22"/>
          <w:szCs w:val="22"/>
        </w:rPr>
        <w:t>.</w:t>
      </w:r>
      <w:r w:rsidR="00BE7288" w:rsidRPr="007F5AD0">
        <w:rPr>
          <w:rFonts w:ascii="Arial" w:hAnsi="Arial" w:cs="Arial"/>
          <w:sz w:val="22"/>
          <w:szCs w:val="22"/>
        </w:rPr>
        <w:t xml:space="preserve"> </w:t>
      </w:r>
      <w:r w:rsidR="00BE7288" w:rsidRPr="007F5AD0">
        <w:rPr>
          <w:rFonts w:ascii="Arial" w:hAnsi="Arial" w:cs="Arial"/>
          <w:bCs/>
          <w:sz w:val="22"/>
          <w:szCs w:val="22"/>
        </w:rPr>
        <w:t>ZAK overexpression is significantly associated with poor prognosis (</w:t>
      </w:r>
      <w:r w:rsidRPr="007F5AD0">
        <w:rPr>
          <w:rFonts w:ascii="Arial" w:hAnsi="Arial" w:cs="Arial" w:hint="eastAsia"/>
          <w:bCs/>
          <w:sz w:val="22"/>
          <w:szCs w:val="22"/>
        </w:rPr>
        <w:t>a</w:t>
      </w:r>
      <w:r w:rsidR="00BE7288" w:rsidRPr="007F5AD0">
        <w:rPr>
          <w:rFonts w:ascii="Arial" w:hAnsi="Arial" w:cs="Arial"/>
          <w:bCs/>
          <w:sz w:val="22"/>
          <w:szCs w:val="22"/>
        </w:rPr>
        <w:t>) Comparison of ZAK mRNA expression between altered group and unaltered group in 3 TCGA datasets. (</w:t>
      </w:r>
      <w:r w:rsidRPr="007F5AD0">
        <w:rPr>
          <w:rFonts w:ascii="Arial" w:hAnsi="Arial" w:cs="Arial" w:hint="eastAsia"/>
          <w:bCs/>
          <w:sz w:val="22"/>
          <w:szCs w:val="22"/>
        </w:rPr>
        <w:t>b</w:t>
      </w:r>
      <w:r w:rsidR="00BE7288" w:rsidRPr="007F5AD0">
        <w:rPr>
          <w:rFonts w:ascii="Arial" w:hAnsi="Arial" w:cs="Arial"/>
          <w:bCs/>
          <w:sz w:val="22"/>
          <w:szCs w:val="22"/>
        </w:rPr>
        <w:t>) Kaplan-Meier survival curves depending on ZAK mRNA alterations in above TCGA datasets. All plots and statistical analyses in (</w:t>
      </w:r>
      <w:r w:rsidRPr="007F5AD0">
        <w:rPr>
          <w:rFonts w:ascii="Arial" w:hAnsi="Arial" w:cs="Arial" w:hint="eastAsia"/>
          <w:bCs/>
          <w:sz w:val="22"/>
          <w:szCs w:val="22"/>
        </w:rPr>
        <w:t>a</w:t>
      </w:r>
      <w:r w:rsidR="00BE7288" w:rsidRPr="007F5AD0">
        <w:rPr>
          <w:rFonts w:ascii="Arial" w:hAnsi="Arial" w:cs="Arial"/>
          <w:bCs/>
          <w:sz w:val="22"/>
          <w:szCs w:val="22"/>
        </w:rPr>
        <w:t>) and (</w:t>
      </w:r>
      <w:r w:rsidRPr="007F5AD0">
        <w:rPr>
          <w:rFonts w:ascii="Arial" w:hAnsi="Arial" w:cs="Arial" w:hint="eastAsia"/>
          <w:bCs/>
          <w:sz w:val="22"/>
          <w:szCs w:val="22"/>
        </w:rPr>
        <w:t>b</w:t>
      </w:r>
      <w:r w:rsidR="00BE7288" w:rsidRPr="007F5AD0">
        <w:rPr>
          <w:rFonts w:ascii="Arial" w:hAnsi="Arial" w:cs="Arial"/>
          <w:bCs/>
          <w:sz w:val="22"/>
          <w:szCs w:val="22"/>
        </w:rPr>
        <w:t>) were obtained from cBioPortal TCGA database (</w:t>
      </w:r>
      <w:hyperlink r:id="rId10" w:history="1">
        <w:r w:rsidR="00BE7288" w:rsidRPr="007F5AD0">
          <w:rPr>
            <w:rStyle w:val="Hyperlink"/>
            <w:rFonts w:ascii="Arial" w:hAnsi="Arial" w:cs="Arial"/>
            <w:bCs/>
            <w:color w:val="auto"/>
            <w:sz w:val="22"/>
            <w:szCs w:val="22"/>
          </w:rPr>
          <w:t>www.cbioportal.org</w:t>
        </w:r>
      </w:hyperlink>
      <w:r w:rsidR="00BE7288" w:rsidRPr="007F5AD0">
        <w:rPr>
          <w:rFonts w:ascii="Arial" w:hAnsi="Arial" w:cs="Arial"/>
          <w:bCs/>
          <w:sz w:val="22"/>
          <w:szCs w:val="22"/>
        </w:rPr>
        <w:t>) in August, 2016.</w:t>
      </w:r>
    </w:p>
    <w:p w:rsidR="00BE7288" w:rsidRPr="007F5AD0" w:rsidRDefault="00BE7288" w:rsidP="001F15C6">
      <w:pPr>
        <w:spacing w:line="480" w:lineRule="auto"/>
        <w:jc w:val="left"/>
        <w:rPr>
          <w:rFonts w:ascii="Arial" w:hAnsi="Arial" w:cs="Arial"/>
          <w:bCs/>
          <w:sz w:val="22"/>
          <w:szCs w:val="22"/>
        </w:rPr>
      </w:pPr>
    </w:p>
    <w:p w:rsidR="006D2F2E" w:rsidRPr="007F5AD0" w:rsidRDefault="00EA3132" w:rsidP="001F15C6">
      <w:pPr>
        <w:spacing w:line="480" w:lineRule="auto"/>
        <w:jc w:val="left"/>
        <w:rPr>
          <w:rFonts w:ascii="Arial" w:hAnsi="Arial" w:cs="Arial"/>
          <w:bCs/>
          <w:sz w:val="22"/>
          <w:szCs w:val="22"/>
        </w:rPr>
      </w:pPr>
      <w:r w:rsidRPr="007F5AD0">
        <w:rPr>
          <w:rFonts w:ascii="Arial" w:hAnsi="Arial" w:cs="Arial" w:hint="eastAsia"/>
          <w:b/>
          <w:sz w:val="22"/>
          <w:szCs w:val="22"/>
        </w:rPr>
        <w:t xml:space="preserve">Supplementary </w:t>
      </w:r>
      <w:r w:rsidRPr="007F5AD0">
        <w:rPr>
          <w:rFonts w:ascii="Arial" w:hAnsi="Arial" w:cs="Arial"/>
          <w:b/>
          <w:sz w:val="22"/>
          <w:szCs w:val="22"/>
        </w:rPr>
        <w:t>Figure S</w:t>
      </w:r>
      <w:r w:rsidRPr="007F5AD0">
        <w:rPr>
          <w:rFonts w:ascii="Arial" w:hAnsi="Arial" w:cs="Arial" w:hint="eastAsia"/>
          <w:b/>
          <w:sz w:val="22"/>
          <w:szCs w:val="22"/>
        </w:rPr>
        <w:t>7</w:t>
      </w:r>
      <w:r w:rsidR="00703F18" w:rsidRPr="007F5AD0">
        <w:rPr>
          <w:rFonts w:ascii="Arial" w:hAnsi="Arial" w:cs="Arial"/>
          <w:b/>
          <w:sz w:val="22"/>
          <w:szCs w:val="22"/>
        </w:rPr>
        <w:t>.</w:t>
      </w:r>
      <w:r w:rsidR="00BE7288" w:rsidRPr="007F5AD0">
        <w:rPr>
          <w:rFonts w:ascii="Arial" w:hAnsi="Arial" w:cs="Arial"/>
          <w:bCs/>
          <w:sz w:val="22"/>
          <w:szCs w:val="22"/>
        </w:rPr>
        <w:t>Combination of ZAK with clinicopathological parameters results in more accurate stratification and prognosis of breast invasive cancer cases within the TMA dataset. (</w:t>
      </w:r>
      <w:r w:rsidRPr="007F5AD0">
        <w:rPr>
          <w:rFonts w:ascii="Arial" w:hAnsi="Arial" w:cs="Arial" w:hint="eastAsia"/>
          <w:bCs/>
          <w:sz w:val="22"/>
          <w:szCs w:val="22"/>
        </w:rPr>
        <w:t>a</w:t>
      </w:r>
      <w:r w:rsidR="00BE7288" w:rsidRPr="007F5AD0">
        <w:rPr>
          <w:rFonts w:ascii="Arial" w:hAnsi="Arial" w:cs="Arial"/>
          <w:bCs/>
          <w:sz w:val="22"/>
          <w:szCs w:val="22"/>
        </w:rPr>
        <w:t>) Kaplan-Meier overall survival curves depending on individual or combined clinicopathological parameters. (</w:t>
      </w:r>
      <w:r w:rsidRPr="007F5AD0">
        <w:rPr>
          <w:rFonts w:ascii="Arial" w:hAnsi="Arial" w:cs="Arial" w:hint="eastAsia"/>
          <w:bCs/>
          <w:sz w:val="22"/>
          <w:szCs w:val="22"/>
        </w:rPr>
        <w:t>b</w:t>
      </w:r>
      <w:r w:rsidR="00BE7288" w:rsidRPr="007F5AD0">
        <w:rPr>
          <w:rFonts w:ascii="Arial" w:hAnsi="Arial" w:cs="Arial"/>
          <w:bCs/>
          <w:sz w:val="22"/>
          <w:szCs w:val="22"/>
        </w:rPr>
        <w:t xml:space="preserve">) Kaplan-Meier overall survival curves depending on the combination of ZAK with clinicopathological </w:t>
      </w:r>
      <w:r w:rsidR="00BE7288" w:rsidRPr="007F5AD0">
        <w:rPr>
          <w:rFonts w:ascii="Arial" w:hAnsi="Arial" w:cs="Arial"/>
          <w:bCs/>
          <w:sz w:val="22"/>
          <w:szCs w:val="22"/>
        </w:rPr>
        <w:lastRenderedPageBreak/>
        <w:t xml:space="preserve">parameters. The </w:t>
      </w:r>
      <w:r w:rsidR="00BE7288" w:rsidRPr="007F5AD0">
        <w:rPr>
          <w:rFonts w:ascii="Arial" w:hAnsi="Arial" w:cs="Arial"/>
          <w:bCs/>
          <w:i/>
          <w:sz w:val="22"/>
          <w:szCs w:val="22"/>
        </w:rPr>
        <w:t>P</w:t>
      </w:r>
      <w:r w:rsidR="00BE7288" w:rsidRPr="007F5AD0">
        <w:rPr>
          <w:rFonts w:ascii="Arial" w:hAnsi="Arial" w:cs="Arial"/>
          <w:bCs/>
          <w:sz w:val="22"/>
          <w:szCs w:val="22"/>
        </w:rPr>
        <w:t xml:space="preserve">-value was calculated using the Log-rank test. AUCs obtained from ROC analysis represented the prognostic accuracy. </w:t>
      </w:r>
    </w:p>
    <w:p w:rsidR="00313B43" w:rsidRPr="007F5AD0" w:rsidRDefault="00313B43" w:rsidP="001F15C6">
      <w:pPr>
        <w:spacing w:line="480" w:lineRule="auto"/>
        <w:jc w:val="left"/>
        <w:rPr>
          <w:rFonts w:ascii="Arial" w:hAnsi="Arial" w:cs="Arial"/>
          <w:bCs/>
          <w:sz w:val="22"/>
          <w:szCs w:val="22"/>
        </w:rPr>
      </w:pPr>
    </w:p>
    <w:p w:rsidR="007B121D" w:rsidRPr="007F5AD0" w:rsidRDefault="00AA5AA5" w:rsidP="001F15C6">
      <w:pPr>
        <w:spacing w:line="480" w:lineRule="auto"/>
        <w:jc w:val="left"/>
        <w:rPr>
          <w:rFonts w:ascii="Arial" w:hAnsi="Arial" w:cs="Arial"/>
          <w:sz w:val="22"/>
          <w:szCs w:val="22"/>
        </w:rPr>
      </w:pPr>
      <w:r w:rsidRPr="007F5AD0">
        <w:rPr>
          <w:rFonts w:ascii="Arial" w:hAnsi="Arial" w:cs="Arial"/>
          <w:b/>
          <w:sz w:val="22"/>
          <w:szCs w:val="22"/>
        </w:rPr>
        <w:t>Supplementary Reference</w:t>
      </w:r>
    </w:p>
    <w:p w:rsidR="00D536E4" w:rsidRPr="007F5AD0" w:rsidRDefault="007B121D" w:rsidP="001F15C6">
      <w:pPr>
        <w:spacing w:line="480" w:lineRule="auto"/>
        <w:ind w:left="720" w:hanging="720"/>
        <w:jc w:val="left"/>
        <w:rPr>
          <w:rFonts w:ascii="Arial" w:hAnsi="Arial" w:cs="Arial"/>
          <w:noProof/>
          <w:sz w:val="22"/>
          <w:szCs w:val="22"/>
        </w:rPr>
      </w:pPr>
      <w:r w:rsidRPr="007F5AD0">
        <w:rPr>
          <w:rFonts w:ascii="Arial" w:hAnsi="Arial" w:cs="Arial"/>
          <w:sz w:val="22"/>
          <w:szCs w:val="22"/>
        </w:rPr>
        <w:fldChar w:fldCharType="begin"/>
      </w:r>
      <w:r w:rsidRPr="007F5AD0">
        <w:rPr>
          <w:rFonts w:ascii="Arial" w:hAnsi="Arial" w:cs="Arial"/>
          <w:sz w:val="22"/>
          <w:szCs w:val="22"/>
        </w:rPr>
        <w:instrText xml:space="preserve"> ADDIN EN.REFLIST </w:instrText>
      </w:r>
      <w:r w:rsidRPr="007F5AD0">
        <w:rPr>
          <w:rFonts w:ascii="Arial" w:hAnsi="Arial" w:cs="Arial"/>
          <w:sz w:val="22"/>
          <w:szCs w:val="22"/>
        </w:rPr>
        <w:fldChar w:fldCharType="separate"/>
      </w:r>
      <w:bookmarkStart w:id="1" w:name="_ENREF_1"/>
      <w:r w:rsidR="00D536E4" w:rsidRPr="007F5AD0">
        <w:rPr>
          <w:rFonts w:ascii="Arial" w:hAnsi="Arial" w:cs="Arial"/>
          <w:noProof/>
          <w:sz w:val="22"/>
          <w:szCs w:val="22"/>
        </w:rPr>
        <w:t>1.</w:t>
      </w:r>
      <w:r w:rsidR="00D536E4" w:rsidRPr="007F5AD0">
        <w:rPr>
          <w:rFonts w:ascii="Arial" w:hAnsi="Arial" w:cs="Arial"/>
          <w:noProof/>
          <w:sz w:val="22"/>
          <w:szCs w:val="22"/>
        </w:rPr>
        <w:tab/>
        <w:t>Elenbaas B, Spirio L, Koerner F, Fleming MD, Zimonjic DB, Donaher JL</w:t>
      </w:r>
      <w:r w:rsidR="00D536E4" w:rsidRPr="007F5AD0">
        <w:rPr>
          <w:rFonts w:ascii="Arial" w:hAnsi="Arial" w:cs="Arial"/>
          <w:i/>
          <w:noProof/>
          <w:sz w:val="22"/>
          <w:szCs w:val="22"/>
        </w:rPr>
        <w:t xml:space="preserve"> et al.</w:t>
      </w:r>
      <w:r w:rsidR="00D536E4" w:rsidRPr="007F5AD0">
        <w:rPr>
          <w:rFonts w:ascii="Arial" w:hAnsi="Arial" w:cs="Arial"/>
          <w:noProof/>
          <w:sz w:val="22"/>
          <w:szCs w:val="22"/>
        </w:rPr>
        <w:t xml:space="preserve"> Human breast cancer cells generated by oncogenic transformation of primary mammary epithelial cells. </w:t>
      </w:r>
      <w:r w:rsidR="00D536E4" w:rsidRPr="007F5AD0">
        <w:rPr>
          <w:rFonts w:ascii="Arial" w:hAnsi="Arial" w:cs="Arial"/>
          <w:i/>
          <w:noProof/>
          <w:sz w:val="22"/>
          <w:szCs w:val="22"/>
        </w:rPr>
        <w:t>Genes Dev</w:t>
      </w:r>
      <w:r w:rsidR="00D536E4" w:rsidRPr="007F5AD0">
        <w:rPr>
          <w:rFonts w:ascii="Arial" w:hAnsi="Arial" w:cs="Arial"/>
          <w:noProof/>
          <w:sz w:val="22"/>
          <w:szCs w:val="22"/>
        </w:rPr>
        <w:t xml:space="preserve"> 2001; </w:t>
      </w:r>
      <w:r w:rsidR="00D536E4" w:rsidRPr="007F5AD0">
        <w:rPr>
          <w:rFonts w:ascii="Arial" w:hAnsi="Arial" w:cs="Arial"/>
          <w:b/>
          <w:noProof/>
          <w:sz w:val="22"/>
          <w:szCs w:val="22"/>
        </w:rPr>
        <w:t>15:</w:t>
      </w:r>
      <w:r w:rsidR="00D536E4" w:rsidRPr="007F5AD0">
        <w:rPr>
          <w:rFonts w:ascii="Arial" w:hAnsi="Arial" w:cs="Arial"/>
          <w:noProof/>
          <w:sz w:val="22"/>
          <w:szCs w:val="22"/>
        </w:rPr>
        <w:t xml:space="preserve"> 50-65.</w:t>
      </w:r>
    </w:p>
    <w:p w:rsidR="00D536E4" w:rsidRPr="007F5AD0" w:rsidRDefault="00D536E4" w:rsidP="001F15C6">
      <w:pPr>
        <w:spacing w:line="480" w:lineRule="auto"/>
        <w:ind w:left="720" w:hanging="720"/>
        <w:jc w:val="left"/>
        <w:rPr>
          <w:rFonts w:ascii="Arial" w:hAnsi="Arial" w:cs="Arial"/>
          <w:noProof/>
          <w:sz w:val="22"/>
          <w:szCs w:val="22"/>
        </w:rPr>
      </w:pPr>
      <w:bookmarkStart w:id="2" w:name="_ENREF_2"/>
      <w:bookmarkEnd w:id="1"/>
      <w:r w:rsidRPr="007F5AD0">
        <w:rPr>
          <w:rFonts w:ascii="Arial" w:hAnsi="Arial" w:cs="Arial"/>
          <w:noProof/>
          <w:sz w:val="22"/>
          <w:szCs w:val="22"/>
        </w:rPr>
        <w:t>2.</w:t>
      </w:r>
      <w:r w:rsidRPr="007F5AD0">
        <w:rPr>
          <w:rFonts w:ascii="Arial" w:hAnsi="Arial" w:cs="Arial"/>
          <w:noProof/>
          <w:sz w:val="22"/>
          <w:szCs w:val="22"/>
        </w:rPr>
        <w:tab/>
        <w:t>Pettaway CA, Pathak S, Greene G, Ramirez E, Wilson MR, Killion JJ</w:t>
      </w:r>
      <w:r w:rsidRPr="007F5AD0">
        <w:rPr>
          <w:rFonts w:ascii="Arial" w:hAnsi="Arial" w:cs="Arial"/>
          <w:i/>
          <w:noProof/>
          <w:sz w:val="22"/>
          <w:szCs w:val="22"/>
        </w:rPr>
        <w:t xml:space="preserve"> et al.</w:t>
      </w:r>
      <w:r w:rsidRPr="007F5AD0">
        <w:rPr>
          <w:rFonts w:ascii="Arial" w:hAnsi="Arial" w:cs="Arial"/>
          <w:noProof/>
          <w:sz w:val="22"/>
          <w:szCs w:val="22"/>
        </w:rPr>
        <w:t xml:space="preserve"> Selection of highly metastatic variants of different human prostatic carcinomas using orthotopic implantation in nude mice. </w:t>
      </w:r>
      <w:r w:rsidRPr="007F5AD0">
        <w:rPr>
          <w:rFonts w:ascii="Arial" w:hAnsi="Arial" w:cs="Arial"/>
          <w:i/>
          <w:noProof/>
          <w:sz w:val="22"/>
          <w:szCs w:val="22"/>
        </w:rPr>
        <w:t>Clin Cancer Res</w:t>
      </w:r>
      <w:r w:rsidRPr="007F5AD0">
        <w:rPr>
          <w:rFonts w:ascii="Arial" w:hAnsi="Arial" w:cs="Arial"/>
          <w:noProof/>
          <w:sz w:val="22"/>
          <w:szCs w:val="22"/>
        </w:rPr>
        <w:t xml:space="preserve"> 1996; </w:t>
      </w:r>
      <w:r w:rsidRPr="007F5AD0">
        <w:rPr>
          <w:rFonts w:ascii="Arial" w:hAnsi="Arial" w:cs="Arial"/>
          <w:b/>
          <w:noProof/>
          <w:sz w:val="22"/>
          <w:szCs w:val="22"/>
        </w:rPr>
        <w:t>2:</w:t>
      </w:r>
      <w:r w:rsidRPr="007F5AD0">
        <w:rPr>
          <w:rFonts w:ascii="Arial" w:hAnsi="Arial" w:cs="Arial"/>
          <w:noProof/>
          <w:sz w:val="22"/>
          <w:szCs w:val="22"/>
        </w:rPr>
        <w:t xml:space="preserve"> 1627-1636.</w:t>
      </w:r>
    </w:p>
    <w:p w:rsidR="00D536E4" w:rsidRPr="007F5AD0" w:rsidRDefault="00D536E4" w:rsidP="001F15C6">
      <w:pPr>
        <w:spacing w:line="480" w:lineRule="auto"/>
        <w:ind w:left="720" w:hanging="720"/>
        <w:jc w:val="left"/>
        <w:rPr>
          <w:rFonts w:ascii="Arial" w:hAnsi="Arial" w:cs="Arial"/>
          <w:noProof/>
          <w:sz w:val="22"/>
          <w:szCs w:val="22"/>
        </w:rPr>
      </w:pPr>
      <w:bookmarkStart w:id="3" w:name="_ENREF_3"/>
      <w:bookmarkEnd w:id="2"/>
      <w:r w:rsidRPr="007F5AD0">
        <w:rPr>
          <w:rFonts w:ascii="Arial" w:hAnsi="Arial" w:cs="Arial"/>
          <w:noProof/>
          <w:sz w:val="22"/>
          <w:szCs w:val="22"/>
        </w:rPr>
        <w:t>3.</w:t>
      </w:r>
      <w:r w:rsidRPr="007F5AD0">
        <w:rPr>
          <w:rFonts w:ascii="Arial" w:hAnsi="Arial" w:cs="Arial"/>
          <w:noProof/>
          <w:sz w:val="22"/>
          <w:szCs w:val="22"/>
        </w:rPr>
        <w:tab/>
        <w:t>Li Y, Tang Y, Ye L, Liu B, Liu K, Chen J</w:t>
      </w:r>
      <w:r w:rsidRPr="007F5AD0">
        <w:rPr>
          <w:rFonts w:ascii="Arial" w:hAnsi="Arial" w:cs="Arial"/>
          <w:i/>
          <w:noProof/>
          <w:sz w:val="22"/>
          <w:szCs w:val="22"/>
        </w:rPr>
        <w:t xml:space="preserve"> et al.</w:t>
      </w:r>
      <w:r w:rsidRPr="007F5AD0">
        <w:rPr>
          <w:rFonts w:ascii="Arial" w:hAnsi="Arial" w:cs="Arial"/>
          <w:noProof/>
          <w:sz w:val="22"/>
          <w:szCs w:val="22"/>
        </w:rPr>
        <w:t xml:space="preserve"> Establishment of a hepatocellular carcinoma cell line with unique metastatic characteristics through in vivo selection and screening for metastasis-related genes through cDNA microarray. </w:t>
      </w:r>
      <w:r w:rsidRPr="007F5AD0">
        <w:rPr>
          <w:rFonts w:ascii="Arial" w:hAnsi="Arial" w:cs="Arial"/>
          <w:i/>
          <w:noProof/>
          <w:sz w:val="22"/>
          <w:szCs w:val="22"/>
        </w:rPr>
        <w:t>J Cancer Res Clin Oncol</w:t>
      </w:r>
      <w:r w:rsidRPr="007F5AD0">
        <w:rPr>
          <w:rFonts w:ascii="Arial" w:hAnsi="Arial" w:cs="Arial"/>
          <w:noProof/>
          <w:sz w:val="22"/>
          <w:szCs w:val="22"/>
        </w:rPr>
        <w:t xml:space="preserve"> 2003; </w:t>
      </w:r>
      <w:r w:rsidRPr="007F5AD0">
        <w:rPr>
          <w:rFonts w:ascii="Arial" w:hAnsi="Arial" w:cs="Arial"/>
          <w:b/>
          <w:noProof/>
          <w:sz w:val="22"/>
          <w:szCs w:val="22"/>
        </w:rPr>
        <w:t>129:</w:t>
      </w:r>
      <w:r w:rsidRPr="007F5AD0">
        <w:rPr>
          <w:rFonts w:ascii="Arial" w:hAnsi="Arial" w:cs="Arial"/>
          <w:noProof/>
          <w:sz w:val="22"/>
          <w:szCs w:val="22"/>
        </w:rPr>
        <w:t xml:space="preserve"> 43-51.</w:t>
      </w:r>
    </w:p>
    <w:p w:rsidR="00D536E4" w:rsidRPr="007F5AD0" w:rsidRDefault="00D536E4" w:rsidP="001F15C6">
      <w:pPr>
        <w:spacing w:line="480" w:lineRule="auto"/>
        <w:ind w:left="720" w:hanging="720"/>
        <w:jc w:val="left"/>
        <w:rPr>
          <w:rFonts w:ascii="Arial" w:hAnsi="Arial" w:cs="Arial"/>
          <w:noProof/>
          <w:sz w:val="22"/>
          <w:szCs w:val="22"/>
        </w:rPr>
      </w:pPr>
      <w:bookmarkStart w:id="4" w:name="_ENREF_4"/>
      <w:bookmarkEnd w:id="3"/>
      <w:r w:rsidRPr="007F5AD0">
        <w:rPr>
          <w:rFonts w:ascii="Arial" w:hAnsi="Arial" w:cs="Arial"/>
          <w:noProof/>
          <w:sz w:val="22"/>
          <w:szCs w:val="22"/>
        </w:rPr>
        <w:t>4.</w:t>
      </w:r>
      <w:r w:rsidRPr="007F5AD0">
        <w:rPr>
          <w:rFonts w:ascii="Arial" w:hAnsi="Arial" w:cs="Arial"/>
          <w:noProof/>
          <w:sz w:val="22"/>
          <w:szCs w:val="22"/>
        </w:rPr>
        <w:tab/>
        <w:t xml:space="preserve">Li LN, Zhang HD, Yuan SJ, Tian ZY, Sun ZX. Establishment and characterization of a novel human colorectal cancer cell line (CLY) metastasizing spontaneously to the liver in nude mice. </w:t>
      </w:r>
      <w:r w:rsidRPr="007F5AD0">
        <w:rPr>
          <w:rFonts w:ascii="Arial" w:hAnsi="Arial" w:cs="Arial"/>
          <w:i/>
          <w:noProof/>
          <w:sz w:val="22"/>
          <w:szCs w:val="22"/>
        </w:rPr>
        <w:t>Oncol Rep</w:t>
      </w:r>
      <w:r w:rsidRPr="007F5AD0">
        <w:rPr>
          <w:rFonts w:ascii="Arial" w:hAnsi="Arial" w:cs="Arial"/>
          <w:noProof/>
          <w:sz w:val="22"/>
          <w:szCs w:val="22"/>
        </w:rPr>
        <w:t xml:space="preserve"> 2007 </w:t>
      </w:r>
      <w:r w:rsidRPr="007F5AD0">
        <w:rPr>
          <w:rFonts w:ascii="Arial" w:hAnsi="Arial" w:cs="Arial"/>
          <w:b/>
          <w:noProof/>
          <w:sz w:val="22"/>
          <w:szCs w:val="22"/>
        </w:rPr>
        <w:t>17:</w:t>
      </w:r>
      <w:r w:rsidRPr="007F5AD0">
        <w:rPr>
          <w:rFonts w:ascii="Arial" w:hAnsi="Arial" w:cs="Arial"/>
          <w:noProof/>
          <w:sz w:val="22"/>
          <w:szCs w:val="22"/>
        </w:rPr>
        <w:t xml:space="preserve"> 835-840.</w:t>
      </w:r>
    </w:p>
    <w:p w:rsidR="00D536E4" w:rsidRPr="007F5AD0" w:rsidRDefault="00D536E4" w:rsidP="001F15C6">
      <w:pPr>
        <w:spacing w:line="480" w:lineRule="auto"/>
        <w:ind w:left="720" w:hanging="720"/>
        <w:jc w:val="left"/>
        <w:rPr>
          <w:rFonts w:ascii="Arial" w:hAnsi="Arial" w:cs="Arial"/>
          <w:noProof/>
          <w:sz w:val="22"/>
          <w:szCs w:val="22"/>
        </w:rPr>
      </w:pPr>
      <w:bookmarkStart w:id="5" w:name="_ENREF_5"/>
      <w:bookmarkEnd w:id="4"/>
      <w:r w:rsidRPr="007F5AD0">
        <w:rPr>
          <w:rFonts w:ascii="Arial" w:hAnsi="Arial" w:cs="Arial"/>
          <w:noProof/>
          <w:sz w:val="22"/>
          <w:szCs w:val="22"/>
        </w:rPr>
        <w:t>5.</w:t>
      </w:r>
      <w:r w:rsidRPr="007F5AD0">
        <w:rPr>
          <w:rFonts w:ascii="Arial" w:hAnsi="Arial" w:cs="Arial"/>
          <w:noProof/>
          <w:sz w:val="22"/>
          <w:szCs w:val="22"/>
        </w:rPr>
        <w:tab/>
        <w:t>Battula VL, Evans KW, Hollier BG, Shi Y, Marini FC, Ayyanan A</w:t>
      </w:r>
      <w:r w:rsidRPr="007F5AD0">
        <w:rPr>
          <w:rFonts w:ascii="Arial" w:hAnsi="Arial" w:cs="Arial"/>
          <w:i/>
          <w:noProof/>
          <w:sz w:val="22"/>
          <w:szCs w:val="22"/>
        </w:rPr>
        <w:t xml:space="preserve"> et al.</w:t>
      </w:r>
      <w:r w:rsidRPr="007F5AD0">
        <w:rPr>
          <w:rFonts w:ascii="Arial" w:hAnsi="Arial" w:cs="Arial"/>
          <w:noProof/>
          <w:sz w:val="22"/>
          <w:szCs w:val="22"/>
        </w:rPr>
        <w:t xml:space="preserve"> Epithelial-mesenchymal transition-derived cells exhibit multilineage differentiation potential similar to mesenchymal stem cells. </w:t>
      </w:r>
      <w:r w:rsidRPr="007F5AD0">
        <w:rPr>
          <w:rFonts w:ascii="Arial" w:hAnsi="Arial" w:cs="Arial"/>
          <w:i/>
          <w:noProof/>
          <w:sz w:val="22"/>
          <w:szCs w:val="22"/>
        </w:rPr>
        <w:t>Stem Cells</w:t>
      </w:r>
      <w:r w:rsidRPr="007F5AD0">
        <w:rPr>
          <w:rFonts w:ascii="Arial" w:hAnsi="Arial" w:cs="Arial"/>
          <w:noProof/>
          <w:sz w:val="22"/>
          <w:szCs w:val="22"/>
        </w:rPr>
        <w:t xml:space="preserve"> 2010; </w:t>
      </w:r>
      <w:r w:rsidRPr="007F5AD0">
        <w:rPr>
          <w:rFonts w:ascii="Arial" w:hAnsi="Arial" w:cs="Arial"/>
          <w:b/>
          <w:noProof/>
          <w:sz w:val="22"/>
          <w:szCs w:val="22"/>
        </w:rPr>
        <w:lastRenderedPageBreak/>
        <w:t>28:</w:t>
      </w:r>
      <w:r w:rsidRPr="007F5AD0">
        <w:rPr>
          <w:rFonts w:ascii="Arial" w:hAnsi="Arial" w:cs="Arial"/>
          <w:noProof/>
          <w:sz w:val="22"/>
          <w:szCs w:val="22"/>
        </w:rPr>
        <w:t xml:space="preserve"> 1435-1445.</w:t>
      </w:r>
    </w:p>
    <w:p w:rsidR="00D536E4" w:rsidRPr="007F5AD0" w:rsidRDefault="00D536E4" w:rsidP="001F15C6">
      <w:pPr>
        <w:spacing w:line="480" w:lineRule="auto"/>
        <w:ind w:left="720" w:hanging="720"/>
        <w:jc w:val="left"/>
        <w:rPr>
          <w:rFonts w:ascii="Arial" w:hAnsi="Arial" w:cs="Arial"/>
          <w:noProof/>
          <w:sz w:val="22"/>
          <w:szCs w:val="22"/>
        </w:rPr>
      </w:pPr>
      <w:bookmarkStart w:id="6" w:name="_ENREF_6"/>
      <w:bookmarkEnd w:id="5"/>
      <w:r w:rsidRPr="007F5AD0">
        <w:rPr>
          <w:rFonts w:ascii="Arial" w:hAnsi="Arial" w:cs="Arial"/>
          <w:noProof/>
          <w:sz w:val="22"/>
          <w:szCs w:val="22"/>
        </w:rPr>
        <w:t>6.</w:t>
      </w:r>
      <w:r w:rsidRPr="007F5AD0">
        <w:rPr>
          <w:rFonts w:ascii="Arial" w:hAnsi="Arial" w:cs="Arial"/>
          <w:noProof/>
          <w:sz w:val="22"/>
          <w:szCs w:val="22"/>
        </w:rPr>
        <w:tab/>
        <w:t xml:space="preserve">Koch TG, Heerkens T, Thomsen PD, Betts DH. Isolation of mesenchymal stem cells from equine umbilical cord blood. </w:t>
      </w:r>
      <w:r w:rsidRPr="007F5AD0">
        <w:rPr>
          <w:rFonts w:ascii="Arial" w:hAnsi="Arial" w:cs="Arial"/>
          <w:i/>
          <w:noProof/>
          <w:sz w:val="22"/>
          <w:szCs w:val="22"/>
        </w:rPr>
        <w:t>BMC Biotechnol</w:t>
      </w:r>
      <w:r w:rsidRPr="007F5AD0">
        <w:rPr>
          <w:rFonts w:ascii="Arial" w:hAnsi="Arial" w:cs="Arial"/>
          <w:noProof/>
          <w:sz w:val="22"/>
          <w:szCs w:val="22"/>
        </w:rPr>
        <w:t xml:space="preserve"> 2007; </w:t>
      </w:r>
      <w:r w:rsidRPr="007F5AD0">
        <w:rPr>
          <w:rFonts w:ascii="Arial" w:hAnsi="Arial" w:cs="Arial"/>
          <w:b/>
          <w:noProof/>
          <w:sz w:val="22"/>
          <w:szCs w:val="22"/>
        </w:rPr>
        <w:t>7:</w:t>
      </w:r>
      <w:r w:rsidRPr="007F5AD0">
        <w:rPr>
          <w:rFonts w:ascii="Arial" w:hAnsi="Arial" w:cs="Arial"/>
          <w:noProof/>
          <w:sz w:val="22"/>
          <w:szCs w:val="22"/>
        </w:rPr>
        <w:t xml:space="preserve"> 1-9.</w:t>
      </w:r>
    </w:p>
    <w:bookmarkEnd w:id="6"/>
    <w:p w:rsidR="00A25796" w:rsidRPr="007F5AD0" w:rsidRDefault="007B121D" w:rsidP="001F15C6">
      <w:pPr>
        <w:spacing w:line="480" w:lineRule="auto"/>
        <w:jc w:val="left"/>
      </w:pPr>
      <w:r w:rsidRPr="007F5AD0">
        <w:rPr>
          <w:rFonts w:ascii="Arial" w:hAnsi="Arial" w:cs="Arial"/>
          <w:sz w:val="22"/>
          <w:szCs w:val="22"/>
        </w:rPr>
        <w:fldChar w:fldCharType="end"/>
      </w:r>
    </w:p>
    <w:sectPr w:rsidR="00A25796" w:rsidRPr="007F5AD0" w:rsidSect="005D6351">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lnNumType w:countBy="1" w:restart="continuous"/>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1342" w:rsidRDefault="003D1342" w:rsidP="001F15C6">
      <w:r>
        <w:separator/>
      </w:r>
    </w:p>
  </w:endnote>
  <w:endnote w:type="continuationSeparator" w:id="0">
    <w:p w:rsidR="003D1342" w:rsidRDefault="003D1342" w:rsidP="001F15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51" w:rsidRDefault="005D635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7331805"/>
      <w:docPartObj>
        <w:docPartGallery w:val="Page Numbers (Bottom of Page)"/>
        <w:docPartUnique/>
      </w:docPartObj>
    </w:sdtPr>
    <w:sdtEndPr/>
    <w:sdtContent>
      <w:p w:rsidR="001F15C6" w:rsidRDefault="001F15C6">
        <w:pPr>
          <w:pStyle w:val="Footer"/>
          <w:jc w:val="center"/>
        </w:pPr>
        <w:r>
          <w:fldChar w:fldCharType="begin"/>
        </w:r>
        <w:r>
          <w:instrText>PAGE   \* MERGEFORMAT</w:instrText>
        </w:r>
        <w:r>
          <w:fldChar w:fldCharType="separate"/>
        </w:r>
        <w:r w:rsidR="00CD66C7" w:rsidRPr="00CD66C7">
          <w:rPr>
            <w:noProof/>
            <w:lang w:val="zh-CN"/>
          </w:rPr>
          <w:t>2</w:t>
        </w:r>
        <w:r>
          <w:fldChar w:fldCharType="end"/>
        </w:r>
      </w:p>
    </w:sdtContent>
  </w:sdt>
  <w:p w:rsidR="001F15C6" w:rsidRDefault="001F15C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51" w:rsidRDefault="005D635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1342" w:rsidRDefault="003D1342" w:rsidP="001F15C6">
      <w:r>
        <w:separator/>
      </w:r>
    </w:p>
  </w:footnote>
  <w:footnote w:type="continuationSeparator" w:id="0">
    <w:p w:rsidR="003D1342" w:rsidRDefault="003D1342" w:rsidP="001F15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51" w:rsidRDefault="005D6351" w:rsidP="005D6351">
    <w:pPr>
      <w:pStyle w:val="Header"/>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51" w:rsidRDefault="005D6351" w:rsidP="005D6351">
    <w:pPr>
      <w:pStyle w:val="Header"/>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6351" w:rsidRDefault="005D6351">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inna li">
    <w15:presenceInfo w15:providerId="None" w15:userId="linna li"/>
  </w15:person>
  <w15:person w15:author="Li, Wenliang">
    <w15:presenceInfo w15:providerId="AD" w15:userId="S-1-5-21-1292428093-879983540-839522115-49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Cell Death Diff &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2fpps0venta2r5e0wpfv55fcrdef0pvfxpst&quot;&gt;ZAK library&lt;record-ids&gt;&lt;item&gt;45&lt;/item&gt;&lt;item&gt;46&lt;/item&gt;&lt;item&gt;49&lt;/item&gt;&lt;item&gt;50&lt;/item&gt;&lt;item&gt;75&lt;/item&gt;&lt;item&gt;76&lt;/item&gt;&lt;/record-ids&gt;&lt;/item&gt;&lt;/Libraries&gt;"/>
  </w:docVars>
  <w:rsids>
    <w:rsidRoot w:val="00B30E9A"/>
    <w:rsid w:val="00032C90"/>
    <w:rsid w:val="00087030"/>
    <w:rsid w:val="001B5BB2"/>
    <w:rsid w:val="001F15C6"/>
    <w:rsid w:val="002175E7"/>
    <w:rsid w:val="00273683"/>
    <w:rsid w:val="002F3165"/>
    <w:rsid w:val="003117ED"/>
    <w:rsid w:val="00313B43"/>
    <w:rsid w:val="00341955"/>
    <w:rsid w:val="003A65EA"/>
    <w:rsid w:val="003B1120"/>
    <w:rsid w:val="003D1342"/>
    <w:rsid w:val="003D389F"/>
    <w:rsid w:val="003F055C"/>
    <w:rsid w:val="00424E7C"/>
    <w:rsid w:val="004534FC"/>
    <w:rsid w:val="00474BCE"/>
    <w:rsid w:val="004C229C"/>
    <w:rsid w:val="004D25BD"/>
    <w:rsid w:val="00522DC9"/>
    <w:rsid w:val="00584D09"/>
    <w:rsid w:val="005B724A"/>
    <w:rsid w:val="005C29FE"/>
    <w:rsid w:val="005D6351"/>
    <w:rsid w:val="00641119"/>
    <w:rsid w:val="006A3B77"/>
    <w:rsid w:val="006B1C31"/>
    <w:rsid w:val="006B48B1"/>
    <w:rsid w:val="006C3597"/>
    <w:rsid w:val="006D2F2E"/>
    <w:rsid w:val="006F106A"/>
    <w:rsid w:val="00703F18"/>
    <w:rsid w:val="0070603A"/>
    <w:rsid w:val="00731B8F"/>
    <w:rsid w:val="007B121D"/>
    <w:rsid w:val="007B65B9"/>
    <w:rsid w:val="007F5AD0"/>
    <w:rsid w:val="00801B00"/>
    <w:rsid w:val="00817D75"/>
    <w:rsid w:val="0082424C"/>
    <w:rsid w:val="00827B2B"/>
    <w:rsid w:val="008363B9"/>
    <w:rsid w:val="008930EF"/>
    <w:rsid w:val="008978CC"/>
    <w:rsid w:val="008D6FF9"/>
    <w:rsid w:val="008E092A"/>
    <w:rsid w:val="009454A9"/>
    <w:rsid w:val="00995F1E"/>
    <w:rsid w:val="009E7F79"/>
    <w:rsid w:val="00A25796"/>
    <w:rsid w:val="00A41273"/>
    <w:rsid w:val="00AA5AA5"/>
    <w:rsid w:val="00AE0E3B"/>
    <w:rsid w:val="00B0484E"/>
    <w:rsid w:val="00B30E9A"/>
    <w:rsid w:val="00B55959"/>
    <w:rsid w:val="00BE7288"/>
    <w:rsid w:val="00C20E4C"/>
    <w:rsid w:val="00C570A5"/>
    <w:rsid w:val="00C83E96"/>
    <w:rsid w:val="00CD32C9"/>
    <w:rsid w:val="00CD66C7"/>
    <w:rsid w:val="00CE1F43"/>
    <w:rsid w:val="00D208AF"/>
    <w:rsid w:val="00D536E4"/>
    <w:rsid w:val="00D85308"/>
    <w:rsid w:val="00D913AE"/>
    <w:rsid w:val="00E12E16"/>
    <w:rsid w:val="00EA3132"/>
    <w:rsid w:val="00EC16EF"/>
    <w:rsid w:val="00F668BF"/>
    <w:rsid w:val="00F75940"/>
    <w:rsid w:val="00FA79B8"/>
    <w:rsid w:val="00FB1586"/>
    <w:rsid w:val="00FE2775"/>
    <w:rsid w:val="00FF2E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273"/>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7288"/>
    <w:rPr>
      <w:color w:val="0000FF" w:themeColor="hyperlink"/>
      <w:u w:val="single"/>
    </w:rPr>
  </w:style>
  <w:style w:type="paragraph" w:styleId="Header">
    <w:name w:val="header"/>
    <w:basedOn w:val="Normal"/>
    <w:link w:val="HeaderChar"/>
    <w:uiPriority w:val="99"/>
    <w:unhideWhenUsed/>
    <w:rsid w:val="001F15C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F15C6"/>
    <w:rPr>
      <w:kern w:val="2"/>
      <w:sz w:val="18"/>
      <w:szCs w:val="18"/>
    </w:rPr>
  </w:style>
  <w:style w:type="paragraph" w:styleId="Footer">
    <w:name w:val="footer"/>
    <w:basedOn w:val="Normal"/>
    <w:link w:val="FooterChar"/>
    <w:uiPriority w:val="99"/>
    <w:unhideWhenUsed/>
    <w:rsid w:val="001F15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F15C6"/>
    <w:rPr>
      <w:kern w:val="2"/>
      <w:sz w:val="18"/>
      <w:szCs w:val="18"/>
    </w:rPr>
  </w:style>
  <w:style w:type="character" w:styleId="LineNumber">
    <w:name w:val="line number"/>
    <w:basedOn w:val="DefaultParagraphFont"/>
    <w:semiHidden/>
    <w:unhideWhenUsed/>
    <w:rsid w:val="005D6351"/>
  </w:style>
  <w:style w:type="paragraph" w:styleId="BalloonText">
    <w:name w:val="Balloon Text"/>
    <w:basedOn w:val="Normal"/>
    <w:link w:val="BalloonTextChar"/>
    <w:semiHidden/>
    <w:unhideWhenUsed/>
    <w:rsid w:val="006B1C31"/>
    <w:rPr>
      <w:sz w:val="18"/>
      <w:szCs w:val="18"/>
    </w:rPr>
  </w:style>
  <w:style w:type="character" w:customStyle="1" w:styleId="BalloonTextChar">
    <w:name w:val="Balloon Text Char"/>
    <w:basedOn w:val="DefaultParagraphFont"/>
    <w:link w:val="BalloonText"/>
    <w:semiHidden/>
    <w:rsid w:val="006B1C31"/>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41273"/>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E7288"/>
    <w:rPr>
      <w:color w:val="0000FF" w:themeColor="hyperlink"/>
      <w:u w:val="single"/>
    </w:rPr>
  </w:style>
  <w:style w:type="paragraph" w:styleId="Header">
    <w:name w:val="header"/>
    <w:basedOn w:val="Normal"/>
    <w:link w:val="HeaderChar"/>
    <w:uiPriority w:val="99"/>
    <w:unhideWhenUsed/>
    <w:rsid w:val="001F15C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F15C6"/>
    <w:rPr>
      <w:kern w:val="2"/>
      <w:sz w:val="18"/>
      <w:szCs w:val="18"/>
    </w:rPr>
  </w:style>
  <w:style w:type="paragraph" w:styleId="Footer">
    <w:name w:val="footer"/>
    <w:basedOn w:val="Normal"/>
    <w:link w:val="FooterChar"/>
    <w:uiPriority w:val="99"/>
    <w:unhideWhenUsed/>
    <w:rsid w:val="001F15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F15C6"/>
    <w:rPr>
      <w:kern w:val="2"/>
      <w:sz w:val="18"/>
      <w:szCs w:val="18"/>
    </w:rPr>
  </w:style>
  <w:style w:type="character" w:styleId="LineNumber">
    <w:name w:val="line number"/>
    <w:basedOn w:val="DefaultParagraphFont"/>
    <w:semiHidden/>
    <w:unhideWhenUsed/>
    <w:rsid w:val="005D6351"/>
  </w:style>
  <w:style w:type="paragraph" w:styleId="BalloonText">
    <w:name w:val="Balloon Text"/>
    <w:basedOn w:val="Normal"/>
    <w:link w:val="BalloonTextChar"/>
    <w:semiHidden/>
    <w:unhideWhenUsed/>
    <w:rsid w:val="006B1C31"/>
    <w:rPr>
      <w:sz w:val="18"/>
      <w:szCs w:val="18"/>
    </w:rPr>
  </w:style>
  <w:style w:type="character" w:customStyle="1" w:styleId="BalloonTextChar">
    <w:name w:val="Balloon Text Char"/>
    <w:basedOn w:val="DefaultParagraphFont"/>
    <w:link w:val="BalloonText"/>
    <w:semiHidden/>
    <w:rsid w:val="006B1C3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144287">
      <w:bodyDiv w:val="1"/>
      <w:marLeft w:val="0"/>
      <w:marRight w:val="0"/>
      <w:marTop w:val="0"/>
      <w:marBottom w:val="0"/>
      <w:divBdr>
        <w:top w:val="none" w:sz="0" w:space="0" w:color="auto"/>
        <w:left w:val="none" w:sz="0" w:space="0" w:color="auto"/>
        <w:bottom w:val="none" w:sz="0" w:space="0" w:color="auto"/>
        <w:right w:val="none" w:sz="0" w:space="0" w:color="auto"/>
      </w:divBdr>
    </w:div>
    <w:div w:id="153106764">
      <w:bodyDiv w:val="1"/>
      <w:marLeft w:val="0"/>
      <w:marRight w:val="0"/>
      <w:marTop w:val="0"/>
      <w:marBottom w:val="0"/>
      <w:divBdr>
        <w:top w:val="none" w:sz="0" w:space="0" w:color="auto"/>
        <w:left w:val="none" w:sz="0" w:space="0" w:color="auto"/>
        <w:bottom w:val="none" w:sz="0" w:space="0" w:color="auto"/>
        <w:right w:val="none" w:sz="0" w:space="0" w:color="auto"/>
      </w:divBdr>
    </w:div>
    <w:div w:id="889732770">
      <w:bodyDiv w:val="1"/>
      <w:marLeft w:val="0"/>
      <w:marRight w:val="0"/>
      <w:marTop w:val="0"/>
      <w:marBottom w:val="0"/>
      <w:divBdr>
        <w:top w:val="none" w:sz="0" w:space="0" w:color="auto"/>
        <w:left w:val="none" w:sz="0" w:space="0" w:color="auto"/>
        <w:bottom w:val="none" w:sz="0" w:space="0" w:color="auto"/>
        <w:right w:val="none" w:sz="0" w:space="0" w:color="auto"/>
      </w:divBdr>
    </w:div>
    <w:div w:id="1670251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search?safe=active&amp;rlz=1C1HLDY_enUS732US732&amp;q=Lafayette+Colorado&amp;stick=H4sIAAAAAAAAAOPgE-LSz9U3MM41SzI0UuIAsYssDS21tLKTrfTzi9IT8zKrEksy8_NQOFYZqYkphaWJRSWpRcUAAwbVmkQAAAA&amp;sa=X&amp;ved=0ahUKEwjI5qGh2PrWAhWJj1QKHas-DI8QmxMIhwEoATAS" TargetMode="External"/><Relationship Id="rId13" Type="http://schemas.openxmlformats.org/officeDocument/2006/relationships/footer" Target="footer1.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cbioportal.org"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www.cbioportal.org"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58080-D017-4AB5-A294-136894752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2020</Words>
  <Characters>18456</Characters>
  <Application>Microsoft Office Word</Application>
  <DocSecurity>0</DocSecurity>
  <Lines>153</Lines>
  <Paragraphs>40</Paragraphs>
  <ScaleCrop>false</ScaleCrop>
  <HeadingPairs>
    <vt:vector size="2" baseType="variant">
      <vt:variant>
        <vt:lpstr>Title</vt:lpstr>
      </vt:variant>
      <vt:variant>
        <vt:i4>1</vt:i4>
      </vt:variant>
    </vt:vector>
  </HeadingPairs>
  <TitlesOfParts>
    <vt:vector size="1" baseType="lpstr">
      <vt:lpstr/>
    </vt:vector>
  </TitlesOfParts>
  <Company>UTHealth MSB</Company>
  <LinksUpToDate>false</LinksUpToDate>
  <CharactersWithSpaces>20436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Linna</dc:creator>
  <cp:lastModifiedBy>Li, Wenliang</cp:lastModifiedBy>
  <cp:revision>2</cp:revision>
  <dcterms:created xsi:type="dcterms:W3CDTF">2017-11-19T21:58:00Z</dcterms:created>
  <dcterms:modified xsi:type="dcterms:W3CDTF">2017-11-19T21:58:00Z</dcterms:modified>
</cp:coreProperties>
</file>