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5B" w:rsidRDefault="002B315B" w:rsidP="002B315B">
      <w:pPr>
        <w:spacing w:line="480" w:lineRule="auto"/>
        <w:ind w:firstLine="720"/>
        <w:jc w:val="both"/>
        <w:rPr>
          <w:rFonts w:ascii="Arial" w:hAnsi="Arial" w:cs="Arial"/>
          <w:b/>
          <w:sz w:val="28"/>
        </w:rPr>
      </w:pPr>
      <w:r w:rsidRPr="002B315B">
        <w:rPr>
          <w:rFonts w:ascii="Arial" w:hAnsi="Arial" w:cs="Arial"/>
          <w:b/>
          <w:sz w:val="28"/>
        </w:rPr>
        <w:t>Supplementary Figure</w:t>
      </w:r>
      <w:r w:rsidRPr="002B315B">
        <w:rPr>
          <w:rFonts w:ascii="Arial" w:hAnsi="Arial" w:cs="Arial"/>
          <w:b/>
          <w:sz w:val="28"/>
        </w:rPr>
        <w:t xml:space="preserve"> Legends</w:t>
      </w:r>
    </w:p>
    <w:p w:rsidR="002B315B" w:rsidRPr="002B315B" w:rsidRDefault="002B315B" w:rsidP="002B315B">
      <w:pPr>
        <w:spacing w:line="480" w:lineRule="auto"/>
        <w:ind w:firstLine="720"/>
        <w:jc w:val="both"/>
        <w:rPr>
          <w:rFonts w:ascii="Arial" w:hAnsi="Arial" w:cs="Arial"/>
          <w:b/>
          <w:sz w:val="28"/>
        </w:rPr>
      </w:pPr>
      <w:bookmarkStart w:id="0" w:name="_GoBack"/>
      <w:bookmarkEnd w:id="0"/>
    </w:p>
    <w:p w:rsidR="002B315B" w:rsidRPr="002B315B" w:rsidRDefault="002B315B" w:rsidP="002B315B">
      <w:pPr>
        <w:spacing w:line="480" w:lineRule="auto"/>
        <w:ind w:firstLine="720"/>
        <w:jc w:val="both"/>
        <w:rPr>
          <w:rFonts w:ascii="Arial" w:hAnsi="Arial" w:cs="Arial"/>
        </w:rPr>
      </w:pPr>
      <w:proofErr w:type="gramStart"/>
      <w:r w:rsidRPr="002B315B">
        <w:rPr>
          <w:rFonts w:ascii="Arial" w:hAnsi="Arial" w:cs="Arial"/>
          <w:b/>
        </w:rPr>
        <w:t>Supplementary Figure S1.</w:t>
      </w:r>
      <w:proofErr w:type="gramEnd"/>
      <w:r w:rsidRPr="002B315B">
        <w:rPr>
          <w:rFonts w:ascii="Arial" w:hAnsi="Arial" w:cs="Arial"/>
          <w:b/>
        </w:rPr>
        <w:t xml:space="preserve"> </w:t>
      </w:r>
      <w:r w:rsidRPr="002B315B">
        <w:rPr>
          <w:rFonts w:ascii="Arial" w:hAnsi="Arial" w:cs="Arial"/>
        </w:rPr>
        <w:t>(</w:t>
      </w:r>
      <w:r w:rsidRPr="002B315B">
        <w:rPr>
          <w:rFonts w:ascii="Arial" w:hAnsi="Arial" w:cs="Arial"/>
          <w:b/>
        </w:rPr>
        <w:t>a</w:t>
      </w:r>
      <w:r w:rsidRPr="002B315B">
        <w:rPr>
          <w:rFonts w:ascii="Arial" w:hAnsi="Arial" w:cs="Arial"/>
        </w:rPr>
        <w:t>) A photographic image of the Gut Chip operating setup (left) running 5 Gut Chip devices composed of clear PDMS elastomer connected to reservoirs containing epithelium (top, red) and endothelium (bottom, clear) media, and a higher magnification photograph of a single device (right). A syringe pump was used to perfuse medium through tubing from top and bottom channels inlets (T</w:t>
      </w:r>
      <w:r w:rsidRPr="002B315B">
        <w:rPr>
          <w:rFonts w:ascii="Arial" w:hAnsi="Arial" w:cs="Arial"/>
          <w:vertAlign w:val="subscript"/>
        </w:rPr>
        <w:t>i</w:t>
      </w:r>
      <w:r w:rsidRPr="002B315B">
        <w:rPr>
          <w:rFonts w:ascii="Arial" w:hAnsi="Arial" w:cs="Arial"/>
        </w:rPr>
        <w:t xml:space="preserve"> and B</w:t>
      </w:r>
      <w:r w:rsidRPr="002B315B">
        <w:rPr>
          <w:rFonts w:ascii="Arial" w:hAnsi="Arial" w:cs="Arial"/>
          <w:vertAlign w:val="subscript"/>
        </w:rPr>
        <w:t>i</w:t>
      </w:r>
      <w:r w:rsidRPr="002B315B">
        <w:rPr>
          <w:rFonts w:ascii="Arial" w:hAnsi="Arial" w:cs="Arial"/>
        </w:rPr>
        <w:t>, respectively) towards outlet (T</w:t>
      </w:r>
      <w:r w:rsidRPr="002B315B">
        <w:rPr>
          <w:rFonts w:ascii="Arial" w:hAnsi="Arial" w:cs="Arial"/>
          <w:vertAlign w:val="subscript"/>
        </w:rPr>
        <w:t>o</w:t>
      </w:r>
      <w:r w:rsidRPr="002B315B">
        <w:rPr>
          <w:rFonts w:ascii="Arial" w:hAnsi="Arial" w:cs="Arial"/>
        </w:rPr>
        <w:t xml:space="preserve"> and B</w:t>
      </w:r>
      <w:r w:rsidRPr="002B315B">
        <w:rPr>
          <w:rFonts w:ascii="Arial" w:hAnsi="Arial" w:cs="Arial"/>
          <w:vertAlign w:val="subscript"/>
        </w:rPr>
        <w:t>o</w:t>
      </w:r>
      <w:r w:rsidRPr="002B315B">
        <w:rPr>
          <w:rFonts w:ascii="Arial" w:hAnsi="Arial" w:cs="Arial"/>
        </w:rPr>
        <w:t xml:space="preserve">, respectively) while mechanical strain exerted by applying suction to the vacuum (V) chambers. </w:t>
      </w:r>
      <w:proofErr w:type="gramStart"/>
      <w:r w:rsidRPr="002B315B">
        <w:rPr>
          <w:rFonts w:ascii="Arial" w:hAnsi="Arial" w:cs="Arial"/>
        </w:rPr>
        <w:t>(T, top channel; B, bottom channel; I, inlet; o, outlet).</w:t>
      </w:r>
      <w:proofErr w:type="gramEnd"/>
      <w:r w:rsidRPr="002B315B">
        <w:rPr>
          <w:rFonts w:ascii="Arial" w:hAnsi="Arial" w:cs="Arial"/>
        </w:rPr>
        <w:t xml:space="preserve"> (</w:t>
      </w:r>
      <w:r w:rsidRPr="002B315B">
        <w:rPr>
          <w:rFonts w:ascii="Arial" w:hAnsi="Arial" w:cs="Arial"/>
          <w:b/>
        </w:rPr>
        <w:t>b</w:t>
      </w:r>
      <w:r w:rsidRPr="002B315B">
        <w:rPr>
          <w:rFonts w:ascii="Arial" w:hAnsi="Arial" w:cs="Arial"/>
        </w:rPr>
        <w:t xml:space="preserve">) Representative 3D confocal immunofluorescence micrographic reconstruction of the human villus intestinal epithelium interfaced with a human vascular endothelium surrounding a central lumen that formed inside the Gut Chip (green, </w:t>
      </w:r>
      <w:proofErr w:type="spellStart"/>
      <w:r w:rsidRPr="002B315B">
        <w:rPr>
          <w:rFonts w:ascii="Arial" w:hAnsi="Arial" w:cs="Arial"/>
        </w:rPr>
        <w:t>villin</w:t>
      </w:r>
      <w:proofErr w:type="spellEnd"/>
      <w:r w:rsidRPr="002B315B">
        <w:rPr>
          <w:rFonts w:ascii="Arial" w:hAnsi="Arial" w:cs="Arial"/>
        </w:rPr>
        <w:t xml:space="preserve">; VE-Cadherin, red; DAPI-stained nuclei, blue; bar, 100 </w:t>
      </w:r>
      <w:r w:rsidRPr="002B315B">
        <w:rPr>
          <w:rFonts w:ascii="Symbol" w:hAnsi="Symbol" w:cs="Arial"/>
        </w:rPr>
        <w:t></w:t>
      </w:r>
      <w:r w:rsidRPr="002B315B">
        <w:rPr>
          <w:rFonts w:ascii="Arial" w:hAnsi="Arial" w:cs="Arial"/>
        </w:rPr>
        <w:t xml:space="preserve">m). </w:t>
      </w:r>
    </w:p>
    <w:p w:rsidR="002B315B" w:rsidRPr="002B315B" w:rsidRDefault="002B315B" w:rsidP="002B315B">
      <w:pPr>
        <w:spacing w:line="480" w:lineRule="auto"/>
        <w:ind w:firstLine="720"/>
        <w:jc w:val="both"/>
        <w:rPr>
          <w:rFonts w:ascii="Arial" w:hAnsi="Arial" w:cs="Arial"/>
        </w:rPr>
      </w:pPr>
      <w:proofErr w:type="gramStart"/>
      <w:r w:rsidRPr="002B315B">
        <w:rPr>
          <w:rFonts w:ascii="Arial" w:hAnsi="Arial" w:cs="Arial"/>
          <w:b/>
        </w:rPr>
        <w:t>Supplementary Figure S2.</w:t>
      </w:r>
      <w:proofErr w:type="gramEnd"/>
      <w:r w:rsidRPr="002B315B">
        <w:rPr>
          <w:rFonts w:ascii="Arial" w:hAnsi="Arial" w:cs="Arial"/>
        </w:rPr>
        <w:t xml:space="preserve"> Effect of materials leached from PDMS after exposure to </w:t>
      </w:r>
      <w:r w:rsidRPr="002B315B">
        <w:rPr>
          <w:rFonts w:ascii="Symbol" w:hAnsi="Symbol" w:cs="Arial"/>
        </w:rPr>
        <w:t></w:t>
      </w:r>
      <w:r w:rsidRPr="002B315B">
        <w:rPr>
          <w:rFonts w:ascii="Arial" w:hAnsi="Arial" w:cs="Arial"/>
        </w:rPr>
        <w:t xml:space="preserve">-irradiation (8Gy) on the viability of intestinal epithelial cells cultured on the irradiated substrates compared to conventional plastic dishes, as assessed by LDH release. </w:t>
      </w:r>
    </w:p>
    <w:p w:rsidR="002B315B" w:rsidRPr="002B315B" w:rsidRDefault="002B315B" w:rsidP="002B315B">
      <w:pPr>
        <w:spacing w:line="480" w:lineRule="auto"/>
        <w:ind w:firstLine="720"/>
        <w:jc w:val="both"/>
        <w:rPr>
          <w:rFonts w:ascii="Arial" w:hAnsi="Arial" w:cs="Arial"/>
          <w:lang w:val="nl-NL"/>
        </w:rPr>
      </w:pPr>
      <w:proofErr w:type="gramStart"/>
      <w:r w:rsidRPr="002B315B">
        <w:rPr>
          <w:rFonts w:ascii="Arial" w:hAnsi="Arial" w:cs="Arial"/>
          <w:b/>
        </w:rPr>
        <w:t>Supplementary Figure S3.</w:t>
      </w:r>
      <w:proofErr w:type="gramEnd"/>
      <w:r w:rsidRPr="002B315B">
        <w:rPr>
          <w:rFonts w:ascii="Arial" w:hAnsi="Arial" w:cs="Arial"/>
          <w:b/>
        </w:rPr>
        <w:t xml:space="preserve"> </w:t>
      </w:r>
      <w:r w:rsidRPr="002B315B">
        <w:rPr>
          <w:rFonts w:ascii="Arial" w:hAnsi="Arial" w:cs="Arial"/>
        </w:rPr>
        <w:t>(</w:t>
      </w:r>
      <w:r w:rsidRPr="002B315B">
        <w:rPr>
          <w:rFonts w:ascii="Arial" w:hAnsi="Arial" w:cs="Arial"/>
          <w:b/>
        </w:rPr>
        <w:t>a</w:t>
      </w:r>
      <w:r w:rsidRPr="002B315B">
        <w:rPr>
          <w:rFonts w:ascii="Arial" w:hAnsi="Arial" w:cs="Arial"/>
        </w:rPr>
        <w:t xml:space="preserve">) Radiation-induced changes in intracellular ROS in the intestinal epithelium cultured without (-Endothelium) or with (+Endothelium) endothelium in the lower channel in control (Con) and irradiated (Rad) chips, as visualized using the </w:t>
      </w:r>
      <w:proofErr w:type="spellStart"/>
      <w:r w:rsidRPr="002B315B">
        <w:rPr>
          <w:rFonts w:ascii="Arial" w:hAnsi="Arial" w:cs="Arial"/>
        </w:rPr>
        <w:t>CellROX</w:t>
      </w:r>
      <w:proofErr w:type="spellEnd"/>
      <w:r w:rsidRPr="002B315B">
        <w:rPr>
          <w:rFonts w:ascii="Arial" w:hAnsi="Arial" w:cs="Arial"/>
        </w:rPr>
        <w:t xml:space="preserve"> Green Reagent (green) (white, DAPI-stained nuclei</w:t>
      </w:r>
      <w:r w:rsidRPr="002B315B">
        <w:rPr>
          <w:rFonts w:ascii="Arial" w:hAnsi="Arial" w:cs="Arial"/>
          <w:lang w:val="nl-NL"/>
        </w:rPr>
        <w:t xml:space="preserve">; bar, </w:t>
      </w:r>
      <w:r w:rsidRPr="002B315B">
        <w:rPr>
          <w:rFonts w:ascii="Arial" w:hAnsi="Arial" w:cs="Arial"/>
        </w:rPr>
        <w:t xml:space="preserve">50 </w:t>
      </w:r>
      <w:r w:rsidRPr="002B315B">
        <w:rPr>
          <w:rFonts w:ascii="Symbol" w:hAnsi="Symbol" w:cs="Arial"/>
        </w:rPr>
        <w:t></w:t>
      </w:r>
      <w:r w:rsidRPr="002B315B">
        <w:rPr>
          <w:rFonts w:ascii="Arial" w:hAnsi="Arial" w:cs="Arial"/>
        </w:rPr>
        <w:t xml:space="preserve">m). </w:t>
      </w:r>
      <w:r w:rsidRPr="002B315B">
        <w:rPr>
          <w:rFonts w:ascii="Arial" w:hAnsi="Arial" w:cs="Arial"/>
          <w:lang w:val="nl-NL"/>
        </w:rPr>
        <w:t>(</w:t>
      </w:r>
      <w:r w:rsidRPr="002B315B">
        <w:rPr>
          <w:rFonts w:ascii="Arial" w:hAnsi="Arial" w:cs="Arial"/>
          <w:b/>
          <w:lang w:val="nl-NL"/>
        </w:rPr>
        <w:t>b</w:t>
      </w:r>
      <w:r w:rsidRPr="002B315B">
        <w:rPr>
          <w:rFonts w:ascii="Arial" w:hAnsi="Arial" w:cs="Arial"/>
          <w:lang w:val="nl-NL"/>
        </w:rPr>
        <w:t xml:space="preserve">) Quantification of ROS production measured under the conditions described in </w:t>
      </w:r>
      <w:r w:rsidRPr="002B315B">
        <w:rPr>
          <w:rFonts w:ascii="Arial" w:hAnsi="Arial" w:cs="Arial"/>
          <w:b/>
          <w:lang w:val="nl-NL"/>
        </w:rPr>
        <w:t>a</w:t>
      </w:r>
      <w:r w:rsidRPr="002B315B">
        <w:rPr>
          <w:rFonts w:ascii="Arial" w:hAnsi="Arial" w:cs="Arial"/>
          <w:lang w:val="nl-NL"/>
        </w:rPr>
        <w:t xml:space="preserve">, </w:t>
      </w:r>
      <w:r w:rsidRPr="002B315B">
        <w:rPr>
          <w:rFonts w:ascii="Arial" w:hAnsi="Arial" w:cs="Arial"/>
        </w:rPr>
        <w:t xml:space="preserve">expressed as fold change relative to non-irradiated control cells (n=3; </w:t>
      </w:r>
      <w:r w:rsidRPr="002B315B">
        <w:rPr>
          <w:rFonts w:ascii="Arial" w:hAnsi="Arial" w:cs="Arial"/>
          <w:vertAlign w:val="superscript"/>
        </w:rPr>
        <w:t>*</w:t>
      </w:r>
      <w:r w:rsidRPr="002B315B">
        <w:rPr>
          <w:rFonts w:ascii="Arial" w:hAnsi="Arial" w:cs="Arial"/>
        </w:rPr>
        <w:t>P&lt;0.05</w:t>
      </w:r>
      <w:r w:rsidRPr="002B315B">
        <w:rPr>
          <w:rFonts w:ascii="Arial" w:hAnsi="Arial" w:cs="Arial"/>
          <w:lang w:val="nl-NL"/>
        </w:rPr>
        <w:t>). (</w:t>
      </w:r>
      <w:r w:rsidRPr="002B315B">
        <w:rPr>
          <w:rFonts w:ascii="Arial" w:hAnsi="Arial" w:cs="Arial"/>
          <w:b/>
          <w:lang w:val="nl-NL"/>
        </w:rPr>
        <w:t>c</w:t>
      </w:r>
      <w:r w:rsidRPr="002B315B">
        <w:rPr>
          <w:rFonts w:ascii="Arial" w:hAnsi="Arial" w:cs="Arial"/>
          <w:lang w:val="nl-NL"/>
        </w:rPr>
        <w:t xml:space="preserve">) </w:t>
      </w:r>
      <w:r w:rsidRPr="002B315B">
        <w:rPr>
          <w:rFonts w:ascii="Arial" w:hAnsi="Arial" w:cs="Arial"/>
        </w:rPr>
        <w:t xml:space="preserve">Changes in apparent </w:t>
      </w:r>
      <w:proofErr w:type="spellStart"/>
      <w:r w:rsidRPr="002B315B">
        <w:rPr>
          <w:rFonts w:ascii="Arial" w:hAnsi="Arial" w:cs="Arial"/>
        </w:rPr>
        <w:t>paracellular</w:t>
      </w:r>
      <w:proofErr w:type="spellEnd"/>
      <w:r w:rsidRPr="002B315B">
        <w:rPr>
          <w:rFonts w:ascii="Arial" w:hAnsi="Arial" w:cs="Arial"/>
        </w:rPr>
        <w:t xml:space="preserve"> permeability (</w:t>
      </w:r>
      <w:r w:rsidRPr="002B315B">
        <w:rPr>
          <w:rFonts w:ascii="Arial" w:hAnsi="Arial" w:cs="Arial"/>
          <w:i/>
        </w:rPr>
        <w:t>P</w:t>
      </w:r>
      <w:r w:rsidRPr="002B315B">
        <w:rPr>
          <w:rFonts w:ascii="Arial" w:hAnsi="Arial" w:cs="Arial"/>
          <w:vertAlign w:val="subscript"/>
        </w:rPr>
        <w:t>app</w:t>
      </w:r>
      <w:r w:rsidRPr="002B315B">
        <w:rPr>
          <w:rFonts w:ascii="Arial" w:hAnsi="Arial" w:cs="Arial"/>
        </w:rPr>
        <w:t xml:space="preserve">) </w:t>
      </w:r>
      <w:r w:rsidRPr="002B315B">
        <w:rPr>
          <w:rFonts w:ascii="Arial" w:hAnsi="Arial" w:cs="Arial"/>
        </w:rPr>
        <w:lastRenderedPageBreak/>
        <w:t xml:space="preserve">measured by </w:t>
      </w:r>
      <w:proofErr w:type="spellStart"/>
      <w:r w:rsidRPr="002B315B">
        <w:rPr>
          <w:rFonts w:ascii="Arial" w:hAnsi="Arial" w:cs="Arial"/>
        </w:rPr>
        <w:t>quantfying</w:t>
      </w:r>
      <w:proofErr w:type="spellEnd"/>
      <w:r w:rsidRPr="002B315B">
        <w:rPr>
          <w:rFonts w:ascii="Arial" w:hAnsi="Arial" w:cs="Arial"/>
        </w:rPr>
        <w:t xml:space="preserve"> cascade blue transport across the tissue-tissue interface within the Gut Chip </w:t>
      </w:r>
      <w:proofErr w:type="spellStart"/>
      <w:r w:rsidRPr="002B315B">
        <w:rPr>
          <w:rFonts w:ascii="Arial" w:hAnsi="Arial" w:cs="Arial"/>
        </w:rPr>
        <w:t>microdevices</w:t>
      </w:r>
      <w:proofErr w:type="spellEnd"/>
      <w:r w:rsidRPr="002B315B">
        <w:rPr>
          <w:rFonts w:ascii="Arial" w:hAnsi="Arial" w:cs="Arial"/>
        </w:rPr>
        <w:t xml:space="preserve"> with (+) and without (-) presence of endothelium in control (Con) and irradiated (Rad) chips 24 h, 48 h and 72 h after exposure to </w:t>
      </w:r>
      <w:r w:rsidRPr="002B315B">
        <w:rPr>
          <w:rFonts w:ascii="Symbol" w:hAnsi="Symbol" w:cs="Arial"/>
        </w:rPr>
        <w:t></w:t>
      </w:r>
      <w:r w:rsidRPr="002B315B">
        <w:rPr>
          <w:rFonts w:ascii="Arial" w:hAnsi="Arial" w:cs="Arial"/>
        </w:rPr>
        <w:t xml:space="preserve">-radiation (8Gy) (n=3; </w:t>
      </w:r>
      <w:r w:rsidRPr="002B315B">
        <w:rPr>
          <w:rFonts w:ascii="Arial" w:hAnsi="Arial" w:cs="Arial"/>
          <w:vertAlign w:val="superscript"/>
        </w:rPr>
        <w:t>*</w:t>
      </w:r>
      <w:r w:rsidRPr="002B315B">
        <w:rPr>
          <w:rFonts w:ascii="Arial" w:hAnsi="Arial" w:cs="Arial"/>
        </w:rPr>
        <w:t xml:space="preserve">P&lt;0.05, </w:t>
      </w:r>
      <w:r w:rsidRPr="002B315B">
        <w:rPr>
          <w:rFonts w:ascii="Arial" w:hAnsi="Arial" w:cs="Arial"/>
          <w:vertAlign w:val="superscript"/>
        </w:rPr>
        <w:t>***</w:t>
      </w:r>
      <w:r w:rsidRPr="002B315B">
        <w:rPr>
          <w:rFonts w:ascii="Arial" w:hAnsi="Arial" w:cs="Arial"/>
        </w:rPr>
        <w:t xml:space="preserve">P&lt;0.001; </w:t>
      </w:r>
      <w:proofErr w:type="spellStart"/>
      <w:r w:rsidRPr="002B315B">
        <w:rPr>
          <w:rFonts w:ascii="Arial" w:hAnsi="Arial" w:cs="Arial"/>
        </w:rPr>
        <w:t>n.s</w:t>
      </w:r>
      <w:proofErr w:type="spellEnd"/>
      <w:r w:rsidRPr="002B315B">
        <w:rPr>
          <w:rFonts w:ascii="Arial" w:hAnsi="Arial" w:cs="Arial"/>
        </w:rPr>
        <w:t xml:space="preserve">., </w:t>
      </w:r>
      <w:proofErr w:type="gramStart"/>
      <w:r w:rsidRPr="002B315B">
        <w:rPr>
          <w:rFonts w:ascii="Arial" w:hAnsi="Arial" w:cs="Arial"/>
        </w:rPr>
        <w:t>not</w:t>
      </w:r>
      <w:proofErr w:type="gramEnd"/>
      <w:r w:rsidRPr="002B315B">
        <w:rPr>
          <w:rFonts w:ascii="Arial" w:hAnsi="Arial" w:cs="Arial"/>
        </w:rPr>
        <w:t xml:space="preserve"> significant</w:t>
      </w:r>
      <w:r w:rsidRPr="002B315B">
        <w:rPr>
          <w:rFonts w:ascii="Arial" w:hAnsi="Arial" w:cs="Arial"/>
          <w:lang w:val="nl-NL"/>
        </w:rPr>
        <w:t>).</w:t>
      </w:r>
    </w:p>
    <w:p w:rsidR="002B315B" w:rsidRPr="002B315B" w:rsidRDefault="002B315B" w:rsidP="002B315B">
      <w:pPr>
        <w:spacing w:line="480" w:lineRule="auto"/>
        <w:ind w:firstLine="720"/>
        <w:jc w:val="both"/>
        <w:rPr>
          <w:rFonts w:ascii="Arial" w:hAnsi="Arial" w:cs="Arial"/>
        </w:rPr>
      </w:pPr>
      <w:proofErr w:type="gramStart"/>
      <w:r w:rsidRPr="002B315B">
        <w:rPr>
          <w:rFonts w:ascii="Arial" w:hAnsi="Arial" w:cs="Arial"/>
          <w:b/>
        </w:rPr>
        <w:t>Supplementary Figure S4.</w:t>
      </w:r>
      <w:proofErr w:type="gramEnd"/>
      <w:r w:rsidRPr="002B315B">
        <w:rPr>
          <w:rFonts w:ascii="Arial" w:hAnsi="Arial" w:cs="Arial"/>
        </w:rPr>
        <w:t xml:space="preserve"> Representative images of immunofluorescence staining of nuclei with DAPI (white) at the top and HIF1-</w:t>
      </w:r>
      <w:r w:rsidRPr="002B315B">
        <w:rPr>
          <w:rFonts w:ascii="Symbol" w:hAnsi="Symbol" w:cs="Arial"/>
        </w:rPr>
        <w:t></w:t>
      </w:r>
      <w:r w:rsidRPr="002B315B">
        <w:rPr>
          <w:rFonts w:ascii="Arial" w:hAnsi="Arial" w:cs="Arial"/>
        </w:rPr>
        <w:t xml:space="preserve"> (red) at the bottom in human intestinal epithelial cells and endothelial cells before and after exposure to radiation (8Gy) without (Rad) or with DMOG pre-treatment (</w:t>
      </w:r>
      <w:proofErr w:type="spellStart"/>
      <w:r w:rsidRPr="002B315B">
        <w:rPr>
          <w:rFonts w:ascii="Arial" w:hAnsi="Arial" w:cs="Arial"/>
        </w:rPr>
        <w:t>DMOG+Rad</w:t>
      </w:r>
      <w:proofErr w:type="spellEnd"/>
      <w:r w:rsidRPr="002B315B">
        <w:rPr>
          <w:rFonts w:ascii="Arial" w:hAnsi="Arial" w:cs="Arial"/>
        </w:rPr>
        <w:t xml:space="preserve">) (bar, 30 </w:t>
      </w:r>
      <w:r w:rsidRPr="002B315B">
        <w:rPr>
          <w:rFonts w:ascii="Symbol" w:hAnsi="Symbol" w:cs="Arial"/>
        </w:rPr>
        <w:t></w:t>
      </w:r>
      <w:r w:rsidRPr="002B315B">
        <w:rPr>
          <w:rFonts w:ascii="Arial" w:hAnsi="Arial" w:cs="Arial"/>
        </w:rPr>
        <w:t>m). (</w:t>
      </w:r>
      <w:r w:rsidRPr="002B315B">
        <w:rPr>
          <w:rFonts w:ascii="Arial" w:hAnsi="Arial" w:cs="Arial"/>
          <w:b/>
        </w:rPr>
        <w:t>b</w:t>
      </w:r>
      <w:r w:rsidRPr="002B315B">
        <w:rPr>
          <w:rFonts w:ascii="Arial" w:hAnsi="Arial" w:cs="Arial"/>
        </w:rPr>
        <w:t>) Graph showing the quantification of the percentage of epithelial and endothelial cells that expressed HIF1-</w:t>
      </w:r>
      <w:r w:rsidRPr="002B315B">
        <w:rPr>
          <w:rFonts w:ascii="Symbol" w:hAnsi="Symbol" w:cs="Arial"/>
        </w:rPr>
        <w:t></w:t>
      </w:r>
      <w:r w:rsidRPr="002B315B">
        <w:rPr>
          <w:rFonts w:ascii="Arial" w:hAnsi="Arial" w:cs="Arial"/>
        </w:rPr>
        <w:t xml:space="preserve"> (HIF1-</w:t>
      </w:r>
      <w:r w:rsidRPr="002B315B">
        <w:rPr>
          <w:rFonts w:ascii="Symbol" w:hAnsi="Symbol" w:cs="Arial"/>
        </w:rPr>
        <w:t></w:t>
      </w:r>
      <w:r w:rsidRPr="002B315B">
        <w:rPr>
          <w:rFonts w:ascii="Symbol" w:hAnsi="Symbol" w:cs="Arial"/>
          <w:vertAlign w:val="superscript"/>
        </w:rPr>
        <w:t></w:t>
      </w:r>
      <w:r w:rsidRPr="002B315B">
        <w:rPr>
          <w:rFonts w:ascii="Arial" w:hAnsi="Arial" w:cs="Arial"/>
        </w:rPr>
        <w:t xml:space="preserve"> cells) after exposure to the conditions shown in </w:t>
      </w:r>
      <w:r w:rsidRPr="002B315B">
        <w:rPr>
          <w:rFonts w:ascii="Arial" w:hAnsi="Arial" w:cs="Arial"/>
          <w:b/>
        </w:rPr>
        <w:t>a</w:t>
      </w:r>
      <w:r w:rsidRPr="002B315B">
        <w:rPr>
          <w:rFonts w:ascii="Arial" w:hAnsi="Arial" w:cs="Arial"/>
        </w:rPr>
        <w:t xml:space="preserve"> (n=3; ***P&lt;0.001). (</w:t>
      </w:r>
      <w:r w:rsidRPr="002B315B">
        <w:rPr>
          <w:rFonts w:ascii="Arial" w:hAnsi="Arial" w:cs="Arial"/>
          <w:b/>
        </w:rPr>
        <w:t>c</w:t>
      </w:r>
      <w:r w:rsidRPr="002B315B">
        <w:rPr>
          <w:rFonts w:ascii="Arial" w:hAnsi="Arial" w:cs="Arial"/>
        </w:rPr>
        <w:t>) Western blot analysis of HIF1-</w:t>
      </w:r>
      <w:r w:rsidRPr="002B315B">
        <w:rPr>
          <w:rFonts w:ascii="Symbol" w:hAnsi="Symbol" w:cs="Arial"/>
        </w:rPr>
        <w:t></w:t>
      </w:r>
      <w:r w:rsidRPr="002B315B">
        <w:rPr>
          <w:rFonts w:ascii="Symbol" w:hAnsi="Symbol" w:cs="Arial"/>
        </w:rPr>
        <w:t></w:t>
      </w:r>
      <w:r w:rsidRPr="002B315B">
        <w:rPr>
          <w:rFonts w:ascii="Arial" w:hAnsi="Arial" w:cs="Arial"/>
        </w:rPr>
        <w:t>and</w:t>
      </w:r>
      <w:r w:rsidRPr="002B315B">
        <w:rPr>
          <w:rFonts w:ascii="Symbol" w:hAnsi="Symbol" w:cs="Arial"/>
        </w:rPr>
        <w:t></w:t>
      </w:r>
      <w:r w:rsidRPr="002B315B">
        <w:rPr>
          <w:rFonts w:ascii="Arial" w:hAnsi="Arial" w:cs="Arial"/>
        </w:rPr>
        <w:t>HIF2-</w:t>
      </w:r>
      <w:r w:rsidRPr="002B315B">
        <w:rPr>
          <w:rFonts w:ascii="Symbol" w:hAnsi="Symbol" w:cs="Arial"/>
        </w:rPr>
        <w:t></w:t>
      </w:r>
      <w:r w:rsidRPr="002B315B">
        <w:rPr>
          <w:rFonts w:ascii="Arial" w:hAnsi="Arial" w:cs="Arial"/>
        </w:rPr>
        <w:t xml:space="preserve"> protein levels in control (Con), irradiated (Rad) and DMOG-treated (</w:t>
      </w:r>
      <w:proofErr w:type="spellStart"/>
      <w:r w:rsidRPr="002B315B">
        <w:rPr>
          <w:rFonts w:ascii="Arial" w:hAnsi="Arial" w:cs="Arial"/>
        </w:rPr>
        <w:t>DMOG+Rad</w:t>
      </w:r>
      <w:proofErr w:type="spellEnd"/>
      <w:r w:rsidRPr="002B315B">
        <w:rPr>
          <w:rFonts w:ascii="Arial" w:hAnsi="Arial" w:cs="Arial"/>
        </w:rPr>
        <w:t>) chips. (d) Quantification of HIF1-</w:t>
      </w:r>
      <w:r w:rsidRPr="002B315B">
        <w:rPr>
          <w:rFonts w:ascii="Symbol" w:hAnsi="Symbol" w:cs="Arial"/>
        </w:rPr>
        <w:t></w:t>
      </w:r>
      <w:r w:rsidRPr="002B315B">
        <w:rPr>
          <w:rFonts w:ascii="Symbol" w:hAnsi="Symbol" w:cs="Arial"/>
        </w:rPr>
        <w:t></w:t>
      </w:r>
      <w:r w:rsidRPr="002B315B">
        <w:rPr>
          <w:rFonts w:ascii="Arial" w:hAnsi="Arial" w:cs="Arial"/>
        </w:rPr>
        <w:t>and</w:t>
      </w:r>
      <w:r w:rsidRPr="002B315B">
        <w:rPr>
          <w:rFonts w:ascii="Symbol" w:hAnsi="Symbol" w:cs="Arial"/>
        </w:rPr>
        <w:t></w:t>
      </w:r>
      <w:r w:rsidRPr="002B315B">
        <w:rPr>
          <w:rFonts w:ascii="Arial" w:hAnsi="Arial" w:cs="Arial"/>
        </w:rPr>
        <w:t>HIF2-</w:t>
      </w:r>
      <w:r w:rsidRPr="002B315B">
        <w:rPr>
          <w:rFonts w:ascii="Symbol" w:hAnsi="Symbol" w:cs="Arial"/>
        </w:rPr>
        <w:t></w:t>
      </w:r>
      <w:r w:rsidRPr="002B315B">
        <w:rPr>
          <w:rFonts w:ascii="Symbol" w:hAnsi="Symbol" w:cs="Arial"/>
        </w:rPr>
        <w:t></w:t>
      </w:r>
      <w:r w:rsidRPr="002B315B">
        <w:rPr>
          <w:rFonts w:ascii="Arial" w:hAnsi="Arial" w:cs="Arial"/>
        </w:rPr>
        <w:t xml:space="preserve">levels from Western blots. GAPDH levels are shown to demonstrate equal loading. (Error bars represent mean ± SEM of relative band intensity values for n=4 chips in each group; </w:t>
      </w:r>
      <w:r w:rsidRPr="002B315B">
        <w:rPr>
          <w:rFonts w:ascii="Arial" w:hAnsi="Arial" w:cs="Arial"/>
          <w:vertAlign w:val="superscript"/>
        </w:rPr>
        <w:t>*</w:t>
      </w:r>
      <w:r w:rsidRPr="002B315B">
        <w:rPr>
          <w:rFonts w:ascii="Arial" w:hAnsi="Arial" w:cs="Arial"/>
        </w:rPr>
        <w:t xml:space="preserve">P&lt;0.05, </w:t>
      </w:r>
      <w:r w:rsidRPr="002B315B">
        <w:rPr>
          <w:rFonts w:ascii="Arial" w:hAnsi="Arial" w:cs="Arial"/>
          <w:vertAlign w:val="superscript"/>
        </w:rPr>
        <w:t>**</w:t>
      </w:r>
      <w:r w:rsidRPr="002B315B">
        <w:rPr>
          <w:rFonts w:ascii="Arial" w:hAnsi="Arial" w:cs="Arial"/>
        </w:rPr>
        <w:t xml:space="preserve">P&lt;0.01, </w:t>
      </w:r>
      <w:r w:rsidRPr="002B315B">
        <w:rPr>
          <w:rFonts w:ascii="Arial" w:hAnsi="Arial" w:cs="Arial"/>
          <w:vertAlign w:val="superscript"/>
        </w:rPr>
        <w:t>***</w:t>
      </w:r>
      <w:r w:rsidRPr="002B315B">
        <w:rPr>
          <w:rFonts w:ascii="Arial" w:hAnsi="Arial" w:cs="Arial"/>
        </w:rPr>
        <w:t xml:space="preserve">P&lt;0.001). </w:t>
      </w:r>
    </w:p>
    <w:p w:rsidR="002B315B" w:rsidRPr="002B315B" w:rsidRDefault="002B315B" w:rsidP="002B315B">
      <w:pPr>
        <w:spacing w:line="480" w:lineRule="auto"/>
        <w:ind w:firstLine="720"/>
        <w:jc w:val="both"/>
        <w:rPr>
          <w:rFonts w:ascii="Arial" w:hAnsi="Arial" w:cs="Arial"/>
        </w:rPr>
      </w:pPr>
      <w:proofErr w:type="gramStart"/>
      <w:r w:rsidRPr="002B315B">
        <w:rPr>
          <w:rFonts w:ascii="Arial" w:hAnsi="Arial" w:cs="Arial"/>
          <w:b/>
        </w:rPr>
        <w:t>Supplementary Figure S5.</w:t>
      </w:r>
      <w:proofErr w:type="gramEnd"/>
      <w:r w:rsidRPr="002B315B">
        <w:rPr>
          <w:rFonts w:ascii="Arial" w:hAnsi="Arial" w:cs="Arial"/>
        </w:rPr>
        <w:t xml:space="preserve"> (</w:t>
      </w:r>
      <w:r w:rsidRPr="002B315B">
        <w:rPr>
          <w:rFonts w:ascii="Arial" w:hAnsi="Arial" w:cs="Arial"/>
          <w:b/>
        </w:rPr>
        <w:t>a</w:t>
      </w:r>
      <w:r w:rsidRPr="002B315B">
        <w:rPr>
          <w:rFonts w:ascii="Arial" w:hAnsi="Arial" w:cs="Arial"/>
        </w:rPr>
        <w:t>) Immunofluorescence micrographs of intestinal epithelial cells cultured on-chip under control conditions (Con) versus after exposure to 8Gy radiation without (Rad) or with DMOG pre-treatment (</w:t>
      </w:r>
      <w:proofErr w:type="spellStart"/>
      <w:r w:rsidRPr="002B315B">
        <w:rPr>
          <w:rFonts w:ascii="Arial" w:hAnsi="Arial" w:cs="Arial"/>
        </w:rPr>
        <w:t>DMOG+Rad</w:t>
      </w:r>
      <w:proofErr w:type="spellEnd"/>
      <w:r w:rsidRPr="002B315B">
        <w:rPr>
          <w:rFonts w:ascii="Arial" w:hAnsi="Arial" w:cs="Arial"/>
        </w:rPr>
        <w:t xml:space="preserve">), and stained for the intestinal </w:t>
      </w:r>
      <w:proofErr w:type="spellStart"/>
      <w:r w:rsidRPr="002B315B">
        <w:rPr>
          <w:rFonts w:ascii="Arial" w:hAnsi="Arial" w:cs="Arial"/>
        </w:rPr>
        <w:t>mucin</w:t>
      </w:r>
      <w:proofErr w:type="spellEnd"/>
      <w:r w:rsidRPr="002B315B">
        <w:rPr>
          <w:rFonts w:ascii="Arial" w:hAnsi="Arial" w:cs="Arial"/>
        </w:rPr>
        <w:t xml:space="preserve"> protein, MUC-2 (green) and nuclei (blue, stained with DAPI; bar, 30 </w:t>
      </w:r>
      <w:r w:rsidRPr="002B315B">
        <w:rPr>
          <w:rFonts w:ascii="Symbol" w:hAnsi="Symbol" w:cs="Arial"/>
        </w:rPr>
        <w:t></w:t>
      </w:r>
      <w:r w:rsidRPr="002B315B">
        <w:rPr>
          <w:rFonts w:ascii="Arial" w:hAnsi="Arial" w:cs="Arial"/>
        </w:rPr>
        <w:t>m). (</w:t>
      </w:r>
      <w:r w:rsidRPr="002B315B">
        <w:rPr>
          <w:rFonts w:ascii="Arial" w:hAnsi="Arial" w:cs="Arial"/>
          <w:b/>
        </w:rPr>
        <w:t>b</w:t>
      </w:r>
      <w:r w:rsidRPr="002B315B">
        <w:rPr>
          <w:rFonts w:ascii="Arial" w:hAnsi="Arial" w:cs="Arial"/>
        </w:rPr>
        <w:t>) Quantification of fluorescence intensities (</w:t>
      </w:r>
      <w:proofErr w:type="spellStart"/>
      <w:r w:rsidRPr="002B315B">
        <w:rPr>
          <w:rFonts w:ascii="Arial" w:hAnsi="Arial" w:cs="Arial"/>
        </w:rPr>
        <w:t>a.u</w:t>
      </w:r>
      <w:proofErr w:type="spellEnd"/>
      <w:r w:rsidRPr="002B315B">
        <w:rPr>
          <w:rFonts w:ascii="Arial" w:hAnsi="Arial" w:cs="Arial"/>
        </w:rPr>
        <w:t xml:space="preserve">.) of MUC-2 normalized for equal cell numbers under the conditions shown in </w:t>
      </w:r>
      <w:r w:rsidRPr="002B315B">
        <w:rPr>
          <w:rFonts w:ascii="Arial" w:hAnsi="Arial" w:cs="Arial"/>
          <w:b/>
        </w:rPr>
        <w:t>d</w:t>
      </w:r>
      <w:r w:rsidRPr="002B315B">
        <w:rPr>
          <w:rFonts w:ascii="Arial" w:hAnsi="Arial" w:cs="Arial"/>
        </w:rPr>
        <w:t xml:space="preserve"> (n=3; </w:t>
      </w:r>
      <w:r w:rsidRPr="002B315B">
        <w:rPr>
          <w:rFonts w:ascii="Arial" w:hAnsi="Arial" w:cs="Arial"/>
          <w:vertAlign w:val="superscript"/>
        </w:rPr>
        <w:t>**</w:t>
      </w:r>
      <w:r w:rsidRPr="002B315B">
        <w:rPr>
          <w:rFonts w:ascii="Arial" w:hAnsi="Arial" w:cs="Arial"/>
        </w:rPr>
        <w:t xml:space="preserve">P&lt;0.01, </w:t>
      </w:r>
      <w:r w:rsidRPr="002B315B">
        <w:rPr>
          <w:rFonts w:ascii="Arial" w:hAnsi="Arial" w:cs="Arial"/>
          <w:vertAlign w:val="superscript"/>
        </w:rPr>
        <w:t>***</w:t>
      </w:r>
      <w:r w:rsidRPr="002B315B">
        <w:rPr>
          <w:rFonts w:ascii="Arial" w:hAnsi="Arial" w:cs="Arial"/>
        </w:rPr>
        <w:t>P&lt;0.001</w:t>
      </w:r>
      <w:r w:rsidRPr="002B315B">
        <w:rPr>
          <w:rFonts w:ascii="Arial" w:hAnsi="Arial" w:cs="Arial"/>
          <w:lang w:val="nl-NL"/>
        </w:rPr>
        <w:t>).</w:t>
      </w:r>
    </w:p>
    <w:p w:rsidR="009103A8" w:rsidRPr="002B315B" w:rsidRDefault="009103A8"/>
    <w:sectPr w:rsidR="009103A8" w:rsidRPr="002B315B" w:rsidSect="001D2EFB">
      <w:footerReference w:type="default" r:id="rId7"/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3B5" w:rsidRDefault="00F363B5" w:rsidP="002B315B">
      <w:r>
        <w:separator/>
      </w:r>
    </w:p>
  </w:endnote>
  <w:endnote w:type="continuationSeparator" w:id="0">
    <w:p w:rsidR="00F363B5" w:rsidRDefault="00F363B5" w:rsidP="002B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636607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2"/>
      </w:rPr>
    </w:sdtEndPr>
    <w:sdtContent>
      <w:p w:rsidR="00460B8B" w:rsidRPr="009A7302" w:rsidRDefault="00F363B5">
        <w:pPr>
          <w:pStyle w:val="Footer"/>
          <w:jc w:val="center"/>
          <w:rPr>
            <w:rFonts w:ascii="Arial" w:hAnsi="Arial" w:cs="Arial"/>
            <w:sz w:val="22"/>
          </w:rPr>
        </w:pPr>
        <w:r w:rsidRPr="009A7302">
          <w:rPr>
            <w:rFonts w:ascii="Arial" w:hAnsi="Arial" w:cs="Arial"/>
            <w:sz w:val="22"/>
          </w:rPr>
          <w:fldChar w:fldCharType="begin"/>
        </w:r>
        <w:r w:rsidRPr="009A7302">
          <w:rPr>
            <w:rFonts w:ascii="Arial" w:hAnsi="Arial" w:cs="Arial"/>
            <w:sz w:val="22"/>
          </w:rPr>
          <w:instrText xml:space="preserve"> PAGE   \* MERGEFORMAT </w:instrText>
        </w:r>
        <w:r w:rsidRPr="009A7302">
          <w:rPr>
            <w:rFonts w:ascii="Arial" w:hAnsi="Arial" w:cs="Arial"/>
            <w:sz w:val="22"/>
          </w:rPr>
          <w:fldChar w:fldCharType="separate"/>
        </w:r>
        <w:r w:rsidR="002B315B">
          <w:rPr>
            <w:rFonts w:ascii="Arial" w:hAnsi="Arial" w:cs="Arial"/>
            <w:noProof/>
            <w:sz w:val="22"/>
          </w:rPr>
          <w:t>1</w:t>
        </w:r>
        <w:r w:rsidRPr="009A7302">
          <w:rPr>
            <w:rFonts w:ascii="Arial" w:hAnsi="Arial" w:cs="Arial"/>
            <w:noProof/>
            <w:sz w:val="22"/>
          </w:rPr>
          <w:fldChar w:fldCharType="end"/>
        </w:r>
      </w:p>
    </w:sdtContent>
  </w:sdt>
  <w:p w:rsidR="00460B8B" w:rsidRDefault="00F363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3B5" w:rsidRDefault="00F363B5" w:rsidP="002B315B">
      <w:r>
        <w:separator/>
      </w:r>
    </w:p>
  </w:footnote>
  <w:footnote w:type="continuationSeparator" w:id="0">
    <w:p w:rsidR="00F363B5" w:rsidRDefault="00F363B5" w:rsidP="002B3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15B"/>
    <w:rsid w:val="002B315B"/>
    <w:rsid w:val="00823F62"/>
    <w:rsid w:val="009103A8"/>
    <w:rsid w:val="00947239"/>
    <w:rsid w:val="00F3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15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15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B31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15B"/>
    <w:rPr>
      <w:rFonts w:eastAsiaTheme="minorEastAsia"/>
      <w:sz w:val="24"/>
      <w:szCs w:val="24"/>
      <w:lang w:val="en-US"/>
    </w:rPr>
  </w:style>
  <w:style w:type="paragraph" w:customStyle="1" w:styleId="p1">
    <w:name w:val="p1"/>
    <w:basedOn w:val="Normal"/>
    <w:rsid w:val="002B315B"/>
    <w:rPr>
      <w:rFonts w:ascii="Calibri" w:eastAsiaTheme="minorHAnsi" w:hAnsi="Calibri" w:cs="Times New Roman"/>
      <w:color w:val="212121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15B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1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15B"/>
    <w:rPr>
      <w:rFonts w:eastAsiaTheme="minorEastAsia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B31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15B"/>
    <w:rPr>
      <w:rFonts w:eastAsiaTheme="minorEastAsia"/>
      <w:sz w:val="24"/>
      <w:szCs w:val="24"/>
      <w:lang w:val="en-US"/>
    </w:rPr>
  </w:style>
  <w:style w:type="paragraph" w:customStyle="1" w:styleId="p1">
    <w:name w:val="p1"/>
    <w:basedOn w:val="Normal"/>
    <w:rsid w:val="002B315B"/>
    <w:rPr>
      <w:rFonts w:ascii="Calibri" w:eastAsiaTheme="minorHAnsi" w:hAnsi="Calibri" w:cs="Times New Roman"/>
      <w:color w:val="212121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May, Mercy</dc:creator>
  <cp:lastModifiedBy>May, Mercy</cp:lastModifiedBy>
  <cp:revision>1</cp:revision>
  <dcterms:created xsi:type="dcterms:W3CDTF">2018-01-24T11:40:00Z</dcterms:created>
  <dcterms:modified xsi:type="dcterms:W3CDTF">2018-01-24T11:41:00Z</dcterms:modified>
</cp:coreProperties>
</file>