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09" w:rsidRPr="006C27AE" w:rsidRDefault="00C05D1F" w:rsidP="00450509">
      <w:pPr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 xml:space="preserve">Supplementary </w:t>
      </w:r>
      <w:r w:rsidR="006C27AE" w:rsidRPr="006C27AE">
        <w:rPr>
          <w:rFonts w:ascii="Arial" w:eastAsia="Calibri" w:hAnsi="Arial" w:cs="Arial"/>
          <w:b/>
          <w:lang w:val="en-US"/>
        </w:rPr>
        <w:t xml:space="preserve">Figure </w:t>
      </w:r>
      <w:r w:rsidR="00375FA8">
        <w:rPr>
          <w:rFonts w:ascii="Arial" w:eastAsia="Calibri" w:hAnsi="Arial" w:cs="Arial"/>
          <w:b/>
          <w:lang w:val="en-US"/>
        </w:rPr>
        <w:t>S</w:t>
      </w:r>
      <w:r>
        <w:rPr>
          <w:rFonts w:ascii="Arial" w:eastAsia="Calibri" w:hAnsi="Arial" w:cs="Arial"/>
          <w:b/>
          <w:lang w:val="en-US"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C05D1F" w:rsidTr="00C05D1F">
        <w:tc>
          <w:tcPr>
            <w:tcW w:w="10194" w:type="dxa"/>
            <w:gridSpan w:val="2"/>
          </w:tcPr>
          <w:p w:rsidR="00C05D1F" w:rsidRDefault="00C05D1F" w:rsidP="00C05D1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C05D1F">
              <w:rPr>
                <w:rFonts w:ascii="Arial" w:eastAsia="Calibri" w:hAnsi="Arial" w:cs="Arial"/>
                <w:b/>
                <w:lang w:val="en-US"/>
              </w:rPr>
              <w:t>A</w:t>
            </w:r>
          </w:p>
          <w:p w:rsidR="00C05D1F" w:rsidRDefault="00C05D1F" w:rsidP="00C05D1F">
            <w:pPr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noProof/>
                <w:lang w:eastAsia="en-AU"/>
              </w:rPr>
              <w:drawing>
                <wp:inline distT="0" distB="0" distL="0" distR="0">
                  <wp:extent cx="2944800" cy="1504800"/>
                  <wp:effectExtent l="0" t="0" r="8255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F1A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800" cy="15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D1F" w:rsidTr="00C05D1F">
        <w:tc>
          <w:tcPr>
            <w:tcW w:w="10194" w:type="dxa"/>
            <w:gridSpan w:val="2"/>
          </w:tcPr>
          <w:p w:rsidR="00C05D1F" w:rsidRDefault="00C05D1F" w:rsidP="00450509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C05D1F" w:rsidTr="00C05D1F">
        <w:tc>
          <w:tcPr>
            <w:tcW w:w="5097" w:type="dxa"/>
          </w:tcPr>
          <w:p w:rsidR="00C05D1F" w:rsidRDefault="00C05D1F" w:rsidP="00450509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B</w:t>
            </w:r>
          </w:p>
          <w:p w:rsidR="00C05D1F" w:rsidRDefault="00C05D1F" w:rsidP="00450509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noProof/>
                <w:lang w:eastAsia="en-AU"/>
              </w:rPr>
              <w:drawing>
                <wp:inline distT="0" distB="0" distL="0" distR="0" wp14:anchorId="79076A8B" wp14:editId="2C8F3DC0">
                  <wp:extent cx="2944800" cy="2905200"/>
                  <wp:effectExtent l="0" t="0" r="825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F1B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800" cy="29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C05D1F" w:rsidRDefault="00C05D1F" w:rsidP="00C05D1F">
            <w:pPr>
              <w:jc w:val="both"/>
              <w:rPr>
                <w:rFonts w:ascii="Arial" w:eastAsia="Calibri" w:hAnsi="Arial" w:cs="Arial"/>
                <w:noProof/>
                <w:lang w:eastAsia="en-AU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C</w:t>
            </w:r>
          </w:p>
          <w:p w:rsidR="00C05D1F" w:rsidRDefault="00C05D1F" w:rsidP="00450509">
            <w:pPr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noProof/>
                <w:lang w:eastAsia="en-AU"/>
              </w:rPr>
              <w:drawing>
                <wp:inline distT="0" distB="0" distL="0" distR="0" wp14:anchorId="122A7CA6" wp14:editId="02FCB79D">
                  <wp:extent cx="2944800" cy="2905200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F1C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800" cy="29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D1F" w:rsidTr="00C05D1F">
        <w:tc>
          <w:tcPr>
            <w:tcW w:w="10194" w:type="dxa"/>
            <w:gridSpan w:val="2"/>
          </w:tcPr>
          <w:p w:rsidR="00C05D1F" w:rsidRDefault="00C05D1F" w:rsidP="00450509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:rsidR="00F7453D" w:rsidRDefault="00F7453D">
      <w:pPr>
        <w:rPr>
          <w:rFonts w:ascii="Arial" w:hAnsi="Arial" w:cs="Arial"/>
          <w:noProof/>
          <w:lang w:val="en-US"/>
        </w:rPr>
      </w:pPr>
    </w:p>
    <w:p w:rsidR="00F7453D" w:rsidRPr="00375FA8" w:rsidRDefault="00375FA8" w:rsidP="00375FA8">
      <w:pPr>
        <w:rPr>
          <w:rFonts w:ascii="Arial" w:hAnsi="Arial" w:cs="Arial"/>
          <w:b/>
        </w:rPr>
      </w:pPr>
      <w:r w:rsidRPr="00375FA8">
        <w:rPr>
          <w:rFonts w:ascii="Arial" w:hAnsi="Arial" w:cs="Arial"/>
          <w:b/>
        </w:rPr>
        <w:t>Figure S1: Glucocorticoid induces apoptosis in GM-CSF-treated monocytes but not in M-CSF-treated monocytes</w:t>
      </w:r>
    </w:p>
    <w:p w:rsidR="00375FA8" w:rsidRPr="00375FA8" w:rsidRDefault="00375FA8" w:rsidP="00375FA8">
      <w:pPr>
        <w:spacing w:line="480" w:lineRule="auto"/>
        <w:jc w:val="both"/>
        <w:rPr>
          <w:rFonts w:ascii="Arial" w:eastAsia="Calibri" w:hAnsi="Arial" w:cs="Arial"/>
          <w:lang w:val="en-US"/>
        </w:rPr>
      </w:pPr>
      <w:r w:rsidRPr="00375FA8">
        <w:rPr>
          <w:rFonts w:ascii="Arial" w:hAnsi="Arial" w:cs="Arial"/>
          <w:b/>
          <w:lang w:val="en-US"/>
        </w:rPr>
        <w:t>(A)</w:t>
      </w:r>
      <w:r w:rsidRPr="00375FA8">
        <w:rPr>
          <w:rFonts w:ascii="Arial" w:hAnsi="Arial" w:cs="Arial"/>
          <w:lang w:val="en-US"/>
        </w:rPr>
        <w:t xml:space="preserve"> Human monocytes </w:t>
      </w:r>
      <w:bookmarkStart w:id="0" w:name="OLE_LINK1"/>
      <w:r w:rsidRPr="00375FA8">
        <w:rPr>
          <w:rFonts w:ascii="Arial" w:hAnsi="Arial" w:cs="Arial"/>
          <w:lang w:val="en-US"/>
        </w:rPr>
        <w:t>(1x10</w:t>
      </w:r>
      <w:r w:rsidRPr="00375FA8">
        <w:rPr>
          <w:rFonts w:ascii="Arial" w:hAnsi="Arial" w:cs="Arial"/>
          <w:vertAlign w:val="superscript"/>
          <w:lang w:val="en-US"/>
        </w:rPr>
        <w:t>6</w:t>
      </w:r>
      <w:r w:rsidRPr="00375FA8">
        <w:rPr>
          <w:rFonts w:ascii="Arial" w:hAnsi="Arial" w:cs="Arial"/>
          <w:lang w:val="en-US"/>
        </w:rPr>
        <w:t>)</w:t>
      </w:r>
      <w:bookmarkEnd w:id="0"/>
      <w:r w:rsidRPr="00375FA8">
        <w:rPr>
          <w:rFonts w:ascii="Arial" w:hAnsi="Arial" w:cs="Arial"/>
          <w:lang w:val="en-US"/>
        </w:rPr>
        <w:t xml:space="preserve"> were cultured in the absence (PBS) or presence of dexamethasone (</w:t>
      </w:r>
      <w:proofErr w:type="spellStart"/>
      <w:r w:rsidRPr="00375FA8">
        <w:rPr>
          <w:rFonts w:ascii="Arial" w:hAnsi="Arial" w:cs="Arial"/>
          <w:lang w:val="en-US"/>
        </w:rPr>
        <w:t>Dex</w:t>
      </w:r>
      <w:proofErr w:type="spellEnd"/>
      <w:r w:rsidRPr="00375FA8">
        <w:rPr>
          <w:rFonts w:ascii="Arial" w:hAnsi="Arial" w:cs="Arial"/>
          <w:lang w:val="en-US"/>
        </w:rPr>
        <w:t xml:space="preserve">) (100 </w:t>
      </w:r>
      <w:proofErr w:type="spellStart"/>
      <w:r w:rsidRPr="00375FA8">
        <w:rPr>
          <w:rFonts w:ascii="Arial" w:hAnsi="Arial" w:cs="Arial"/>
          <w:lang w:val="en-US"/>
        </w:rPr>
        <w:t>nM</w:t>
      </w:r>
      <w:proofErr w:type="spellEnd"/>
      <w:r w:rsidRPr="00375FA8">
        <w:rPr>
          <w:rFonts w:ascii="Arial" w:hAnsi="Arial" w:cs="Arial"/>
          <w:lang w:val="en-US"/>
        </w:rPr>
        <w:t xml:space="preserve">) </w:t>
      </w:r>
      <w:r w:rsidR="00696413">
        <w:rPr>
          <w:rFonts w:ascii="Arial" w:hAnsi="Arial" w:cs="Arial"/>
          <w:lang w:val="en-US"/>
        </w:rPr>
        <w:t>over a three day period</w:t>
      </w:r>
      <w:bookmarkStart w:id="1" w:name="_GoBack"/>
      <w:bookmarkEnd w:id="1"/>
      <w:r w:rsidRPr="00375FA8">
        <w:rPr>
          <w:rFonts w:ascii="Arial" w:hAnsi="Arial" w:cs="Arial"/>
          <w:lang w:val="en-US"/>
        </w:rPr>
        <w:t>.</w:t>
      </w:r>
      <w:r w:rsidRPr="00375FA8">
        <w:rPr>
          <w:rFonts w:ascii="Arial" w:hAnsi="Arial" w:cs="Arial"/>
          <w:lang w:val="en-US"/>
        </w:rPr>
        <w:t xml:space="preserve"> A representative dot plot indicating the percentage of live (</w:t>
      </w:r>
      <w:proofErr w:type="spellStart"/>
      <w:r w:rsidRPr="00375FA8">
        <w:rPr>
          <w:rFonts w:ascii="Arial" w:hAnsi="Arial" w:cs="Arial"/>
          <w:lang w:val="en-US"/>
        </w:rPr>
        <w:t>annexin</w:t>
      </w:r>
      <w:proofErr w:type="spellEnd"/>
      <w:r w:rsidRPr="00375FA8">
        <w:rPr>
          <w:rFonts w:ascii="Arial" w:hAnsi="Arial" w:cs="Arial"/>
          <w:lang w:val="en-US"/>
        </w:rPr>
        <w:t xml:space="preserve"> V negative and </w:t>
      </w:r>
      <w:proofErr w:type="spellStart"/>
      <w:r w:rsidRPr="00375FA8">
        <w:rPr>
          <w:rFonts w:ascii="Arial" w:hAnsi="Arial" w:cs="Arial"/>
          <w:lang w:val="en-US"/>
        </w:rPr>
        <w:t>propidium</w:t>
      </w:r>
      <w:proofErr w:type="spellEnd"/>
      <w:r w:rsidRPr="00375FA8">
        <w:rPr>
          <w:rFonts w:ascii="Arial" w:hAnsi="Arial" w:cs="Arial"/>
          <w:lang w:val="en-US"/>
        </w:rPr>
        <w:t xml:space="preserve"> iodide (PI) negative), apoptotic (</w:t>
      </w:r>
      <w:proofErr w:type="spellStart"/>
      <w:r w:rsidRPr="00375FA8">
        <w:rPr>
          <w:rFonts w:ascii="Arial" w:hAnsi="Arial" w:cs="Arial"/>
          <w:lang w:val="en-US"/>
        </w:rPr>
        <w:t>annexin</w:t>
      </w:r>
      <w:proofErr w:type="spellEnd"/>
      <w:r w:rsidRPr="00375FA8">
        <w:rPr>
          <w:rFonts w:ascii="Arial" w:hAnsi="Arial" w:cs="Arial"/>
          <w:lang w:val="en-US"/>
        </w:rPr>
        <w:t xml:space="preserve"> V positive and PI negative) and dead (</w:t>
      </w:r>
      <w:proofErr w:type="spellStart"/>
      <w:r w:rsidRPr="00375FA8">
        <w:rPr>
          <w:rFonts w:ascii="Arial" w:hAnsi="Arial" w:cs="Arial"/>
          <w:lang w:val="en-US"/>
        </w:rPr>
        <w:t>annexin</w:t>
      </w:r>
      <w:proofErr w:type="spellEnd"/>
      <w:r w:rsidRPr="00375FA8">
        <w:rPr>
          <w:rFonts w:ascii="Arial" w:hAnsi="Arial" w:cs="Arial"/>
          <w:lang w:val="en-US"/>
        </w:rPr>
        <w:t xml:space="preserve"> V positive and PI positive) cells</w:t>
      </w:r>
      <w:r w:rsidR="00696413">
        <w:rPr>
          <w:rFonts w:ascii="Arial" w:hAnsi="Arial" w:cs="Arial"/>
          <w:lang w:val="en-US"/>
        </w:rPr>
        <w:t xml:space="preserve"> at day 1</w:t>
      </w:r>
      <w:r w:rsidRPr="00375FA8">
        <w:rPr>
          <w:rFonts w:ascii="Arial" w:hAnsi="Arial" w:cs="Arial"/>
          <w:lang w:val="en-US"/>
        </w:rPr>
        <w:t>.</w:t>
      </w:r>
      <w:r w:rsidRPr="00375FA8">
        <w:rPr>
          <w:rFonts w:ascii="Arial" w:hAnsi="Arial" w:cs="Arial"/>
          <w:lang w:val="en-US"/>
        </w:rPr>
        <w:t xml:space="preserve"> </w:t>
      </w:r>
      <w:r w:rsidRPr="00375FA8">
        <w:rPr>
          <w:rFonts w:ascii="Arial" w:hAnsi="Arial" w:cs="Arial"/>
          <w:b/>
          <w:lang w:val="en-US"/>
        </w:rPr>
        <w:t>(</w:t>
      </w:r>
      <w:r w:rsidRPr="00375FA8">
        <w:rPr>
          <w:rFonts w:ascii="Arial" w:hAnsi="Arial" w:cs="Arial"/>
          <w:b/>
          <w:lang w:val="en-US"/>
        </w:rPr>
        <w:t>B</w:t>
      </w:r>
      <w:r w:rsidRPr="00375FA8">
        <w:rPr>
          <w:rFonts w:ascii="Arial" w:hAnsi="Arial" w:cs="Arial"/>
          <w:b/>
          <w:lang w:val="en-US"/>
        </w:rPr>
        <w:t>)</w:t>
      </w:r>
      <w:r w:rsidRPr="00375FA8">
        <w:rPr>
          <w:rFonts w:ascii="Arial" w:hAnsi="Arial" w:cs="Arial"/>
          <w:lang w:val="en-US"/>
        </w:rPr>
        <w:t xml:space="preserve"> Human monocytes (1x10</w:t>
      </w:r>
      <w:r w:rsidRPr="00375FA8">
        <w:rPr>
          <w:rFonts w:ascii="Arial" w:hAnsi="Arial" w:cs="Arial"/>
          <w:vertAlign w:val="superscript"/>
          <w:lang w:val="en-US"/>
        </w:rPr>
        <w:t>6</w:t>
      </w:r>
      <w:r w:rsidRPr="00375FA8">
        <w:rPr>
          <w:rFonts w:ascii="Arial" w:hAnsi="Arial" w:cs="Arial"/>
          <w:lang w:val="en-US"/>
        </w:rPr>
        <w:t xml:space="preserve">) were cultured with either GM-CSF (10 ng/ml) alone, M-CSF (5,000 U/ml) alone or together with </w:t>
      </w:r>
      <w:proofErr w:type="spellStart"/>
      <w:r w:rsidRPr="00375FA8">
        <w:rPr>
          <w:rFonts w:ascii="Arial" w:hAnsi="Arial" w:cs="Arial"/>
          <w:lang w:val="en-US"/>
        </w:rPr>
        <w:t>Dex</w:t>
      </w:r>
      <w:proofErr w:type="spellEnd"/>
      <w:r w:rsidRPr="00375FA8">
        <w:rPr>
          <w:rFonts w:ascii="Arial" w:hAnsi="Arial" w:cs="Arial"/>
          <w:lang w:val="en-US"/>
        </w:rPr>
        <w:t xml:space="preserve"> over </w:t>
      </w:r>
      <w:r w:rsidR="00696413">
        <w:rPr>
          <w:rFonts w:ascii="Arial" w:hAnsi="Arial" w:cs="Arial"/>
          <w:lang w:val="en-US"/>
        </w:rPr>
        <w:t xml:space="preserve">a </w:t>
      </w:r>
      <w:r w:rsidRPr="00375FA8">
        <w:rPr>
          <w:rFonts w:ascii="Arial" w:hAnsi="Arial" w:cs="Arial"/>
          <w:lang w:val="en-US"/>
        </w:rPr>
        <w:t>three day period.</w:t>
      </w:r>
      <w:r w:rsidRPr="00375FA8">
        <w:rPr>
          <w:rFonts w:ascii="Arial" w:hAnsi="Arial" w:cs="Arial"/>
          <w:lang w:val="en-US"/>
        </w:rPr>
        <w:t xml:space="preserve"> </w:t>
      </w:r>
      <w:r w:rsidRPr="00375FA8">
        <w:rPr>
          <w:rFonts w:ascii="Arial" w:hAnsi="Arial" w:cs="Arial"/>
          <w:lang w:val="en-US"/>
        </w:rPr>
        <w:t>A representative dot plot indicating the percentage of live, apoptotic and dead cells</w:t>
      </w:r>
      <w:r w:rsidR="00696413">
        <w:rPr>
          <w:rFonts w:ascii="Arial" w:hAnsi="Arial" w:cs="Arial"/>
          <w:lang w:val="en-US"/>
        </w:rPr>
        <w:t xml:space="preserve"> </w:t>
      </w:r>
      <w:r w:rsidR="00696413">
        <w:rPr>
          <w:rFonts w:ascii="Arial" w:hAnsi="Arial" w:cs="Arial"/>
          <w:lang w:val="en-US"/>
        </w:rPr>
        <w:t>at day 1</w:t>
      </w:r>
      <w:r w:rsidRPr="00375FA8">
        <w:rPr>
          <w:rFonts w:ascii="Arial" w:hAnsi="Arial" w:cs="Arial"/>
          <w:lang w:val="en-US"/>
        </w:rPr>
        <w:t xml:space="preserve">. </w:t>
      </w:r>
      <w:r w:rsidRPr="00375FA8">
        <w:rPr>
          <w:rFonts w:ascii="Arial" w:hAnsi="Arial" w:cs="Arial"/>
          <w:b/>
          <w:lang w:val="en-US"/>
        </w:rPr>
        <w:t>(</w:t>
      </w:r>
      <w:r w:rsidRPr="00375FA8">
        <w:rPr>
          <w:rFonts w:ascii="Arial" w:hAnsi="Arial" w:cs="Arial"/>
          <w:b/>
          <w:lang w:val="en-US"/>
        </w:rPr>
        <w:t>C</w:t>
      </w:r>
      <w:r w:rsidRPr="00375FA8">
        <w:rPr>
          <w:rFonts w:ascii="Arial" w:hAnsi="Arial" w:cs="Arial"/>
          <w:b/>
          <w:lang w:val="en-US"/>
        </w:rPr>
        <w:t>)</w:t>
      </w:r>
      <w:r w:rsidRPr="00375FA8">
        <w:rPr>
          <w:rFonts w:ascii="Arial" w:hAnsi="Arial" w:cs="Arial"/>
          <w:lang w:val="en-US"/>
        </w:rPr>
        <w:t xml:space="preserve"> Human monocytes (1x10</w:t>
      </w:r>
      <w:r w:rsidRPr="00375FA8">
        <w:rPr>
          <w:rFonts w:ascii="Arial" w:hAnsi="Arial" w:cs="Arial"/>
          <w:vertAlign w:val="superscript"/>
          <w:lang w:val="en-US"/>
        </w:rPr>
        <w:t>6</w:t>
      </w:r>
      <w:r w:rsidRPr="00375FA8">
        <w:rPr>
          <w:rFonts w:ascii="Arial" w:hAnsi="Arial" w:cs="Arial"/>
          <w:lang w:val="en-US"/>
        </w:rPr>
        <w:t xml:space="preserve">) were pre-treated with mifepristone (1 </w:t>
      </w:r>
      <w:r w:rsidRPr="00375FA8">
        <w:rPr>
          <w:rFonts w:ascii="Arial" w:hAnsi="Arial" w:cs="Arial"/>
          <w:lang w:val="en-US"/>
        </w:rPr>
        <w:sym w:font="Symbol" w:char="F06D"/>
      </w:r>
      <w:r w:rsidRPr="00375FA8">
        <w:rPr>
          <w:rFonts w:ascii="Arial" w:hAnsi="Arial" w:cs="Arial"/>
          <w:lang w:val="en-US"/>
        </w:rPr>
        <w:t xml:space="preserve">M) for 30 minutes before culture in either GM-CSF alone or together with </w:t>
      </w:r>
      <w:proofErr w:type="spellStart"/>
      <w:r w:rsidRPr="00375FA8">
        <w:rPr>
          <w:rFonts w:ascii="Arial" w:hAnsi="Arial" w:cs="Arial"/>
          <w:lang w:val="en-US"/>
        </w:rPr>
        <w:t>Dex</w:t>
      </w:r>
      <w:proofErr w:type="spellEnd"/>
      <w:r w:rsidRPr="00375FA8">
        <w:rPr>
          <w:rFonts w:ascii="Arial" w:hAnsi="Arial" w:cs="Arial"/>
          <w:lang w:val="en-US"/>
        </w:rPr>
        <w:t xml:space="preserve"> over </w:t>
      </w:r>
      <w:r w:rsidR="00696413">
        <w:rPr>
          <w:rFonts w:ascii="Arial" w:hAnsi="Arial" w:cs="Arial"/>
          <w:lang w:val="en-US"/>
        </w:rPr>
        <w:t xml:space="preserve">a </w:t>
      </w:r>
      <w:r w:rsidRPr="00375FA8">
        <w:rPr>
          <w:rFonts w:ascii="Arial" w:hAnsi="Arial" w:cs="Arial"/>
          <w:lang w:val="en-US"/>
        </w:rPr>
        <w:t>three day period.</w:t>
      </w:r>
      <w:r w:rsidRPr="00375FA8">
        <w:rPr>
          <w:rFonts w:ascii="Arial" w:hAnsi="Arial" w:cs="Arial"/>
          <w:lang w:val="en-US"/>
        </w:rPr>
        <w:t xml:space="preserve"> </w:t>
      </w:r>
      <w:r w:rsidRPr="00375FA8">
        <w:rPr>
          <w:rFonts w:ascii="Arial" w:hAnsi="Arial" w:cs="Arial"/>
          <w:lang w:val="en-US"/>
        </w:rPr>
        <w:t>A representative dot plot indicating the percentage of live, apoptotic and dead cells</w:t>
      </w:r>
      <w:r w:rsidR="00696413">
        <w:rPr>
          <w:rFonts w:ascii="Arial" w:hAnsi="Arial" w:cs="Arial"/>
          <w:lang w:val="en-US"/>
        </w:rPr>
        <w:t xml:space="preserve"> </w:t>
      </w:r>
      <w:r w:rsidR="00696413">
        <w:rPr>
          <w:rFonts w:ascii="Arial" w:hAnsi="Arial" w:cs="Arial"/>
          <w:lang w:val="en-US"/>
        </w:rPr>
        <w:t>at day 1</w:t>
      </w:r>
      <w:r w:rsidRPr="00375FA8">
        <w:rPr>
          <w:rFonts w:ascii="Arial" w:hAnsi="Arial" w:cs="Arial"/>
          <w:lang w:val="en-US"/>
        </w:rPr>
        <w:t>.</w:t>
      </w:r>
      <w:r w:rsidRPr="00375FA8">
        <w:rPr>
          <w:rFonts w:ascii="Arial" w:hAnsi="Arial" w:cs="Arial"/>
          <w:lang w:val="en-US"/>
        </w:rPr>
        <w:t xml:space="preserve"> The dot plots are representative of </w:t>
      </w:r>
      <w:r w:rsidR="00696413">
        <w:rPr>
          <w:rFonts w:ascii="Arial" w:hAnsi="Arial" w:cs="Arial"/>
          <w:lang w:val="en-US"/>
        </w:rPr>
        <w:t>four</w:t>
      </w:r>
      <w:r w:rsidRPr="00375FA8">
        <w:rPr>
          <w:rFonts w:ascii="Arial" w:hAnsi="Arial" w:cs="Arial"/>
          <w:lang w:val="en-US"/>
        </w:rPr>
        <w:t xml:space="preserve"> independent experiments, which are quantified in Figure 1.</w:t>
      </w:r>
    </w:p>
    <w:sectPr w:rsidR="00375FA8" w:rsidRPr="00375FA8" w:rsidSect="00022465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C64" w:rsidRDefault="00B04C64" w:rsidP="007255F0">
      <w:pPr>
        <w:spacing w:after="0" w:line="240" w:lineRule="auto"/>
      </w:pPr>
      <w:r>
        <w:separator/>
      </w:r>
    </w:p>
  </w:endnote>
  <w:endnote w:type="continuationSeparator" w:id="0">
    <w:p w:rsidR="00B04C64" w:rsidRDefault="00B04C64" w:rsidP="0072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64" w:rsidRDefault="00B04C64">
    <w:pPr>
      <w:pStyle w:val="Footer"/>
      <w:jc w:val="right"/>
    </w:pPr>
  </w:p>
  <w:p w:rsidR="00B04C64" w:rsidRDefault="00B04C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C64" w:rsidRDefault="00B04C64" w:rsidP="007255F0">
      <w:pPr>
        <w:spacing w:after="0" w:line="240" w:lineRule="auto"/>
      </w:pPr>
      <w:r>
        <w:separator/>
      </w:r>
    </w:p>
  </w:footnote>
  <w:footnote w:type="continuationSeparator" w:id="0">
    <w:p w:rsidR="00B04C64" w:rsidRDefault="00B04C64" w:rsidP="00725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fsv2z9iw9v5ues92rpxvpra99paad5fp2a&quot;&gt;Glucocorticoid Manuscript_AA&lt;record-ids&gt;&lt;item&gt;1&lt;/item&gt;&lt;item&gt;510&lt;/item&gt;&lt;item&gt;537&lt;/item&gt;&lt;item&gt;1806&lt;/item&gt;&lt;item&gt;2473&lt;/item&gt;&lt;item&gt;2505&lt;/item&gt;&lt;item&gt;2545&lt;/item&gt;&lt;item&gt;2546&lt;/item&gt;&lt;item&gt;2547&lt;/item&gt;&lt;item&gt;2688&lt;/item&gt;&lt;item&gt;2690&lt;/item&gt;&lt;item&gt;2695&lt;/item&gt;&lt;item&gt;2696&lt;/item&gt;&lt;item&gt;2698&lt;/item&gt;&lt;item&gt;2699&lt;/item&gt;&lt;item&gt;2700&lt;/item&gt;&lt;item&gt;2701&lt;/item&gt;&lt;item&gt;2702&lt;/item&gt;&lt;item&gt;2704&lt;/item&gt;&lt;item&gt;2705&lt;/item&gt;&lt;item&gt;2706&lt;/item&gt;&lt;item&gt;2707&lt;/item&gt;&lt;item&gt;2710&lt;/item&gt;&lt;item&gt;2723&lt;/item&gt;&lt;item&gt;2744&lt;/item&gt;&lt;item&gt;2781&lt;/item&gt;&lt;item&gt;2804&lt;/item&gt;&lt;item&gt;2807&lt;/item&gt;&lt;item&gt;2808&lt;/item&gt;&lt;item&gt;2810&lt;/item&gt;&lt;item&gt;2811&lt;/item&gt;&lt;item&gt;2812&lt;/item&gt;&lt;item&gt;2813&lt;/item&gt;&lt;item&gt;2814&lt;/item&gt;&lt;item&gt;2815&lt;/item&gt;&lt;item&gt;2816&lt;/item&gt;&lt;item&gt;2817&lt;/item&gt;&lt;item&gt;2818&lt;/item&gt;&lt;item&gt;2819&lt;/item&gt;&lt;item&gt;2820&lt;/item&gt;&lt;item&gt;2821&lt;/item&gt;&lt;item&gt;2822&lt;/item&gt;&lt;item&gt;2823&lt;/item&gt;&lt;item&gt;2827&lt;/item&gt;&lt;item&gt;2828&lt;/item&gt;&lt;item&gt;2829&lt;/item&gt;&lt;item&gt;2830&lt;/item&gt;&lt;item&gt;2831&lt;/item&gt;&lt;item&gt;2832&lt;/item&gt;&lt;item&gt;2833&lt;/item&gt;&lt;item&gt;2834&lt;/item&gt;&lt;item&gt;2835&lt;/item&gt;&lt;item&gt;2836&lt;/item&gt;&lt;/record-ids&gt;&lt;/item&gt;&lt;/Libraries&gt;"/>
  </w:docVars>
  <w:rsids>
    <w:rsidRoot w:val="000C3C76"/>
    <w:rsid w:val="000123CC"/>
    <w:rsid w:val="00020CF8"/>
    <w:rsid w:val="00022465"/>
    <w:rsid w:val="0002393C"/>
    <w:rsid w:val="00033AF5"/>
    <w:rsid w:val="00043AC3"/>
    <w:rsid w:val="00050738"/>
    <w:rsid w:val="00053CBC"/>
    <w:rsid w:val="0005754B"/>
    <w:rsid w:val="0005787E"/>
    <w:rsid w:val="000722B7"/>
    <w:rsid w:val="000740DE"/>
    <w:rsid w:val="00074403"/>
    <w:rsid w:val="00082A7A"/>
    <w:rsid w:val="00086A12"/>
    <w:rsid w:val="00093CD1"/>
    <w:rsid w:val="00093CEC"/>
    <w:rsid w:val="00094DAE"/>
    <w:rsid w:val="000A2721"/>
    <w:rsid w:val="000A5F14"/>
    <w:rsid w:val="000A6DBF"/>
    <w:rsid w:val="000B058E"/>
    <w:rsid w:val="000B2416"/>
    <w:rsid w:val="000C3C76"/>
    <w:rsid w:val="000C5A18"/>
    <w:rsid w:val="000E5C52"/>
    <w:rsid w:val="000F68B3"/>
    <w:rsid w:val="000F7064"/>
    <w:rsid w:val="000F7416"/>
    <w:rsid w:val="0010115C"/>
    <w:rsid w:val="001250A8"/>
    <w:rsid w:val="001277B4"/>
    <w:rsid w:val="001325B8"/>
    <w:rsid w:val="001343EF"/>
    <w:rsid w:val="001427E0"/>
    <w:rsid w:val="00142AF3"/>
    <w:rsid w:val="0014724C"/>
    <w:rsid w:val="00154201"/>
    <w:rsid w:val="00156467"/>
    <w:rsid w:val="00170CC4"/>
    <w:rsid w:val="00170D7F"/>
    <w:rsid w:val="00183DE5"/>
    <w:rsid w:val="0018470C"/>
    <w:rsid w:val="001857EF"/>
    <w:rsid w:val="00195115"/>
    <w:rsid w:val="00196373"/>
    <w:rsid w:val="001C47CE"/>
    <w:rsid w:val="001C6E7C"/>
    <w:rsid w:val="001D1B07"/>
    <w:rsid w:val="001E0122"/>
    <w:rsid w:val="001F3D25"/>
    <w:rsid w:val="001F7A6C"/>
    <w:rsid w:val="002122AD"/>
    <w:rsid w:val="00224B8C"/>
    <w:rsid w:val="0022535B"/>
    <w:rsid w:val="002306F2"/>
    <w:rsid w:val="002459F6"/>
    <w:rsid w:val="0024601C"/>
    <w:rsid w:val="0024764D"/>
    <w:rsid w:val="00256194"/>
    <w:rsid w:val="00256A90"/>
    <w:rsid w:val="0026054E"/>
    <w:rsid w:val="00281936"/>
    <w:rsid w:val="00294AAF"/>
    <w:rsid w:val="002A0BD4"/>
    <w:rsid w:val="002B77C6"/>
    <w:rsid w:val="002C3A01"/>
    <w:rsid w:val="002C6A2F"/>
    <w:rsid w:val="002D14C6"/>
    <w:rsid w:val="002E0EA3"/>
    <w:rsid w:val="002E7E91"/>
    <w:rsid w:val="002F45FB"/>
    <w:rsid w:val="002F48A2"/>
    <w:rsid w:val="00302407"/>
    <w:rsid w:val="00305035"/>
    <w:rsid w:val="00311DA7"/>
    <w:rsid w:val="00314821"/>
    <w:rsid w:val="00315FAB"/>
    <w:rsid w:val="00324B0F"/>
    <w:rsid w:val="00326C9F"/>
    <w:rsid w:val="0032778E"/>
    <w:rsid w:val="00335725"/>
    <w:rsid w:val="003421FD"/>
    <w:rsid w:val="00362CB3"/>
    <w:rsid w:val="0036517F"/>
    <w:rsid w:val="00370E7B"/>
    <w:rsid w:val="00375FA8"/>
    <w:rsid w:val="003945DA"/>
    <w:rsid w:val="0039474A"/>
    <w:rsid w:val="003B2256"/>
    <w:rsid w:val="003B4320"/>
    <w:rsid w:val="003B5A55"/>
    <w:rsid w:val="003B6F96"/>
    <w:rsid w:val="003C23EF"/>
    <w:rsid w:val="003C44CC"/>
    <w:rsid w:val="003D244E"/>
    <w:rsid w:val="00403EE4"/>
    <w:rsid w:val="00406FD7"/>
    <w:rsid w:val="00436D60"/>
    <w:rsid w:val="004419F2"/>
    <w:rsid w:val="00445962"/>
    <w:rsid w:val="00450509"/>
    <w:rsid w:val="00456330"/>
    <w:rsid w:val="004724B1"/>
    <w:rsid w:val="004849D3"/>
    <w:rsid w:val="00487FEF"/>
    <w:rsid w:val="004A4845"/>
    <w:rsid w:val="004A5ABF"/>
    <w:rsid w:val="004A5D4D"/>
    <w:rsid w:val="004B0359"/>
    <w:rsid w:val="004B1682"/>
    <w:rsid w:val="004C6B34"/>
    <w:rsid w:val="004F0E0A"/>
    <w:rsid w:val="00502E80"/>
    <w:rsid w:val="005145E0"/>
    <w:rsid w:val="005230A6"/>
    <w:rsid w:val="00527CFB"/>
    <w:rsid w:val="00544DE6"/>
    <w:rsid w:val="005527E2"/>
    <w:rsid w:val="00557924"/>
    <w:rsid w:val="005612AF"/>
    <w:rsid w:val="005749EE"/>
    <w:rsid w:val="00575D5F"/>
    <w:rsid w:val="00584396"/>
    <w:rsid w:val="005910B3"/>
    <w:rsid w:val="00592CD3"/>
    <w:rsid w:val="005C0498"/>
    <w:rsid w:val="005C4FBB"/>
    <w:rsid w:val="005E009A"/>
    <w:rsid w:val="005E187C"/>
    <w:rsid w:val="005F47CA"/>
    <w:rsid w:val="00606909"/>
    <w:rsid w:val="00623858"/>
    <w:rsid w:val="00627E24"/>
    <w:rsid w:val="00632493"/>
    <w:rsid w:val="00635B33"/>
    <w:rsid w:val="006423A4"/>
    <w:rsid w:val="00646459"/>
    <w:rsid w:val="00651CFC"/>
    <w:rsid w:val="006546C9"/>
    <w:rsid w:val="00662ABE"/>
    <w:rsid w:val="00671623"/>
    <w:rsid w:val="0067625F"/>
    <w:rsid w:val="00686079"/>
    <w:rsid w:val="00696413"/>
    <w:rsid w:val="006A0421"/>
    <w:rsid w:val="006B2F2F"/>
    <w:rsid w:val="006C27AE"/>
    <w:rsid w:val="006C6F1A"/>
    <w:rsid w:val="006C7CF0"/>
    <w:rsid w:val="006D39EF"/>
    <w:rsid w:val="006E1AF9"/>
    <w:rsid w:val="006E1FEC"/>
    <w:rsid w:val="006F128B"/>
    <w:rsid w:val="006F15E5"/>
    <w:rsid w:val="006F5028"/>
    <w:rsid w:val="006F59BA"/>
    <w:rsid w:val="00705F9B"/>
    <w:rsid w:val="007255F0"/>
    <w:rsid w:val="00726640"/>
    <w:rsid w:val="007275B0"/>
    <w:rsid w:val="00730DA4"/>
    <w:rsid w:val="00731F54"/>
    <w:rsid w:val="00734D46"/>
    <w:rsid w:val="00751E63"/>
    <w:rsid w:val="00757611"/>
    <w:rsid w:val="00765149"/>
    <w:rsid w:val="0077265B"/>
    <w:rsid w:val="00774564"/>
    <w:rsid w:val="007823AA"/>
    <w:rsid w:val="0079207A"/>
    <w:rsid w:val="007932E0"/>
    <w:rsid w:val="00794A39"/>
    <w:rsid w:val="007A153A"/>
    <w:rsid w:val="007B0B3E"/>
    <w:rsid w:val="007B13C3"/>
    <w:rsid w:val="007B24CE"/>
    <w:rsid w:val="007B6FE2"/>
    <w:rsid w:val="007C32F6"/>
    <w:rsid w:val="007C52F2"/>
    <w:rsid w:val="007D133F"/>
    <w:rsid w:val="007D4866"/>
    <w:rsid w:val="007D4AE4"/>
    <w:rsid w:val="007D64CC"/>
    <w:rsid w:val="007E0532"/>
    <w:rsid w:val="007E79CA"/>
    <w:rsid w:val="007F3D41"/>
    <w:rsid w:val="007F4C11"/>
    <w:rsid w:val="00805365"/>
    <w:rsid w:val="008267A6"/>
    <w:rsid w:val="008574A1"/>
    <w:rsid w:val="008614A0"/>
    <w:rsid w:val="008615E7"/>
    <w:rsid w:val="00870AA4"/>
    <w:rsid w:val="00882E7D"/>
    <w:rsid w:val="00895392"/>
    <w:rsid w:val="008A3250"/>
    <w:rsid w:val="008B11F2"/>
    <w:rsid w:val="008C2E89"/>
    <w:rsid w:val="008D508A"/>
    <w:rsid w:val="008D7DB1"/>
    <w:rsid w:val="008E57C5"/>
    <w:rsid w:val="008F4494"/>
    <w:rsid w:val="008F54EA"/>
    <w:rsid w:val="00900A82"/>
    <w:rsid w:val="009059A8"/>
    <w:rsid w:val="0091795E"/>
    <w:rsid w:val="009221A3"/>
    <w:rsid w:val="00923495"/>
    <w:rsid w:val="0092793E"/>
    <w:rsid w:val="0093768E"/>
    <w:rsid w:val="00947FE1"/>
    <w:rsid w:val="00951743"/>
    <w:rsid w:val="00951D51"/>
    <w:rsid w:val="00954B97"/>
    <w:rsid w:val="0095789E"/>
    <w:rsid w:val="00957D7F"/>
    <w:rsid w:val="00963BAA"/>
    <w:rsid w:val="00982F5D"/>
    <w:rsid w:val="00984150"/>
    <w:rsid w:val="0099637D"/>
    <w:rsid w:val="009A7AED"/>
    <w:rsid w:val="009B1C62"/>
    <w:rsid w:val="009C1A28"/>
    <w:rsid w:val="009D03E5"/>
    <w:rsid w:val="009D747B"/>
    <w:rsid w:val="009E76BE"/>
    <w:rsid w:val="009F1EE5"/>
    <w:rsid w:val="009F367E"/>
    <w:rsid w:val="00A011AE"/>
    <w:rsid w:val="00A02794"/>
    <w:rsid w:val="00A0672E"/>
    <w:rsid w:val="00A06DAC"/>
    <w:rsid w:val="00A16CB3"/>
    <w:rsid w:val="00A1702E"/>
    <w:rsid w:val="00A265FA"/>
    <w:rsid w:val="00A266A6"/>
    <w:rsid w:val="00A27F36"/>
    <w:rsid w:val="00A31A98"/>
    <w:rsid w:val="00A3732E"/>
    <w:rsid w:val="00A42FC1"/>
    <w:rsid w:val="00A51DEB"/>
    <w:rsid w:val="00A54226"/>
    <w:rsid w:val="00A57814"/>
    <w:rsid w:val="00A60759"/>
    <w:rsid w:val="00A613DA"/>
    <w:rsid w:val="00A74746"/>
    <w:rsid w:val="00A7616F"/>
    <w:rsid w:val="00A806A0"/>
    <w:rsid w:val="00A85AFC"/>
    <w:rsid w:val="00A90FA8"/>
    <w:rsid w:val="00A9567F"/>
    <w:rsid w:val="00A963A0"/>
    <w:rsid w:val="00AA5F0B"/>
    <w:rsid w:val="00AA6214"/>
    <w:rsid w:val="00AB131D"/>
    <w:rsid w:val="00AD7312"/>
    <w:rsid w:val="00AE4B8F"/>
    <w:rsid w:val="00AE75A9"/>
    <w:rsid w:val="00AF1487"/>
    <w:rsid w:val="00AF39C2"/>
    <w:rsid w:val="00AF541E"/>
    <w:rsid w:val="00AF7FC8"/>
    <w:rsid w:val="00B03088"/>
    <w:rsid w:val="00B04C64"/>
    <w:rsid w:val="00B10ED0"/>
    <w:rsid w:val="00B22BB4"/>
    <w:rsid w:val="00B27CE4"/>
    <w:rsid w:val="00B3644C"/>
    <w:rsid w:val="00B405C8"/>
    <w:rsid w:val="00B45633"/>
    <w:rsid w:val="00B56663"/>
    <w:rsid w:val="00B755C4"/>
    <w:rsid w:val="00B76CB6"/>
    <w:rsid w:val="00B81A87"/>
    <w:rsid w:val="00B823C6"/>
    <w:rsid w:val="00B84D2E"/>
    <w:rsid w:val="00B86A09"/>
    <w:rsid w:val="00B900D2"/>
    <w:rsid w:val="00B95636"/>
    <w:rsid w:val="00BA3080"/>
    <w:rsid w:val="00BA4090"/>
    <w:rsid w:val="00BA6D88"/>
    <w:rsid w:val="00BB2ECA"/>
    <w:rsid w:val="00BC2931"/>
    <w:rsid w:val="00BC6E6B"/>
    <w:rsid w:val="00BD1DAD"/>
    <w:rsid w:val="00BD694E"/>
    <w:rsid w:val="00BD7604"/>
    <w:rsid w:val="00BE705B"/>
    <w:rsid w:val="00BF46F1"/>
    <w:rsid w:val="00C05D1F"/>
    <w:rsid w:val="00C06833"/>
    <w:rsid w:val="00C20854"/>
    <w:rsid w:val="00C235AB"/>
    <w:rsid w:val="00C2499A"/>
    <w:rsid w:val="00C36207"/>
    <w:rsid w:val="00C61C8E"/>
    <w:rsid w:val="00C658C3"/>
    <w:rsid w:val="00C66B38"/>
    <w:rsid w:val="00C71966"/>
    <w:rsid w:val="00C72005"/>
    <w:rsid w:val="00C72E89"/>
    <w:rsid w:val="00C80CA9"/>
    <w:rsid w:val="00C812AD"/>
    <w:rsid w:val="00C85C89"/>
    <w:rsid w:val="00C9159A"/>
    <w:rsid w:val="00C9589D"/>
    <w:rsid w:val="00C95C7C"/>
    <w:rsid w:val="00C97334"/>
    <w:rsid w:val="00CA0B89"/>
    <w:rsid w:val="00CA78FE"/>
    <w:rsid w:val="00CB4D05"/>
    <w:rsid w:val="00CC1BA5"/>
    <w:rsid w:val="00CC2386"/>
    <w:rsid w:val="00CC6163"/>
    <w:rsid w:val="00CD2615"/>
    <w:rsid w:val="00CE59A1"/>
    <w:rsid w:val="00CF187F"/>
    <w:rsid w:val="00CF1E74"/>
    <w:rsid w:val="00D0090D"/>
    <w:rsid w:val="00D06052"/>
    <w:rsid w:val="00D06AD5"/>
    <w:rsid w:val="00D11BCF"/>
    <w:rsid w:val="00D2600B"/>
    <w:rsid w:val="00D3075D"/>
    <w:rsid w:val="00D347FA"/>
    <w:rsid w:val="00D34C89"/>
    <w:rsid w:val="00D35B60"/>
    <w:rsid w:val="00D429B8"/>
    <w:rsid w:val="00D50891"/>
    <w:rsid w:val="00D512BE"/>
    <w:rsid w:val="00D6205B"/>
    <w:rsid w:val="00D65AE7"/>
    <w:rsid w:val="00D82694"/>
    <w:rsid w:val="00D9378B"/>
    <w:rsid w:val="00D946C3"/>
    <w:rsid w:val="00DA0F70"/>
    <w:rsid w:val="00DA7117"/>
    <w:rsid w:val="00DA7EF7"/>
    <w:rsid w:val="00DB033A"/>
    <w:rsid w:val="00DB182B"/>
    <w:rsid w:val="00DC0F7A"/>
    <w:rsid w:val="00DD3153"/>
    <w:rsid w:val="00DD6B36"/>
    <w:rsid w:val="00DE0932"/>
    <w:rsid w:val="00DE3D15"/>
    <w:rsid w:val="00E05D4D"/>
    <w:rsid w:val="00E352CF"/>
    <w:rsid w:val="00E3640B"/>
    <w:rsid w:val="00E37286"/>
    <w:rsid w:val="00E40D97"/>
    <w:rsid w:val="00E42102"/>
    <w:rsid w:val="00E42F62"/>
    <w:rsid w:val="00E4682D"/>
    <w:rsid w:val="00E62B28"/>
    <w:rsid w:val="00E648EF"/>
    <w:rsid w:val="00E64B15"/>
    <w:rsid w:val="00E735F5"/>
    <w:rsid w:val="00E75562"/>
    <w:rsid w:val="00E77938"/>
    <w:rsid w:val="00E80537"/>
    <w:rsid w:val="00E817A4"/>
    <w:rsid w:val="00E81FE4"/>
    <w:rsid w:val="00E83852"/>
    <w:rsid w:val="00E90299"/>
    <w:rsid w:val="00E93FB0"/>
    <w:rsid w:val="00EA5A13"/>
    <w:rsid w:val="00EA703B"/>
    <w:rsid w:val="00EB2DAE"/>
    <w:rsid w:val="00EB3A31"/>
    <w:rsid w:val="00EB6ADD"/>
    <w:rsid w:val="00EB7595"/>
    <w:rsid w:val="00ED0BAC"/>
    <w:rsid w:val="00EF1015"/>
    <w:rsid w:val="00EF5C2B"/>
    <w:rsid w:val="00F07AE8"/>
    <w:rsid w:val="00F10D1D"/>
    <w:rsid w:val="00F1262A"/>
    <w:rsid w:val="00F13B35"/>
    <w:rsid w:val="00F15160"/>
    <w:rsid w:val="00F171E1"/>
    <w:rsid w:val="00F31248"/>
    <w:rsid w:val="00F43D17"/>
    <w:rsid w:val="00F53A0D"/>
    <w:rsid w:val="00F65E86"/>
    <w:rsid w:val="00F70646"/>
    <w:rsid w:val="00F7453D"/>
    <w:rsid w:val="00F75FDC"/>
    <w:rsid w:val="00F927AB"/>
    <w:rsid w:val="00F964DF"/>
    <w:rsid w:val="00FA08C4"/>
    <w:rsid w:val="00FA1AF9"/>
    <w:rsid w:val="00FA2C5F"/>
    <w:rsid w:val="00FA447D"/>
    <w:rsid w:val="00FA5526"/>
    <w:rsid w:val="00FA568C"/>
    <w:rsid w:val="00FB6208"/>
    <w:rsid w:val="00FB6AD6"/>
    <w:rsid w:val="00FD0C30"/>
    <w:rsid w:val="00FD6300"/>
    <w:rsid w:val="00FD726B"/>
    <w:rsid w:val="00FD7AF5"/>
    <w:rsid w:val="00FE0E20"/>
    <w:rsid w:val="00FE47F2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5:docId w15:val="{33F9159D-0320-48B5-AB2E-E8FAF166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7255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55F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255F0"/>
    <w:rPr>
      <w:vertAlign w:val="superscript"/>
    </w:rPr>
  </w:style>
  <w:style w:type="table" w:styleId="TableGrid">
    <w:name w:val="Table Grid"/>
    <w:basedOn w:val="TableNormal"/>
    <w:uiPriority w:val="59"/>
    <w:rsid w:val="0072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5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0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932"/>
  </w:style>
  <w:style w:type="paragraph" w:styleId="Footer">
    <w:name w:val="footer"/>
    <w:basedOn w:val="Normal"/>
    <w:link w:val="FooterChar"/>
    <w:uiPriority w:val="99"/>
    <w:unhideWhenUsed/>
    <w:rsid w:val="00DE0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932"/>
  </w:style>
  <w:style w:type="paragraph" w:customStyle="1" w:styleId="EndNoteBibliographyTitle">
    <w:name w:val="EndNote Bibliography Title"/>
    <w:basedOn w:val="Normal"/>
    <w:link w:val="EndNoteBibliographyTitleChar"/>
    <w:rsid w:val="00E62B2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2B2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62B28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2B28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F36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BE297-176E-4257-8617-DB27ECA3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Achuthan</dc:creator>
  <cp:lastModifiedBy>Adrian Achuthan</cp:lastModifiedBy>
  <cp:revision>6</cp:revision>
  <cp:lastPrinted>2018-01-18T00:43:00Z</cp:lastPrinted>
  <dcterms:created xsi:type="dcterms:W3CDTF">2018-01-17T01:41:00Z</dcterms:created>
  <dcterms:modified xsi:type="dcterms:W3CDTF">2018-01-18T02:51:00Z</dcterms:modified>
</cp:coreProperties>
</file>